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6B7280"/>
          <w:spacing w:val="60"/>
          <w:sz w:val="20"/>
          <w:szCs w:val="20"/>
        </w:rPr>
        <w:t xml:space="preserve">VELAJI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1A1A1A"/>
          <w:sz w:val="52"/>
          <w:szCs w:val="52"/>
        </w:rPr>
        <w:t xml:space="preserve">Three-Minute Pitch</w:t>
      </w:r>
    </w:p>
    <w:p>
      <w:pPr>
        <w:pBdr>
          <w:bottom w:val="single" w:color="0F5C57" w:sz="12" w:space="10"/>
        </w:pBdr>
        <w:spacing w:after="380"/>
      </w:pPr>
      <w:r>
        <w:rPr>
          <w:rFonts w:ascii="Consolas" w:cs="Consolas" w:eastAsia="Consolas" w:hAnsi="Consolas"/>
          <w:color w:val="6B7280"/>
          <w:sz w:val="19"/>
          <w:szCs w:val="19"/>
        </w:rPr>
        <w:t xml:space="preserve">467 words  ·  3:06 at conversational pace  ·  checkpoints 1:10 / 1:55 / 3:06</w:t>
      </w:r>
    </w:p>
    <w:p>
      <w:pPr>
        <w:pBdr>
          <w:bottom w:val="single" w:color="C8D2D0" w:sz="6" w:space="6"/>
        </w:pBdr>
        <w:spacing w:after="60" w:before="42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Beat 1 — Name the system</w:t>
      </w:r>
      <w:r>
        <w:rPr>
          <w:rFonts w:ascii="Consolas" w:cs="Consolas" w:eastAsia="Consolas" w:hAnsi="Consolas"/>
          <w:b/>
          <w:bCs/>
          <w:color w:val="0F5C57"/>
          <w:sz w:val="20"/>
          <w:szCs w:val="20"/>
        </w:rPr>
        <w:t xml:space="preserve">  0:00 → 1:10</w:t>
      </w:r>
    </w:p>
    <w:p>
      <w:pPr>
        <w:spacing w:after="160" w:before="40"/>
      </w:pPr>
      <w:r>
        <w:rPr>
          <w:rFonts w:ascii="Georgia" w:cs="Georgia" w:eastAsia="Georgia" w:hAnsi="Georgia"/>
          <w:i/>
          <w:iCs/>
          <w:color w:val="6B7280"/>
          <w:sz w:val="19"/>
          <w:szCs w:val="19"/>
        </w:rPr>
        <w:t xml:space="preserve">Slide: Two Maps, One Gap. Hold two full seconds of silence before speaking.</w:t>
      </w:r>
    </w:p>
    <w:p>
      <w:pPr>
        <w:spacing w:after="220" w:line="380"/>
      </w:pPr>
      <w:r>
        <w:rPr>
          <w:rFonts w:ascii="Georgia" w:cs="Georgia" w:eastAsia="Georgia" w:hAnsi="Georgia"/>
          <w:color w:val="1A1A1A"/>
          <w:sz w:val="26"/>
          <w:szCs w:val="26"/>
        </w:rPr>
        <w:t xml:space="preserve">Nigeria has about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2.3 million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 zero-dose children — children who have never had a single routine vaccine.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Second highest on earth.</w:t>
      </w:r>
    </w:p>
    <w:p>
      <w:pPr>
        <w:spacing w:after="220" w:line="380"/>
      </w:pPr>
      <w:r>
        <w:rPr>
          <w:rFonts w:ascii="Georgia" w:cs="Georgia" w:eastAsia="Georgia" w:hAnsi="Georgia"/>
          <w:color w:val="1A1A1A"/>
          <w:sz w:val="26"/>
          <w:szCs w:val="26"/>
        </w:rPr>
        <w:t xml:space="preserve">Less noticed: only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57%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 of Nigerian births are registered at all. And it is largely the same states — eleven fall below the national average on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both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. Sokoto is the floor: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22.5%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 of births registered,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11%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 Penta3.</w:t>
      </w:r>
    </w:p>
    <w:p>
      <w:pPr>
        <w:spacing w:after="220" w:line="380"/>
      </w:pPr>
      <w:r>
        <w:rPr>
          <w:rFonts w:ascii="Georgia" w:cs="Georgia" w:eastAsia="Georgia" w:hAnsi="Georgia"/>
          <w:color w:val="1A1A1A"/>
          <w:sz w:val="26"/>
          <w:szCs w:val="26"/>
        </w:rPr>
        <w:t xml:space="preserve">They track because they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share a cause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. A child born at home, with no skilled attendant, is missed by the register and missed by the cold chain — on the same day.</w:t>
      </w:r>
    </w:p>
    <w:p>
      <w:pPr>
        <w:spacing w:after="220" w:line="380"/>
      </w:pPr>
      <w:r>
        <w:rPr>
          <w:rFonts w:ascii="Georgia" w:cs="Georgia" w:eastAsia="Georgia" w:hAnsi="Georgia"/>
          <w:color w:val="1A1A1A"/>
          <w:sz w:val="26"/>
          <w:szCs w:val="26"/>
        </w:rPr>
        <w:t xml:space="preserve">And that has a consequence nobody planned. The Basic Health Care Provision Fund covers under-fives — but you enrol through the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NIN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. No birth registration, no NIN. So the children with the strongest claim on that fund are the ones who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cannot make it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.</w:t>
      </w:r>
    </w:p>
    <w:p>
      <w:pPr>
        <w:spacing w:after="220" w:line="380"/>
      </w:pPr>
      <w:r>
        <w:rPr>
          <w:rFonts w:ascii="Georgia" w:cs="Georgia" w:eastAsia="Georgia" w:hAnsi="Georgia"/>
          <w:color w:val="1A1A1A"/>
          <w:sz w:val="26"/>
          <w:szCs w:val="26"/>
        </w:rPr>
        <w:t xml:space="preserve">Velaji gives that child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one health identification number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 and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one printed card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. Present it at any facility, and the system knows which vaccine is next. The parent remembers nothing — and the number is what carries her into civil registration, and into the coverage she was always owed.</w:t>
      </w:r>
    </w:p>
    <w:p>
      <w:pPr>
        <w:spacing w:after="120" w:before="100"/>
      </w:pPr>
      <w:r>
        <w:rPr>
          <w:rFonts w:ascii="Consolas" w:cs="Consolas" w:eastAsia="Consolas" w:hAnsi="Consolas"/>
          <w:b/>
          <w:bCs/>
          <w:color w:val="0F5C57"/>
          <w:sz w:val="19"/>
          <w:szCs w:val="19"/>
        </w:rPr>
        <w:t xml:space="preserve">▸ 1:10</w:t>
      </w:r>
    </w:p>
    <w:p>
      <w:pPr>
        <w:pBdr>
          <w:bottom w:val="single" w:color="C8D2D0" w:sz="6" w:space="6"/>
        </w:pBdr>
        <w:spacing w:after="60" w:before="42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Beat 2 — The integration cost</w:t>
      </w:r>
      <w:r>
        <w:rPr>
          <w:rFonts w:ascii="Consolas" w:cs="Consolas" w:eastAsia="Consolas" w:hAnsi="Consolas"/>
          <w:b/>
          <w:bCs/>
          <w:color w:val="0F5C57"/>
          <w:sz w:val="20"/>
          <w:szCs w:val="20"/>
        </w:rPr>
        <w:t xml:space="preserve">  1:10 → 1:55</w:t>
      </w:r>
    </w:p>
    <w:p>
      <w:pPr>
        <w:spacing w:after="160" w:before="40"/>
      </w:pPr>
      <w:r>
        <w:rPr>
          <w:rFonts w:ascii="Georgia" w:cs="Georgia" w:eastAsia="Georgia" w:hAnsi="Georgia"/>
          <w:i/>
          <w:iCs/>
          <w:color w:val="6B7280"/>
          <w:sz w:val="19"/>
          <w:szCs w:val="19"/>
        </w:rPr>
        <w:t xml:space="preserve">Slide: live scan, then the USSD session on a feature phone.</w:t>
      </w:r>
    </w:p>
    <w:p>
      <w:pPr>
        <w:spacing w:after="220" w:line="380"/>
      </w:pPr>
      <w:r>
        <w:rPr>
          <w:rFonts w:ascii="Georgia" w:cs="Georgia" w:eastAsia="Georgia" w:hAnsi="Georgia"/>
          <w:color w:val="1A1A1A"/>
          <w:sz w:val="26"/>
          <w:szCs w:val="26"/>
        </w:rPr>
        <w:t xml:space="preserve">What does a health centre have to do to adopt it?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Scan one QR code.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 That is the whole change to a health worker's day.</w:t>
      </w:r>
    </w:p>
    <w:p>
      <w:pPr>
        <w:spacing w:after="220" w:line="380"/>
      </w:pPr>
      <w:r>
        <w:rPr>
          <w:rFonts w:ascii="Georgia" w:cs="Georgia" w:eastAsia="Georgia" w:hAnsi="Georgia"/>
          <w:color w:val="1A1A1A"/>
          <w:sz w:val="26"/>
          <w:szCs w:val="26"/>
        </w:rPr>
        <w:t xml:space="preserve">No new hardware — the card is printed paper. The family side runs on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USSD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: a short code on a feature phone. No smartphone, no app, no data — because where coverage is worst,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that is the phone people have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. And it works offline, syncing when the team is back in range.</w:t>
      </w:r>
    </w:p>
    <w:p>
      <w:pPr>
        <w:spacing w:after="220" w:line="380"/>
      </w:pPr>
      <w:r>
        <w:rPr>
          <w:rFonts w:ascii="Georgia" w:cs="Georgia" w:eastAsia="Georgia" w:hAnsi="Georgia"/>
          <w:color w:val="1A1A1A"/>
          <w:sz w:val="26"/>
          <w:szCs w:val="26"/>
        </w:rPr>
        <w:t xml:space="preserve">It is a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layer, not a replacement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. Nigeria already runs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EMID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, with a published NPHCDA FHIR guide. We build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to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 that. EMID keeps the data; we add what it does not have —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something in the mother's hand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.</w:t>
      </w:r>
    </w:p>
    <w:p>
      <w:pPr>
        <w:spacing w:after="120" w:before="100"/>
      </w:pPr>
      <w:r>
        <w:rPr>
          <w:rFonts w:ascii="Consolas" w:cs="Consolas" w:eastAsia="Consolas" w:hAnsi="Consolas"/>
          <w:b/>
          <w:bCs/>
          <w:color w:val="0F5C57"/>
          <w:sz w:val="19"/>
          <w:szCs w:val="19"/>
        </w:rPr>
        <w:t xml:space="preserve">▸ 1:55</w:t>
      </w:r>
    </w:p>
    <w:p>
      <w:pPr>
        <w:pBdr>
          <w:bottom w:val="single" w:color="C8D2D0" w:sz="6" w:space="6"/>
        </w:pBdr>
        <w:spacing w:after="60" w:before="42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Beat 3 — Two engines</w:t>
      </w:r>
      <w:r>
        <w:rPr>
          <w:rFonts w:ascii="Consolas" w:cs="Consolas" w:eastAsia="Consolas" w:hAnsi="Consolas"/>
          <w:b/>
          <w:bCs/>
          <w:color w:val="0F5C57"/>
          <w:sz w:val="20"/>
          <w:szCs w:val="20"/>
        </w:rPr>
        <w:t xml:space="preserve">  1:55 → 3:06</w:t>
      </w:r>
    </w:p>
    <w:p>
      <w:pPr>
        <w:spacing w:after="160" w:before="40"/>
      </w:pPr>
      <w:r>
        <w:rPr>
          <w:rFonts w:ascii="Georgia" w:cs="Georgia" w:eastAsia="Georgia" w:hAnsi="Georgia"/>
          <w:i/>
          <w:iCs/>
          <w:color w:val="6B7280"/>
          <w:sz w:val="19"/>
          <w:szCs w:val="19"/>
        </w:rPr>
        <w:t xml:space="preserve">Slide: the reward funnel, then the antenatal pipeline.</w:t>
      </w:r>
    </w:p>
    <w:p>
      <w:pPr>
        <w:spacing w:after="220" w:line="380"/>
      </w:pPr>
      <w:r>
        <w:rPr>
          <w:rFonts w:ascii="Georgia" w:cs="Georgia" w:eastAsia="Georgia" w:hAnsi="Georgia"/>
          <w:color w:val="1A1A1A"/>
          <w:sz w:val="26"/>
          <w:szCs w:val="26"/>
        </w:rPr>
        <w:t xml:space="preserve">Velaji runs on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two engines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.</w:t>
      </w:r>
    </w:p>
    <w:p>
      <w:pPr>
        <w:spacing w:after="220" w:line="38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The first spreads on its own.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 The card is free to the family, so every facility that scans one adds to the national record without being told to. And registration is not facility-only — home births, community health workers and outreach all enter the same registry.</w:t>
      </w:r>
    </w:p>
    <w:p>
      <w:pPr>
        <w:spacing w:after="220" w:line="38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The second is already funded by law.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 The NHIA Act of 2022 and one percent of the Consolidated Revenue Fund already target zero-dose reduction in the first year of life. Complete the schedule, and coverage activates.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We are not inventing an incentive — we are building the rail for money that already exists.</w:t>
      </w:r>
    </w:p>
    <w:p>
      <w:pPr>
        <w:spacing w:after="220" w:line="38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Neither works alone.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 Without the reward, the card is just admin. Without the record, the reward cannot be paid.</w:t>
      </w:r>
    </w:p>
    <w:p>
      <w:pPr>
        <w:spacing w:after="220" w:line="380"/>
      </w:pPr>
      <w:r>
        <w:rPr>
          <w:rFonts w:ascii="Georgia" w:cs="Georgia" w:eastAsia="Georgia" w:hAnsi="Georgia"/>
          <w:color w:val="1A1A1A"/>
          <w:sz w:val="26"/>
          <w:szCs w:val="26"/>
        </w:rPr>
        <w:t xml:space="preserve">And the record can open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before birth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, at antenatal care — where under four visits roughly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doubles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 the chance of a zero-dose child. We can name who will be missed,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months before anyone misses her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.</w:t>
      </w:r>
    </w:p>
    <w:p>
      <w:pPr>
        <w:spacing w:after="220" w:line="380"/>
      </w:pPr>
      <w:r>
        <w:rPr>
          <w:rFonts w:ascii="Georgia" w:cs="Georgia" w:eastAsia="Georgia" w:hAnsi="Georgia"/>
          <w:color w:val="1A1A1A"/>
          <w:sz w:val="26"/>
          <w:szCs w:val="26"/>
        </w:rPr>
        <w:t xml:space="preserve">It works like a </w:t>
      </w: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bank card</w:t>
      </w:r>
      <w:r>
        <w:rPr>
          <w:rFonts w:ascii="Georgia" w:cs="Georgia" w:eastAsia="Georgia" w:hAnsi="Georgia"/>
          <w:color w:val="1A1A1A"/>
          <w:sz w:val="26"/>
          <w:szCs w:val="26"/>
        </w:rPr>
        <w:t xml:space="preserve">. It carries the account, works at any branch, and the machine knows what to do.</w:t>
      </w:r>
    </w:p>
    <w:p>
      <w:pPr>
        <w:spacing w:after="120" w:before="100"/>
      </w:pPr>
      <w:r>
        <w:rPr>
          <w:rFonts w:ascii="Consolas" w:cs="Consolas" w:eastAsia="Consolas" w:hAnsi="Consolas"/>
          <w:b/>
          <w:bCs/>
          <w:color w:val="0F5C57"/>
          <w:sz w:val="19"/>
          <w:szCs w:val="19"/>
        </w:rPr>
        <w:t xml:space="preserve">▸ 3:06</w:t>
      </w:r>
    </w:p>
    <w:sectPr>
      <w:pgSz w:w="12240" w:h="15840" w:orient="portrait"/>
      <w:pgMar w:top="1296" w:right="1584" w:bottom="1296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Velaji — Three-Minute Pitch</dc:title>
  <dc:creator>Jothan Jerry Kato</dc:creator>
  <dc:description>Spoken pitch script, 3:06</dc:description>
  <cp:lastModifiedBy>Un-named</cp:lastModifiedBy>
  <cp:revision>1</cp:revision>
  <dcterms:created xsi:type="dcterms:W3CDTF">2026-08-28T15:13:27.587Z</dcterms:created>
  <dcterms:modified xsi:type="dcterms:W3CDTF">2026-08-28T15:13:27.587Z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