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41275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20"/>
        <w:gridCol w:w="3760"/>
        <w:gridCol w:w="1280"/>
        <w:gridCol w:w="1360"/>
        <w:gridCol w:w="1560"/>
      </w:tblGrid>
      <w:tr>
        <w:trPr>
          <w:tblHeader/>
        </w:trPr>
        <w:tc>
          <w:tcPr>
            <w:tcW w:type="dxa" w:w="19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5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1920.0"/>
          </w:tcPr>
          <w:p>
            <w:pPr/>
            <w:r>
              <w:t>Throw / Drop Equipment</w:t>
            </w:r>
          </w:p>
        </w:tc>
        <w:tc>
          <w:tcPr>
            <w:tcW w:type="dxa" w:w="3760.0"/>
          </w:tcPr>
          <w:p>
            <w:pPr/>
            <w:r>
              <w:t xml:space="preserve">Ρίξη εξοπλισμού στο έδαφος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Inventory Equpment List</w:t>
            </w:r>
          </w:p>
        </w:tc>
        <w:tc>
          <w:tcPr>
            <w:tcW w:type="dxa" w:w="3760.0"/>
          </w:tcPr>
          <w:p>
            <w:pPr/>
            <w:r>
              <w:t xml:space="preserve">Ο παίχτης μπορεί να εναλλάξει μεταξύ εξοπλισμού κρατώντας πολλά αντικείμενα στην τσάντα του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Large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Find Session</w:t>
            </w:r>
          </w:p>
        </w:tc>
        <w:tc>
          <w:tcPr>
            <w:tcW w:type="dxa" w:w="3760.0"/>
          </w:tcPr>
          <w:p>
            <w:pPr/>
            <w:r>
              <w:t xml:space="preserve">Ο παίχτης μπορεί να βρεί created session από server ώστε να κάνει join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Very 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Show Player Animations</w:t>
            </w:r>
          </w:p>
        </w:tc>
        <w:tc>
          <w:tcPr>
            <w:tcW w:type="dxa" w:w="3760.0"/>
          </w:tcPr>
          <w:p>
            <w:pPr/>
            <w:r>
              <w:t xml:space="preserve">Κάθε ενέργεια έχει και κάποια ρεαλιστική κίνηση χαρακτήρα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Very Large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Create Session</w:t>
            </w:r>
          </w:p>
        </w:tc>
        <w:tc>
          <w:tcPr>
            <w:tcW w:type="dxa" w:w="3760.0"/>
          </w:tcPr>
          <w:p>
            <w:pPr/>
            <w:r>
              <w:t xml:space="preserve">Δημιουργία listen server για multiplayer communication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Very 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Pick Up Equipment</w:t>
            </w:r>
          </w:p>
        </w:tc>
        <w:tc>
          <w:tcPr>
            <w:tcW w:type="dxa" w:w="3760.0"/>
          </w:tcPr>
          <w:p>
            <w:pPr/>
            <w:r>
              <w:t xml:space="preserve">Απόκτηση εξοπλισμού από το έδαφος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Leave Session</w:t>
            </w:r>
          </w:p>
        </w:tc>
        <w:tc>
          <w:tcPr>
            <w:tcW w:type="dxa" w:w="3760.0"/>
          </w:tcPr>
          <w:p>
            <w:pPr/>
            <w:r>
              <w:t xml:space="preserve">Αποχώρηση από το παιχνίδι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Very 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Voice Chat</w:t>
            </w:r>
          </w:p>
        </w:tc>
        <w:tc>
          <w:tcPr>
            <w:tcW w:type="dxa" w:w="3760.0"/>
          </w:tcPr>
          <w:p>
            <w:pPr/>
            <w:r>
              <w:t xml:space="preserve">Real-time communications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Very Large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Menu Settings</w:t>
            </w:r>
          </w:p>
        </w:tc>
        <w:tc>
          <w:tcPr>
            <w:tcW w:type="dxa" w:w="3760.0"/>
          </w:tcPr>
          <w:p>
            <w:pPr/>
            <w:r>
              <w:t xml:space="preserve">Menu πληθώρων επιλογών για session και γραφικά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Join Session</w:t>
            </w:r>
          </w:p>
        </w:tc>
        <w:tc>
          <w:tcPr>
            <w:tcW w:type="dxa" w:w="3760.0"/>
          </w:tcPr>
          <w:p>
            <w:pPr/>
            <w:r>
              <w:t xml:space="preserve">Join ένα matchmaking από την αρχή ή εν εξέλιξη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Very Small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2022-03-20T01:26:34-07:00</dcterms:created>
  <dcterms:modified xsi:type="dcterms:W3CDTF">2022-03-20T01:26:34-07:00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