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2E74B5"/>
          <w:sz w:val="17"/>
        </w:rPr>
        <w:t>ONE-PAGE PLAYBOOK</w:t>
      </w:r>
    </w:p>
    <w:p>
      <w:pPr>
        <w:spacing w:after="40"/>
      </w:pPr>
      <w:r>
        <w:rPr>
          <w:rFonts w:ascii="Calibri" w:hAnsi="Calibri"/>
          <w:b/>
          <w:color w:val="17324D"/>
          <w:sz w:val="44"/>
        </w:rPr>
        <w:t>Know Your Niche: B2B SaaS</w:t>
      </w:r>
    </w:p>
    <w:p>
      <w:pPr>
        <w:spacing w:after="100"/>
      </w:pPr>
      <w:r>
        <w:rPr>
          <w:rFonts w:ascii="Calibri" w:hAnsi="Calibri"/>
          <w:color w:val="5F6B76"/>
          <w:sz w:val="18"/>
        </w:rPr>
        <w:t>FlyRank example  |  Audience: founders, marketing leaders, ecommerce teams and agencies</w:t>
      </w:r>
    </w:p>
    <w:tbl>
      <w:tblPr>
        <w:tblW w:type="dxa" w:w="1018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6" w:color="B9C9D8"/>
          <w:left w:val="single" w:sz="6" w:color="B9C9D8"/>
          <w:bottom w:val="single" w:sz="6" w:color="B9C9D8"/>
          <w:right w:val="single" w:sz="6" w:color="B9C9D8"/>
          <w:insideH w:val="single" w:sz="6" w:color="B9C9D8"/>
          <w:insideV w:val="single" w:sz="6" w:color="B9C9D8"/>
        </w:tblBorders>
      </w:tblPr>
      <w:tblGrid>
        <w:gridCol w:w="10180"/>
      </w:tblGrid>
      <w:tr>
        <w:tc>
          <w:tcPr>
            <w:tcW w:type="dxa" w:w="1018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E8EEF5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7"/>
              </w:rPr>
              <w:t xml:space="preserve">MARKET REALITY </w:t>
            </w:r>
            <w:r>
              <w:rPr>
                <w:rFonts w:ascii="Calibri" w:hAnsi="Calibri"/>
                <w:color w:val="1F2933"/>
                <w:sz w:val="17"/>
              </w:rPr>
              <w:t>B2B SaaS buyers self-educate before sales. Eight in ten use AI search, reviews shape trust, and 40%+ of deals can stall when buying groups are not aligned. FlyRank must be discovered early and give its internal champion proof that persuades finance, leadership and technical reviewers.</w:t>
            </w:r>
          </w:p>
        </w:tc>
      </w:tr>
    </w:tbl>
    <w:p>
      <w:pPr>
        <w:pStyle w:val="Heading1"/>
      </w:pPr>
      <w:r>
        <w:t>Top 3 channels</w:t>
      </w:r>
    </w:p>
    <w:tbl>
      <w:tblPr>
        <w:tblW w:type="dxa" w:w="1018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5" w:color="CAD4DE"/>
          <w:left w:val="single" w:sz="5" w:color="CAD4DE"/>
          <w:bottom w:val="single" w:sz="5" w:color="CAD4DE"/>
          <w:right w:val="single" w:sz="5" w:color="CAD4DE"/>
          <w:insideH w:val="single" w:sz="5" w:color="CAD4DE"/>
          <w:insideV w:val="single" w:sz="5" w:color="CAD4DE"/>
        </w:tblBorders>
      </w:tblPr>
      <w:tblGrid>
        <w:gridCol w:w="520"/>
        <w:gridCol w:w="2850"/>
        <w:gridCol w:w="4410"/>
        <w:gridCol w:w="2400"/>
      </w:tblGrid>
      <w:tr>
        <w:tc>
          <w:tcPr>
            <w:tcW w:type="dxa" w:w="520"/>
            <w:shd w:fill="17324D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850"/>
            <w:shd w:fill="17324D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CHANNEL / BUYER CONTEXT</w:t>
            </w:r>
          </w:p>
        </w:tc>
        <w:tc>
          <w:tcPr>
            <w:tcW w:type="dxa" w:w="4410"/>
            <w:shd w:fill="17324D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30-DAY MOVE</w:t>
            </w:r>
          </w:p>
        </w:tc>
        <w:tc>
          <w:tcPr>
            <w:tcW w:type="dxa" w:w="2400"/>
            <w:shd w:fill="17324D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KPI</w:t>
            </w:r>
          </w:p>
        </w:tc>
      </w:tr>
      <w:tr>
        <w:tc>
          <w:tcPr>
            <w:tcW w:type="dxa" w:w="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4B5"/>
                <w:sz w:val="22"/>
              </w:rPr>
              <w:t>1</w:t>
            </w:r>
          </w:p>
        </w:tc>
        <w:tc>
          <w:tcPr>
            <w:tcW w:type="dxa" w:w="285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5"/>
              </w:rPr>
              <w:t xml:space="preserve">AI search + review ecosystems </w:t>
            </w:r>
            <w:r>
              <w:rPr>
                <w:rFonts w:ascii="Calibri" w:hAnsi="Calibri"/>
                <w:color w:val="1F2933"/>
                <w:sz w:val="15"/>
              </w:rPr>
              <w:t>ChatGPT-style research, comparison queries, G2 and customer proof.</w:t>
            </w:r>
          </w:p>
        </w:tc>
        <w:tc>
          <w:tcPr>
            <w:tcW w:type="dxa" w:w="441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5"/>
              </w:rPr>
              <w:t>Publish a fair alternatives page; add 3 evidence-rich stories; request 5 verified reviews; monitor 20 buyer prompts biweekly.</w:t>
            </w:r>
          </w:p>
        </w:tc>
        <w:tc>
          <w:tcPr>
            <w:tcW w:type="dxa" w:w="24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24D"/>
                <w:sz w:val="15"/>
              </w:rPr>
              <w:t>Qualified demos + AI prompt mention share</w:t>
            </w:r>
          </w:p>
        </w:tc>
      </w:tr>
      <w:tr>
        <w:tc>
          <w:tcPr>
            <w:tcW w:type="dxa" w:w="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4B5"/>
                <w:sz w:val="22"/>
              </w:rPr>
              <w:t>2</w:t>
            </w:r>
          </w:p>
        </w:tc>
        <w:tc>
          <w:tcPr>
            <w:tcW w:type="dxa" w:w="285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5"/>
              </w:rPr>
              <w:t xml:space="preserve">LinkedIn founder-led thought leadership </w:t>
            </w:r>
            <w:r>
              <w:rPr>
                <w:rFonts w:ascii="Calibri" w:hAnsi="Calibri"/>
                <w:color w:val="1F2933"/>
                <w:sz w:val="15"/>
              </w:rPr>
              <w:t>Founder, SEO/content, ecommerce and agency conversations—including hidden buyers.</w:t>
            </w:r>
          </w:p>
        </w:tc>
        <w:tc>
          <w:tcPr>
            <w:tcW w:type="dxa" w:w="441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5"/>
              </w:rPr>
              <w:t>Weekly loop: original benchmark, customer teardown and contrarian operator lesson. Link each post to one proof asset.</w:t>
            </w:r>
          </w:p>
        </w:tc>
        <w:tc>
          <w:tcPr>
            <w:tcW w:type="dxa" w:w="24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24D"/>
                <w:sz w:val="15"/>
              </w:rPr>
              <w:t>Target-role engagement + influenced demos</w:t>
            </w:r>
          </w:p>
        </w:tc>
      </w:tr>
      <w:tr>
        <w:tc>
          <w:tcPr>
            <w:tcW w:type="dxa" w:w="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4B5"/>
                <w:sz w:val="22"/>
              </w:rPr>
              <w:t>3</w:t>
            </w:r>
          </w:p>
        </w:tc>
        <w:tc>
          <w:tcPr>
            <w:tcW w:type="dxa" w:w="285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5"/>
              </w:rPr>
              <w:t xml:space="preserve">Trusted communities + partners </w:t>
            </w:r>
            <w:r>
              <w:rPr>
                <w:rFonts w:ascii="Calibri" w:hAnsi="Calibri"/>
                <w:color w:val="1F2933"/>
                <w:sz w:val="15"/>
              </w:rPr>
              <w:t>Founder communities, agency networks, niche newsletters, podcasts and adjacent SaaS ecosystems.</w:t>
            </w:r>
          </w:p>
        </w:tc>
        <w:tc>
          <w:tcPr>
            <w:tcW w:type="dxa" w:w="441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5"/>
              </w:rPr>
              <w:t>Share one transparent experiment; recruit 2 agency design partners; pitch a co-hosted AI visibility benchmark.</w:t>
            </w:r>
          </w:p>
        </w:tc>
        <w:tc>
          <w:tcPr>
            <w:tcW w:type="dxa" w:w="24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24D"/>
                <w:sz w:val="15"/>
              </w:rPr>
              <w:t>Partner opportunities + qualified conversations</w:t>
            </w:r>
          </w:p>
        </w:tc>
      </w:tr>
    </w:tbl>
    <w:p>
      <w:pPr>
        <w:pStyle w:val="Heading1"/>
      </w:pPr>
      <w:r>
        <w:t>The #1 challenge</w:t>
      </w:r>
    </w:p>
    <w:tbl>
      <w:tblPr>
        <w:tblW w:type="dxa" w:w="1018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6" w:color="E3C46B"/>
          <w:left w:val="single" w:sz="6" w:color="E3C46B"/>
          <w:bottom w:val="single" w:sz="6" w:color="E3C46B"/>
          <w:right w:val="single" w:sz="6" w:color="E3C46B"/>
          <w:insideH w:val="single" w:sz="6" w:color="E3C46B"/>
          <w:insideV w:val="single" w:sz="6" w:color="E3C46B"/>
        </w:tblBorders>
      </w:tblPr>
      <w:tblGrid>
        <w:gridCol w:w="2500"/>
        <w:gridCol w:w="7680"/>
      </w:tblGrid>
      <w:tr>
        <w:tc>
          <w:tcPr>
            <w:tcW w:type="dxa" w:w="25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24D"/>
                <w:sz w:val="20"/>
              </w:rPr>
              <w:t>PROVING VALUE</w:t>
              <w:br/>
              <w:t>TO A SKEPTICAL</w:t>
              <w:br/>
              <w:t>BUYING GROUP</w:t>
            </w:r>
          </w:p>
        </w:tc>
        <w:tc>
          <w:tcPr>
            <w:tcW w:type="dxa" w:w="768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  <w:shd w:fill="FFFDF7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7"/>
              </w:rPr>
              <w:t xml:space="preserve">WHY IT IS HARD </w:t>
            </w:r>
            <w:r>
              <w:rPr>
                <w:rFonts w:ascii="Calibri" w:hAnsi="Calibri"/>
                <w:color w:val="1F2933"/>
                <w:sz w:val="17"/>
              </w:rPr>
              <w:t>SEO and AI visibility take time, attribution is imperfect, and ‘AI-powered’ claims are easy to copy. Reduce risk with baseline metrics, transparent methodology, time-to-first-value, customer evidence, security answers and a small, low-risk starting offer.</w:t>
            </w:r>
          </w:p>
        </w:tc>
      </w:tr>
    </w:tbl>
    <w:p>
      <w:pPr>
        <w:pStyle w:val="Heading1"/>
      </w:pPr>
      <w:r>
        <w:t>Where AI helps</w:t>
      </w:r>
    </w:p>
    <w:tbl>
      <w:tblPr>
        <w:tblW w:type="dxa" w:w="1018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394"/>
        <w:gridCol w:w="3393"/>
        <w:gridCol w:w="3393"/>
      </w:tblGrid>
      <w:tr>
        <w:tc>
          <w:tcPr>
            <w:tcW w:type="dxa" w:w="3394"/>
            <w:shd w:fill="F5F8FB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5"/>
              </w:rPr>
              <w:t xml:space="preserve">RESEARCH </w:t>
            </w:r>
            <w:r>
              <w:rPr>
                <w:rFonts w:ascii="Calibri" w:hAnsi="Calibri"/>
                <w:color w:val="1F2933"/>
                <w:sz w:val="15"/>
              </w:rPr>
              <w:t>Synthesize calls, reviews and community questions into objections.</w:t>
            </w:r>
          </w:p>
        </w:tc>
        <w:tc>
          <w:tcPr>
            <w:tcW w:type="dxa" w:w="3393"/>
            <w:shd w:fill="F5F8FB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5"/>
              </w:rPr>
              <w:t xml:space="preserve">CONTENT </w:t>
            </w:r>
            <w:r>
              <w:rPr>
                <w:rFonts w:ascii="Calibri" w:hAnsi="Calibri"/>
                <w:color w:val="1F2933"/>
                <w:sz w:val="15"/>
              </w:rPr>
              <w:t>Repurpose verified benchmarks across formats without losing evidence.</w:t>
            </w:r>
          </w:p>
        </w:tc>
        <w:tc>
          <w:tcPr>
            <w:tcW w:type="dxa" w:w="3393"/>
            <w:shd w:fill="F5F8FB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5"/>
              </w:rPr>
              <w:t xml:space="preserve">PERSONALIZATION </w:t>
            </w:r>
            <w:r>
              <w:rPr>
                <w:rFonts w:ascii="Calibri" w:hAnsi="Calibri"/>
                <w:color w:val="1F2933"/>
                <w:sz w:val="15"/>
              </w:rPr>
              <w:t>Draft account-specific teardown hypotheses; humans verify claims.</w:t>
            </w:r>
          </w:p>
        </w:tc>
      </w:tr>
      <w:tr>
        <w:tc>
          <w:tcPr>
            <w:tcW w:type="dxa" w:w="3394"/>
            <w:shd w:fill="F5F8FB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5"/>
              </w:rPr>
              <w:t xml:space="preserve">GEO MONITORING </w:t>
            </w:r>
            <w:r>
              <w:rPr>
                <w:rFonts w:ascii="Calibri" w:hAnsi="Calibri"/>
                <w:color w:val="1F2933"/>
                <w:sz w:val="15"/>
              </w:rPr>
              <w:t>Track buyer prompts, mentions, citations and missing proof.</w:t>
            </w:r>
          </w:p>
        </w:tc>
        <w:tc>
          <w:tcPr>
            <w:tcW w:type="dxa" w:w="3393"/>
            <w:shd w:fill="F5F8FB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5"/>
              </w:rPr>
              <w:t xml:space="preserve">SALES ENABLEMENT </w:t>
            </w:r>
            <w:r>
              <w:rPr>
                <w:rFonts w:ascii="Calibri" w:hAnsi="Calibri"/>
                <w:color w:val="1F2933"/>
                <w:sz w:val="15"/>
              </w:rPr>
              <w:t>Create role-specific briefs for marketing, finance, executives and IT.</w:t>
            </w:r>
          </w:p>
        </w:tc>
        <w:tc>
          <w:tcPr>
            <w:tcW w:type="dxa" w:w="3393"/>
            <w:shd w:fill="F5F8FB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7324D"/>
                <w:sz w:val="15"/>
              </w:rPr>
              <w:t xml:space="preserve">QUALITY CONTROL </w:t>
            </w:r>
            <w:r>
              <w:rPr>
                <w:rFonts w:ascii="Calibri" w:hAnsi="Calibri"/>
                <w:color w:val="1F2933"/>
                <w:sz w:val="15"/>
              </w:rPr>
              <w:t>Flag unsupported claims, vague language and inconsistent numbers.</w:t>
            </w:r>
          </w:p>
        </w:tc>
      </w:tr>
    </w:tbl>
    <w:p>
      <w:pPr>
        <w:spacing w:before="60" w:after="40"/>
      </w:pPr>
      <w:r>
        <w:rPr>
          <w:rFonts w:ascii="Calibri" w:hAnsi="Calibri"/>
          <w:b/>
          <w:color w:val="2E74B5"/>
          <w:sz w:val="16"/>
        </w:rPr>
        <w:t xml:space="preserve">RULE: </w:t>
      </w:r>
      <w:r>
        <w:rPr>
          <w:rFonts w:ascii="Calibri" w:hAnsi="Calibri"/>
          <w:b/>
          <w:color w:val="1F2933"/>
          <w:sz w:val="16"/>
        </w:rPr>
        <w:t>AI accelerates synthesis and execution; humans own strategy, verification, community judgment and customer promises.</w:t>
      </w:r>
    </w:p>
    <w:p>
      <w:pPr>
        <w:spacing w:before="40" w:after="0" w:line="240" w:lineRule="auto"/>
      </w:pPr>
      <w:r>
        <w:rPr>
          <w:rFonts w:ascii="Calibri" w:hAnsi="Calibri"/>
          <w:b/>
          <w:color w:val="5F6B76"/>
          <w:sz w:val="13"/>
        </w:rPr>
        <w:t xml:space="preserve">Sources: </w:t>
      </w:r>
      <w:r>
        <w:rPr>
          <w:rFonts w:ascii="Calibri" w:hAnsi="Calibri"/>
          <w:color w:val="5F6B76"/>
          <w:sz w:val="13"/>
        </w:rPr>
        <w:t>G2 2026 Buyer Behavior Report; G2 Answer Economy research; LinkedIn/Edelman 2025 B2B Thought Leadership research; Indie Hackers; Canalys partner ecosystem research.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F6B76"/>
        <w:sz w:val="14"/>
      </w:rPr>
      <w:t>Know Your Niche: B2B SaaS  •  Prepared for FlyRank Internship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F6B76"/>
        <w:sz w:val="15"/>
      </w:rPr>
      <w:t>FLYRANK  |  AI MARKETING FOUNDATIONS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 Your Niche: B2B SaaS</dc:title>
  <dc:subject>One-page marketing playbook for FlyRank</dc:subject>
  <dc:creator>Joudy Mohamed</dc:creator>
  <cp:keywords>B2B SaaS, FlyRank, AI marketing, playbook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