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题目：军事行为避空侦查的时机和线路选择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1问题重述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模型假设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符号说明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4.1 问题一的分析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4.2 问题二的分析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4.3 问题三的分析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模型的建立和求解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5.1 问题一模型建立与求解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5.1.1  坐标的建立与转化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5.1.2 二体运动模型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5.1.3 Q型卫星运动建模与分析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5.1.4 L-1，L-2型卫星运动建模与分析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5.1.5 K型卫星的运动建模与分析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问题二的分析与建模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5.2.1 数据预处理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5.2.2 模型选择与模型介绍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5.2.3 问题二模型的建立与求解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问题三的分析与建模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5.3.1 针对L型卫星(L-1,L-2)的反侦察可行性分析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5.3.2 针对Q型卫星的反侦察可行性分析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5.3.3 针对K型卫星的反侦察可行性分析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5.3.4 针对两种卫星(Q型和L型)的反侦察可行性分析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模型优缺点与改进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模型的优点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模型的不足和改进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66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2017-09-17T03:46:50Z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