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A50B0" w14:textId="77777777" w:rsidR="001A731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Presentado por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Julian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Salamanca y Anderson Trujillo</w:t>
      </w:r>
    </w:p>
    <w:p w14:paraId="476647FA" w14:textId="77777777" w:rsidR="001A731F" w:rsidRDefault="001A731F">
      <w:pPr>
        <w:spacing w:line="240" w:lineRule="auto"/>
        <w:rPr>
          <w:rFonts w:ascii="Times New Roman" w:eastAsia="Times New Roman" w:hAnsi="Times New Roman" w:cs="Times New Roman"/>
          <w:sz w:val="6"/>
          <w:szCs w:val="6"/>
        </w:rPr>
      </w:pPr>
    </w:p>
    <w:p w14:paraId="39E42C12" w14:textId="77777777" w:rsidR="001A731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Pronóstico de personas ocupadas en 13 ciudades de Colombia</w:t>
      </w:r>
    </w:p>
    <w:p w14:paraId="017B77C0" w14:textId="77777777" w:rsidR="001A731F" w:rsidRDefault="00000000" w:rsidP="00727E1A">
      <w:pPr>
        <w:keepNext/>
        <w:numPr>
          <w:ilvl w:val="0"/>
          <w:numId w:val="1"/>
        </w:numPr>
        <w:spacing w:before="240" w:after="80" w:line="240" w:lineRule="auto"/>
        <w:jc w:val="both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METODOLOGÍA</w:t>
      </w:r>
    </w:p>
    <w:p w14:paraId="78AD9F9E" w14:textId="77777777" w:rsidR="001A731F" w:rsidRDefault="00000000" w:rsidP="00727E1A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 analizó la serie mensual del número de ocupados entre enero de 2001 y junio de 2019, compuesta por 222 registros. La información se dividió en 208 observaciones para entrenamiento y 14 para prueba.</w:t>
      </w:r>
    </w:p>
    <w:p w14:paraId="37D16A4F" w14:textId="77777777" w:rsidR="001A731F" w:rsidRDefault="00000000" w:rsidP="00727E1A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Posteriormente, se evaluaron diferentes modelos de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suavización exponencial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entre ellos el modelo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simple (SES)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Holt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Holt-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Winters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con componentes aditivos y multiplicativos.</w:t>
      </w:r>
    </w:p>
    <w:p w14:paraId="77E82C17" w14:textId="77777777" w:rsidR="001A731F" w:rsidRDefault="00000000" w:rsidP="00727E1A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Tras comparar los resultados, el modelo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Holt-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Winters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multiplicativo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presentó el mejor desempeño en la estimación de los patrones de tendencia y estacionalidad de la serie, por lo que fue seleccionado para generar las proyecciones de los seis meses siguientes.</w:t>
      </w:r>
    </w:p>
    <w:p w14:paraId="20F074EE" w14:textId="77777777" w:rsidR="001A731F" w:rsidRDefault="00000000">
      <w:pPr>
        <w:keepNext/>
        <w:numPr>
          <w:ilvl w:val="0"/>
          <w:numId w:val="1"/>
        </w:numPr>
        <w:spacing w:before="240" w:after="80" w:line="240" w:lineRule="auto"/>
        <w:jc w:val="center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EVALUACIÓN DE MODELOS</w:t>
      </w:r>
    </w:p>
    <w:p w14:paraId="3BB2CEF4" w14:textId="77777777" w:rsidR="00727E1A" w:rsidRDefault="00000000">
      <w:pPr>
        <w:keepNext/>
        <w:spacing w:before="240" w:after="80" w:line="240" w:lineRule="auto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El desempeño de cada modelo se valoró mediante métricas estadísticas de error: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MAE</w:t>
      </w: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MSE</w:t>
      </w: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RMSE</w:t>
      </w: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 y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MAPE</w:t>
      </w:r>
      <w:r>
        <w:rPr>
          <w:rFonts w:ascii="Times New Roman" w:eastAsia="Times New Roman" w:hAnsi="Times New Roman" w:cs="Times New Roman"/>
          <w:smallCaps/>
          <w:sz w:val="20"/>
          <w:szCs w:val="20"/>
        </w:rPr>
        <w:t>.</w:t>
      </w:r>
    </w:p>
    <w:p w14:paraId="194D16DC" w14:textId="49A435DA" w:rsidR="001A731F" w:rsidRDefault="00000000">
      <w:pPr>
        <w:keepNext/>
        <w:spacing w:before="240" w:after="80" w:line="240" w:lineRule="auto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El modelo Holt-</w:t>
      </w:r>
      <w:proofErr w:type="spellStart"/>
      <w:r>
        <w:rPr>
          <w:rFonts w:ascii="Times New Roman" w:eastAsia="Times New Roman" w:hAnsi="Times New Roman" w:cs="Times New Roman"/>
          <w:smallCaps/>
          <w:sz w:val="20"/>
          <w:szCs w:val="20"/>
        </w:rPr>
        <w:t>Winters</w:t>
      </w:r>
      <w:proofErr w:type="spellEnd"/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 multiplicativo obtuvo los menores errores, con un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RMSE de 116.06</w:t>
      </w: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 y un </w:t>
      </w:r>
      <w:r>
        <w:rPr>
          <w:rFonts w:ascii="Times New Roman" w:eastAsia="Times New Roman" w:hAnsi="Times New Roman" w:cs="Times New Roman"/>
          <w:b/>
          <w:smallCaps/>
          <w:sz w:val="20"/>
          <w:szCs w:val="20"/>
        </w:rPr>
        <w:t>MAPE de 0.93 %</w:t>
      </w:r>
      <w:r>
        <w:rPr>
          <w:rFonts w:ascii="Times New Roman" w:eastAsia="Times New Roman" w:hAnsi="Times New Roman" w:cs="Times New Roman"/>
          <w:smallCaps/>
          <w:sz w:val="20"/>
          <w:szCs w:val="20"/>
        </w:rPr>
        <w:t>, evidenciando un ajuste preciso a la dinámica observada en la serie.</w:t>
      </w:r>
    </w:p>
    <w:p w14:paraId="3D72BDA1" w14:textId="77777777" w:rsidR="001A731F" w:rsidRDefault="00000000">
      <w:pPr>
        <w:keepNext/>
        <w:spacing w:before="240" w:after="80" w:line="240" w:lineRule="auto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La tabla comparativa de métricas respalda cuantitativamente la selección del modelo final, garantizando la solidez del pronóstico.</w:t>
      </w:r>
    </w:p>
    <w:tbl>
      <w:tblPr>
        <w:tblStyle w:val="a"/>
        <w:tblW w:w="62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6"/>
        <w:gridCol w:w="2077"/>
        <w:gridCol w:w="2077"/>
      </w:tblGrid>
      <w:tr w:rsidR="001A731F" w14:paraId="5A7EAA8B" w14:textId="77777777" w:rsidTr="00727E1A">
        <w:trPr>
          <w:trHeight w:val="223"/>
          <w:jc w:val="center"/>
        </w:trPr>
        <w:tc>
          <w:tcPr>
            <w:tcW w:w="20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9CCE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modelo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98A70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rmse</w:t>
            </w:r>
            <w:proofErr w:type="spellEnd"/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D169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mape</w:t>
            </w:r>
            <w:proofErr w:type="spellEnd"/>
          </w:p>
        </w:tc>
      </w:tr>
      <w:tr w:rsidR="001A731F" w14:paraId="14D92578" w14:textId="77777777" w:rsidTr="00727E1A">
        <w:trPr>
          <w:trHeight w:val="223"/>
          <w:jc w:val="center"/>
        </w:trPr>
        <w:tc>
          <w:tcPr>
            <w:tcW w:w="20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18B02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Holt-</w:t>
            </w:r>
            <w:proofErr w:type="spellStart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Winters</w:t>
            </w:r>
            <w:proofErr w:type="spellEnd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 xml:space="preserve"> Multiplicativo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B6DF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116.0627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A7F78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0.93%</w:t>
            </w:r>
          </w:p>
        </w:tc>
      </w:tr>
      <w:tr w:rsidR="001A731F" w14:paraId="2E656716" w14:textId="77777777" w:rsidTr="00727E1A">
        <w:trPr>
          <w:trHeight w:val="223"/>
          <w:jc w:val="center"/>
        </w:trPr>
        <w:tc>
          <w:tcPr>
            <w:tcW w:w="20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1E45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 xml:space="preserve">Promedio </w:t>
            </w:r>
            <w:proofErr w:type="spellStart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Movil</w:t>
            </w:r>
            <w:proofErr w:type="spellEnd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 xml:space="preserve"> (2) 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92750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169.1878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617A1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1.15%</w:t>
            </w:r>
          </w:p>
        </w:tc>
      </w:tr>
      <w:tr w:rsidR="001A731F" w14:paraId="1DCB3DBC" w14:textId="77777777" w:rsidTr="00727E1A">
        <w:trPr>
          <w:trHeight w:val="223"/>
          <w:jc w:val="center"/>
        </w:trPr>
        <w:tc>
          <w:tcPr>
            <w:tcW w:w="20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8A8B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SES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97E9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177.9926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C64D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0.93%</w:t>
            </w:r>
          </w:p>
        </w:tc>
      </w:tr>
      <w:tr w:rsidR="001A731F" w14:paraId="72DB529E" w14:textId="77777777" w:rsidTr="00727E1A">
        <w:trPr>
          <w:trHeight w:val="223"/>
          <w:jc w:val="center"/>
        </w:trPr>
        <w:tc>
          <w:tcPr>
            <w:tcW w:w="20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0CE5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 xml:space="preserve">Promedio </w:t>
            </w:r>
            <w:proofErr w:type="spellStart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Movil</w:t>
            </w:r>
            <w:proofErr w:type="spellEnd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 xml:space="preserve"> (3)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7E7C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181.4386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5E51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1.37%</w:t>
            </w:r>
          </w:p>
        </w:tc>
      </w:tr>
      <w:tr w:rsidR="001A731F" w14:paraId="4992E083" w14:textId="77777777" w:rsidTr="00727E1A">
        <w:trPr>
          <w:trHeight w:val="223"/>
          <w:jc w:val="center"/>
        </w:trPr>
        <w:tc>
          <w:tcPr>
            <w:tcW w:w="20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67B7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Holt-</w:t>
            </w:r>
            <w:proofErr w:type="spellStart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Winters</w:t>
            </w:r>
            <w:proofErr w:type="spellEnd"/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 xml:space="preserve"> Aditivo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BC1C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208.8975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D55D7" w14:textId="77777777" w:rsidR="001A731F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18"/>
                <w:szCs w:val="18"/>
              </w:rPr>
              <w:t>1.80%</w:t>
            </w:r>
          </w:p>
        </w:tc>
      </w:tr>
    </w:tbl>
    <w:p w14:paraId="22BBDF67" w14:textId="77777777" w:rsidR="001A731F" w:rsidRDefault="001A731F">
      <w:pPr>
        <w:keepNext/>
        <w:spacing w:before="240" w:after="80" w:line="240" w:lineRule="auto"/>
        <w:rPr>
          <w:rFonts w:ascii="Times New Roman" w:eastAsia="Times New Roman" w:hAnsi="Times New Roman" w:cs="Times New Roman"/>
          <w:smallCaps/>
          <w:sz w:val="20"/>
          <w:szCs w:val="20"/>
        </w:rPr>
      </w:pPr>
    </w:p>
    <w:p w14:paraId="603EF237" w14:textId="2789AEFA" w:rsidR="00727E1A" w:rsidRPr="00727E1A" w:rsidRDefault="00000000" w:rsidP="00727E1A">
      <w:pPr>
        <w:keepNext/>
        <w:numPr>
          <w:ilvl w:val="0"/>
          <w:numId w:val="1"/>
        </w:numPr>
        <w:spacing w:before="240" w:after="80" w:line="240" w:lineRule="auto"/>
        <w:jc w:val="center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PRONÓSTICO</w:t>
      </w:r>
    </w:p>
    <w:p w14:paraId="7DF9F871" w14:textId="06775FD1" w:rsidR="001A731F" w:rsidRDefault="00727E1A" w:rsidP="00727E1A">
      <w:pPr>
        <w:widowControl w:val="0"/>
        <w:spacing w:line="252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27E1A">
        <w:rPr>
          <w:rFonts w:ascii="Times New Roman" w:eastAsia="Times New Roman" w:hAnsi="Times New Roman" w:cs="Times New Roman"/>
          <w:sz w:val="20"/>
          <w:szCs w:val="20"/>
        </w:rPr>
        <w:t>Aplicando el modelo seleccionado, se estimó la evolución del número de ocupados para los seis meses posteriores al periodo analizado.</w:t>
      </w:r>
      <w:r w:rsidRPr="00727E1A">
        <w:rPr>
          <w:rFonts w:ascii="Times New Roman" w:eastAsia="Times New Roman" w:hAnsi="Times New Roman" w:cs="Times New Roman"/>
          <w:sz w:val="20"/>
          <w:szCs w:val="20"/>
        </w:rPr>
        <w:br/>
        <w:t>El pronóstico proyecta un comportamiento estable con ligeras fluctuaciones estacionales, consistentes con las variaciones históricas del empleo urbano.</w:t>
      </w:r>
      <w:r w:rsidRPr="00727E1A">
        <w:rPr>
          <w:rFonts w:ascii="Times New Roman" w:eastAsia="Times New Roman" w:hAnsi="Times New Roman" w:cs="Times New Roman"/>
          <w:sz w:val="20"/>
          <w:szCs w:val="20"/>
        </w:rPr>
        <w:br/>
        <w:t>Los resultados proporcionan una base confiable para la planificación y el análisis de corto plazo del mercado laboral.</w:t>
      </w:r>
    </w:p>
    <w:p w14:paraId="79BD0F7E" w14:textId="77777777" w:rsidR="001A731F" w:rsidRDefault="00000000">
      <w:pPr>
        <w:widowControl w:val="0"/>
        <w:spacing w:line="252" w:lineRule="auto"/>
        <w:ind w:firstLine="2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0A5D9BD5" wp14:editId="68A7E2B8">
            <wp:extent cx="3116580" cy="1485900"/>
            <wp:effectExtent l="0" t="0" r="762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388" cy="1486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84C22" w14:textId="77777777" w:rsidR="001A731F" w:rsidRDefault="00000000" w:rsidP="00727E1A">
      <w:pPr>
        <w:widowControl w:val="0"/>
        <w:spacing w:line="252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“Estos resultados se basan en la estabilidad de los patrones históricos y no contemplan posibles choques económicos o cambios estructurales que afecten el empleo.”</w:t>
      </w:r>
    </w:p>
    <w:sectPr w:rsidR="001A731F"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58F45" w14:textId="77777777" w:rsidR="00103BCC" w:rsidRDefault="00103BCC">
      <w:pPr>
        <w:spacing w:line="240" w:lineRule="auto"/>
      </w:pPr>
      <w:r>
        <w:separator/>
      </w:r>
    </w:p>
  </w:endnote>
  <w:endnote w:type="continuationSeparator" w:id="0">
    <w:p w14:paraId="5362D5B1" w14:textId="77777777" w:rsidR="00103BCC" w:rsidRDefault="00103B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B30945-DADA-4B6B-9F6C-32A8AFE233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538922E-4EE0-4467-B693-EDB33163F9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C2AD62" w14:textId="77777777" w:rsidR="001A731F" w:rsidRDefault="001A73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FB654" w14:textId="77777777" w:rsidR="00103BCC" w:rsidRDefault="00103BCC">
      <w:pPr>
        <w:spacing w:line="240" w:lineRule="auto"/>
      </w:pPr>
      <w:r>
        <w:separator/>
      </w:r>
    </w:p>
  </w:footnote>
  <w:footnote w:type="continuationSeparator" w:id="0">
    <w:p w14:paraId="21A8D3D8" w14:textId="77777777" w:rsidR="00103BCC" w:rsidRDefault="00103B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05514E"/>
    <w:multiLevelType w:val="multilevel"/>
    <w:tmpl w:val="E00A757E"/>
    <w:lvl w:ilvl="0">
      <w:start w:val="1"/>
      <w:numFmt w:val="upperRoman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%3)"/>
      <w:lvlJc w:val="left"/>
      <w:pPr>
        <w:ind w:left="0" w:firstLine="0"/>
      </w:pPr>
      <w:rPr>
        <w:u w:val="none"/>
      </w:rPr>
    </w:lvl>
    <w:lvl w:ilvl="3">
      <w:start w:val="1"/>
      <w:numFmt w:val="lowerLetter"/>
      <w:lvlText w:val="%4)"/>
      <w:lvlJc w:val="left"/>
      <w:pPr>
        <w:ind w:left="1152" w:hanging="720"/>
      </w:pPr>
      <w:rPr>
        <w:u w:val="none"/>
      </w:rPr>
    </w:lvl>
    <w:lvl w:ilvl="4">
      <w:start w:val="1"/>
      <w:numFmt w:val="decimal"/>
      <w:lvlText w:val="(%5)"/>
      <w:lvlJc w:val="left"/>
      <w:pPr>
        <w:ind w:left="1872" w:hanging="720"/>
      </w:pPr>
      <w:rPr>
        <w:u w:val="none"/>
      </w:rPr>
    </w:lvl>
    <w:lvl w:ilvl="5">
      <w:start w:val="1"/>
      <w:numFmt w:val="lowerLetter"/>
      <w:lvlText w:val="(%6)"/>
      <w:lvlJc w:val="left"/>
      <w:pPr>
        <w:ind w:left="2592" w:hanging="720"/>
      </w:pPr>
      <w:rPr>
        <w:u w:val="none"/>
      </w:rPr>
    </w:lvl>
    <w:lvl w:ilvl="6">
      <w:start w:val="1"/>
      <w:numFmt w:val="lowerRoman"/>
      <w:lvlText w:val="(%7)"/>
      <w:lvlJc w:val="left"/>
      <w:pPr>
        <w:ind w:left="3312" w:hanging="720"/>
      </w:pPr>
      <w:rPr>
        <w:u w:val="none"/>
      </w:rPr>
    </w:lvl>
    <w:lvl w:ilvl="7">
      <w:start w:val="1"/>
      <w:numFmt w:val="lowerLetter"/>
      <w:lvlText w:val="(%8)"/>
      <w:lvlJc w:val="left"/>
      <w:pPr>
        <w:ind w:left="4032" w:hanging="720"/>
      </w:pPr>
      <w:rPr>
        <w:u w:val="none"/>
      </w:rPr>
    </w:lvl>
    <w:lvl w:ilvl="8">
      <w:start w:val="1"/>
      <w:numFmt w:val="lowerRoman"/>
      <w:lvlText w:val="(%9)"/>
      <w:lvlJc w:val="left"/>
      <w:pPr>
        <w:ind w:left="4752" w:hanging="720"/>
      </w:pPr>
      <w:rPr>
        <w:u w:val="none"/>
      </w:rPr>
    </w:lvl>
  </w:abstractNum>
  <w:num w:numId="1" w16cid:durableId="1243758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31F"/>
    <w:rsid w:val="00103BCC"/>
    <w:rsid w:val="00145223"/>
    <w:rsid w:val="001A731F"/>
    <w:rsid w:val="002D6160"/>
    <w:rsid w:val="0072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F2A05"/>
  <w15:docId w15:val="{BC28F10C-2052-4F55-89FE-0E633CB2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302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Anderson trujillo</cp:lastModifiedBy>
  <cp:revision>2</cp:revision>
  <dcterms:created xsi:type="dcterms:W3CDTF">2025-10-30T20:04:00Z</dcterms:created>
  <dcterms:modified xsi:type="dcterms:W3CDTF">2025-10-30T20:04:00Z</dcterms:modified>
</cp:coreProperties>
</file>