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802F" w14:textId="2CCEE8D3" w:rsidR="00CF32DE" w:rsidRDefault="00CF32DE" w:rsidP="00816B9D">
      <w:pPr>
        <w:spacing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Title</w:t>
      </w:r>
    </w:p>
    <w:p w14:paraId="16C5EDA5" w14:textId="77777777" w:rsidR="00CF32DE" w:rsidRPr="00CF32DE" w:rsidRDefault="00CF32DE" w:rsidP="00CF32DE">
      <w:pPr>
        <w:spacing w:line="240" w:lineRule="auto"/>
        <w:contextualSpacing/>
        <w:jc w:val="center"/>
        <w:rPr>
          <w:rFonts w:ascii="Times New Roman" w:hAnsi="Times New Roman" w:cs="Times New Roman"/>
          <w:sz w:val="24"/>
          <w:szCs w:val="24"/>
        </w:rPr>
      </w:pPr>
      <w:r w:rsidRPr="00CF32DE">
        <w:rPr>
          <w:rFonts w:ascii="Times New Roman" w:hAnsi="Times New Roman" w:cs="Times New Roman"/>
          <w:sz w:val="24"/>
          <w:szCs w:val="24"/>
        </w:rPr>
        <w:t>Do Carryover Effects Influence Attentional Bias to Threat in the Dot-Probe Task?</w:t>
      </w:r>
    </w:p>
    <w:p w14:paraId="18C69EC7" w14:textId="77777777" w:rsidR="00CF32DE" w:rsidRDefault="00CF32DE" w:rsidP="00816B9D">
      <w:pPr>
        <w:spacing w:line="240" w:lineRule="auto"/>
        <w:contextualSpacing/>
        <w:jc w:val="center"/>
        <w:rPr>
          <w:rFonts w:ascii="Times New Roman" w:hAnsi="Times New Roman" w:cs="Times New Roman"/>
          <w:b/>
          <w:bCs/>
          <w:sz w:val="24"/>
          <w:szCs w:val="24"/>
        </w:rPr>
      </w:pPr>
    </w:p>
    <w:p w14:paraId="67B6603F" w14:textId="1189ACFF" w:rsidR="00E765E6" w:rsidRPr="00093979" w:rsidRDefault="007C7D5A" w:rsidP="00816B9D">
      <w:pPr>
        <w:spacing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t>Abstract</w:t>
      </w:r>
    </w:p>
    <w:p w14:paraId="44BA1FE4" w14:textId="49BDDCF6" w:rsidR="008C4255" w:rsidRPr="00093979" w:rsidRDefault="00867147" w:rsidP="00816B9D">
      <w:pPr>
        <w:spacing w:line="240" w:lineRule="auto"/>
        <w:contextualSpacing/>
        <w:rPr>
          <w:rFonts w:ascii="Times New Roman" w:hAnsi="Times New Roman" w:cs="Times New Roman"/>
          <w:sz w:val="24"/>
          <w:szCs w:val="24"/>
        </w:rPr>
      </w:pPr>
      <w:bookmarkStart w:id="0" w:name="_Hlk81497302"/>
      <w:r w:rsidRPr="00093979">
        <w:rPr>
          <w:rFonts w:ascii="Times New Roman" w:hAnsi="Times New Roman" w:cs="Times New Roman"/>
          <w:sz w:val="24"/>
          <w:szCs w:val="24"/>
        </w:rPr>
        <w:t>Threatening</w:t>
      </w:r>
      <w:r w:rsidR="00244CEC" w:rsidRPr="00093979">
        <w:rPr>
          <w:rFonts w:ascii="Times New Roman" w:hAnsi="Times New Roman" w:cs="Times New Roman"/>
          <w:sz w:val="24"/>
          <w:szCs w:val="24"/>
        </w:rPr>
        <w:t xml:space="preserve"> s</w:t>
      </w:r>
      <w:r w:rsidR="00723D56" w:rsidRPr="00093979">
        <w:rPr>
          <w:rFonts w:ascii="Times New Roman" w:hAnsi="Times New Roman" w:cs="Times New Roman"/>
          <w:sz w:val="24"/>
          <w:szCs w:val="24"/>
        </w:rPr>
        <w:t>timuli</w:t>
      </w:r>
      <w:r w:rsidR="00244CEC" w:rsidRPr="00093979">
        <w:rPr>
          <w:rFonts w:ascii="Times New Roman" w:hAnsi="Times New Roman" w:cs="Times New Roman"/>
          <w:sz w:val="24"/>
          <w:szCs w:val="24"/>
        </w:rPr>
        <w:t xml:space="preserve"> are often thought to have sufficient potency to </w:t>
      </w:r>
      <w:r w:rsidR="00713D70" w:rsidRPr="00093979">
        <w:rPr>
          <w:rFonts w:ascii="Times New Roman" w:hAnsi="Times New Roman" w:cs="Times New Roman"/>
          <w:sz w:val="24"/>
          <w:szCs w:val="24"/>
        </w:rPr>
        <w:t>bias</w:t>
      </w:r>
      <w:r w:rsidR="00244CEC" w:rsidRPr="00093979">
        <w:rPr>
          <w:rFonts w:ascii="Times New Roman" w:hAnsi="Times New Roman" w:cs="Times New Roman"/>
          <w:sz w:val="24"/>
          <w:szCs w:val="24"/>
        </w:rPr>
        <w:t xml:space="preserve"> attention</w:t>
      </w:r>
      <w:r w:rsidR="00DF3A0C" w:rsidRPr="00093979">
        <w:rPr>
          <w:rFonts w:ascii="Times New Roman" w:hAnsi="Times New Roman" w:cs="Times New Roman"/>
          <w:sz w:val="24"/>
          <w:szCs w:val="24"/>
        </w:rPr>
        <w:t>, relative to</w:t>
      </w:r>
      <w:r w:rsidR="00244CEC" w:rsidRPr="00093979">
        <w:rPr>
          <w:rFonts w:ascii="Times New Roman" w:hAnsi="Times New Roman" w:cs="Times New Roman"/>
          <w:sz w:val="24"/>
          <w:szCs w:val="24"/>
        </w:rPr>
        <w:t xml:space="preserve"> neutral </w:t>
      </w:r>
      <w:r w:rsidR="00723D56" w:rsidRPr="00093979">
        <w:rPr>
          <w:rFonts w:ascii="Times New Roman" w:hAnsi="Times New Roman" w:cs="Times New Roman"/>
          <w:sz w:val="24"/>
          <w:szCs w:val="24"/>
        </w:rPr>
        <w:t>stimuli</w:t>
      </w:r>
      <w:r w:rsidR="00244CEC" w:rsidRPr="00093979">
        <w:rPr>
          <w:rFonts w:ascii="Times New Roman" w:hAnsi="Times New Roman" w:cs="Times New Roman"/>
          <w:sz w:val="24"/>
          <w:szCs w:val="24"/>
        </w:rPr>
        <w:t>.</w:t>
      </w:r>
      <w:r w:rsidR="00266BEA">
        <w:rPr>
          <w:rFonts w:ascii="Times New Roman" w:hAnsi="Times New Roman" w:cs="Times New Roman"/>
          <w:sz w:val="24"/>
          <w:szCs w:val="24"/>
        </w:rPr>
        <w:t xml:space="preserve">  </w:t>
      </w:r>
      <w:r w:rsidR="00622CD3">
        <w:rPr>
          <w:rFonts w:ascii="Times New Roman" w:hAnsi="Times New Roman" w:cs="Times New Roman"/>
          <w:sz w:val="24"/>
          <w:szCs w:val="24"/>
        </w:rPr>
        <w:t>R</w:t>
      </w:r>
      <w:r w:rsidR="00A85D94">
        <w:rPr>
          <w:rFonts w:ascii="Times New Roman" w:hAnsi="Times New Roman" w:cs="Times New Roman"/>
          <w:sz w:val="24"/>
          <w:szCs w:val="24"/>
        </w:rPr>
        <w:t xml:space="preserve">esearchers and clinicians </w:t>
      </w:r>
      <w:r w:rsidR="00275247">
        <w:rPr>
          <w:rFonts w:ascii="Times New Roman" w:hAnsi="Times New Roman" w:cs="Times New Roman"/>
          <w:sz w:val="24"/>
          <w:szCs w:val="24"/>
        </w:rPr>
        <w:t xml:space="preserve">often </w:t>
      </w:r>
      <w:r w:rsidR="00A85D94">
        <w:rPr>
          <w:rFonts w:ascii="Times New Roman" w:hAnsi="Times New Roman" w:cs="Times New Roman"/>
          <w:sz w:val="24"/>
          <w:szCs w:val="24"/>
        </w:rPr>
        <w:t xml:space="preserve">opt for frequently used </w:t>
      </w:r>
      <w:r w:rsidR="00DF7643">
        <w:rPr>
          <w:rFonts w:ascii="Times New Roman" w:hAnsi="Times New Roman" w:cs="Times New Roman"/>
          <w:sz w:val="24"/>
          <w:szCs w:val="24"/>
        </w:rPr>
        <w:t>paradigms</w:t>
      </w:r>
      <w:r w:rsidR="00A85D94">
        <w:rPr>
          <w:rFonts w:ascii="Times New Roman" w:hAnsi="Times New Roman" w:cs="Times New Roman"/>
          <w:sz w:val="24"/>
          <w:szCs w:val="24"/>
        </w:rPr>
        <w:t xml:space="preserve"> </w:t>
      </w:r>
      <w:r w:rsidR="009C561A">
        <w:rPr>
          <w:rFonts w:ascii="Times New Roman" w:hAnsi="Times New Roman" w:cs="Times New Roman"/>
          <w:sz w:val="24"/>
          <w:szCs w:val="24"/>
        </w:rPr>
        <w:t>to measure such bias – like t</w:t>
      </w:r>
      <w:r w:rsidR="00266BEA">
        <w:rPr>
          <w:rFonts w:ascii="Times New Roman" w:hAnsi="Times New Roman" w:cs="Times New Roman"/>
          <w:sz w:val="24"/>
          <w:szCs w:val="24"/>
        </w:rPr>
        <w:t>he dot-probe task</w:t>
      </w:r>
      <w:r w:rsidR="00022FBD">
        <w:rPr>
          <w:rFonts w:ascii="Times New Roman" w:hAnsi="Times New Roman" w:cs="Times New Roman"/>
          <w:sz w:val="24"/>
          <w:szCs w:val="24"/>
        </w:rPr>
        <w:t xml:space="preserve">.  </w:t>
      </w:r>
      <w:r w:rsidR="00447C55">
        <w:rPr>
          <w:rFonts w:ascii="Times New Roman" w:hAnsi="Times New Roman" w:cs="Times New Roman"/>
          <w:sz w:val="24"/>
          <w:szCs w:val="24"/>
        </w:rPr>
        <w:t>Bias to threat in the dot</w:t>
      </w:r>
      <w:r w:rsidR="006C68B9">
        <w:rPr>
          <w:rFonts w:ascii="Times New Roman" w:hAnsi="Times New Roman" w:cs="Times New Roman"/>
          <w:sz w:val="24"/>
          <w:szCs w:val="24"/>
        </w:rPr>
        <w:t>-</w:t>
      </w:r>
      <w:r w:rsidR="00447C55">
        <w:rPr>
          <w:rFonts w:ascii="Times New Roman" w:hAnsi="Times New Roman" w:cs="Times New Roman"/>
          <w:sz w:val="24"/>
          <w:szCs w:val="24"/>
        </w:rPr>
        <w:t xml:space="preserve">probe task is indicated by a congruency effect – </w:t>
      </w:r>
      <w:r w:rsidR="00022FBD">
        <w:rPr>
          <w:rFonts w:ascii="Times New Roman" w:hAnsi="Times New Roman" w:cs="Times New Roman"/>
          <w:sz w:val="24"/>
          <w:szCs w:val="24"/>
        </w:rPr>
        <w:t xml:space="preserve">faster responses </w:t>
      </w:r>
      <w:r w:rsidR="00447C55">
        <w:rPr>
          <w:rFonts w:ascii="Times New Roman" w:hAnsi="Times New Roman" w:cs="Times New Roman"/>
          <w:sz w:val="24"/>
          <w:szCs w:val="24"/>
        </w:rPr>
        <w:t xml:space="preserve">on congruent trials </w:t>
      </w:r>
      <w:r w:rsidR="00622CD3">
        <w:rPr>
          <w:rFonts w:ascii="Times New Roman" w:hAnsi="Times New Roman" w:cs="Times New Roman"/>
          <w:sz w:val="24"/>
          <w:szCs w:val="24"/>
        </w:rPr>
        <w:t>than</w:t>
      </w:r>
      <w:r w:rsidR="00447C55">
        <w:rPr>
          <w:rFonts w:ascii="Times New Roman" w:hAnsi="Times New Roman" w:cs="Times New Roman"/>
          <w:sz w:val="24"/>
          <w:szCs w:val="24"/>
        </w:rPr>
        <w:t xml:space="preserve"> incongruent trials</w:t>
      </w:r>
      <w:r w:rsidR="00622CD3">
        <w:rPr>
          <w:rFonts w:ascii="Times New Roman" w:hAnsi="Times New Roman" w:cs="Times New Roman"/>
          <w:sz w:val="24"/>
          <w:szCs w:val="24"/>
        </w:rPr>
        <w:t xml:space="preserve"> (also referred to as attention capture)</w:t>
      </w:r>
      <w:r w:rsidR="00447C55">
        <w:rPr>
          <w:rFonts w:ascii="Times New Roman" w:hAnsi="Times New Roman" w:cs="Times New Roman"/>
          <w:sz w:val="24"/>
          <w:szCs w:val="24"/>
        </w:rPr>
        <w:t xml:space="preserve">.  However, recent studies </w:t>
      </w:r>
      <w:r w:rsidR="00022FBD">
        <w:rPr>
          <w:rFonts w:ascii="Times New Roman" w:hAnsi="Times New Roman" w:cs="Times New Roman"/>
          <w:sz w:val="24"/>
          <w:szCs w:val="24"/>
        </w:rPr>
        <w:t xml:space="preserve">have found </w:t>
      </w:r>
      <w:r w:rsidR="00447C55">
        <w:rPr>
          <w:rFonts w:ascii="Times New Roman" w:hAnsi="Times New Roman" w:cs="Times New Roman"/>
          <w:sz w:val="24"/>
          <w:szCs w:val="24"/>
        </w:rPr>
        <w:t xml:space="preserve">that such congruency effects suffer from </w:t>
      </w:r>
      <w:r w:rsidR="00022FBD">
        <w:rPr>
          <w:rFonts w:ascii="Times New Roman" w:hAnsi="Times New Roman" w:cs="Times New Roman"/>
          <w:sz w:val="24"/>
          <w:szCs w:val="24"/>
        </w:rPr>
        <w:t xml:space="preserve">poor internal reliability.  </w:t>
      </w:r>
      <w:r w:rsidR="003E5C80">
        <w:rPr>
          <w:rFonts w:ascii="Times New Roman" w:hAnsi="Times New Roman" w:cs="Times New Roman"/>
          <w:sz w:val="24"/>
          <w:szCs w:val="24"/>
        </w:rPr>
        <w:t xml:space="preserve">One </w:t>
      </w:r>
      <w:r w:rsidR="0099679D">
        <w:rPr>
          <w:rFonts w:ascii="Times New Roman" w:hAnsi="Times New Roman" w:cs="Times New Roman"/>
          <w:sz w:val="24"/>
          <w:szCs w:val="24"/>
        </w:rPr>
        <w:t xml:space="preserve">potential explanation </w:t>
      </w:r>
      <w:r w:rsidR="00AA0DE7">
        <w:rPr>
          <w:rFonts w:ascii="Times New Roman" w:hAnsi="Times New Roman" w:cs="Times New Roman"/>
          <w:sz w:val="24"/>
          <w:szCs w:val="24"/>
        </w:rPr>
        <w:t>of</w:t>
      </w:r>
      <w:r w:rsidR="0099679D">
        <w:rPr>
          <w:rFonts w:ascii="Times New Roman" w:hAnsi="Times New Roman" w:cs="Times New Roman"/>
          <w:sz w:val="24"/>
          <w:szCs w:val="24"/>
        </w:rPr>
        <w:t xml:space="preserve"> this issue is </w:t>
      </w:r>
      <w:r w:rsidR="003E5C80" w:rsidRPr="003E5C80">
        <w:rPr>
          <w:rFonts w:ascii="Times New Roman" w:hAnsi="Times New Roman" w:cs="Times New Roman"/>
          <w:i/>
          <w:iCs/>
          <w:sz w:val="24"/>
          <w:szCs w:val="24"/>
        </w:rPr>
        <w:t>carryover effects</w:t>
      </w:r>
      <w:r w:rsidR="009447B7">
        <w:rPr>
          <w:rFonts w:ascii="Times New Roman" w:hAnsi="Times New Roman" w:cs="Times New Roman"/>
          <w:sz w:val="24"/>
          <w:szCs w:val="24"/>
        </w:rPr>
        <w:t xml:space="preserve"> </w:t>
      </w:r>
      <w:r w:rsidR="00CA308B">
        <w:rPr>
          <w:rFonts w:ascii="Times New Roman" w:hAnsi="Times New Roman" w:cs="Times New Roman"/>
          <w:sz w:val="24"/>
          <w:szCs w:val="24"/>
        </w:rPr>
        <w:t xml:space="preserve">of threat </w:t>
      </w:r>
      <w:r w:rsidR="003E5C80">
        <w:rPr>
          <w:rFonts w:ascii="Times New Roman" w:hAnsi="Times New Roman" w:cs="Times New Roman"/>
          <w:sz w:val="24"/>
          <w:szCs w:val="24"/>
        </w:rPr>
        <w:t>–</w:t>
      </w:r>
      <w:r w:rsidR="00BE577E">
        <w:rPr>
          <w:rFonts w:ascii="Times New Roman" w:hAnsi="Times New Roman" w:cs="Times New Roman"/>
          <w:sz w:val="24"/>
          <w:szCs w:val="24"/>
        </w:rPr>
        <w:t xml:space="preserve"> </w:t>
      </w:r>
      <w:r w:rsidR="009447B7">
        <w:rPr>
          <w:rFonts w:ascii="Times New Roman" w:hAnsi="Times New Roman" w:cs="Times New Roman"/>
          <w:sz w:val="24"/>
          <w:szCs w:val="24"/>
        </w:rPr>
        <w:t xml:space="preserve">greater congruency effects on </w:t>
      </w:r>
      <w:r w:rsidR="0099679D">
        <w:rPr>
          <w:rFonts w:ascii="Times New Roman" w:hAnsi="Times New Roman" w:cs="Times New Roman"/>
          <w:sz w:val="24"/>
          <w:szCs w:val="24"/>
        </w:rPr>
        <w:t>trials followed by a congruent trial relative to trials followed by an incongruent trial</w:t>
      </w:r>
      <w:r w:rsidR="00192F5B">
        <w:rPr>
          <w:rFonts w:ascii="Times New Roman" w:hAnsi="Times New Roman" w:cs="Times New Roman"/>
          <w:sz w:val="24"/>
          <w:szCs w:val="24"/>
        </w:rPr>
        <w:t xml:space="preserve">.  </w:t>
      </w:r>
      <w:r w:rsidR="00DA5194">
        <w:rPr>
          <w:rFonts w:ascii="Times New Roman" w:hAnsi="Times New Roman" w:cs="Times New Roman"/>
          <w:sz w:val="24"/>
          <w:szCs w:val="24"/>
        </w:rPr>
        <w:t>In the current study</w:t>
      </w:r>
      <w:r w:rsidR="004A6B76">
        <w:rPr>
          <w:rFonts w:ascii="Times New Roman" w:hAnsi="Times New Roman" w:cs="Times New Roman"/>
          <w:sz w:val="24"/>
          <w:szCs w:val="24"/>
        </w:rPr>
        <w:t>,</w:t>
      </w:r>
      <w:r w:rsidR="00DA5194">
        <w:rPr>
          <w:rFonts w:ascii="Times New Roman" w:hAnsi="Times New Roman" w:cs="Times New Roman"/>
          <w:sz w:val="24"/>
          <w:szCs w:val="24"/>
        </w:rPr>
        <w:t xml:space="preserve"> we improve upon </w:t>
      </w:r>
      <w:r w:rsidR="00192F5B">
        <w:rPr>
          <w:rFonts w:ascii="Times New Roman" w:hAnsi="Times New Roman" w:cs="Times New Roman"/>
          <w:sz w:val="24"/>
          <w:szCs w:val="24"/>
        </w:rPr>
        <w:t>the</w:t>
      </w:r>
      <w:r w:rsidR="00DA5194">
        <w:rPr>
          <w:rFonts w:ascii="Times New Roman" w:hAnsi="Times New Roman" w:cs="Times New Roman"/>
          <w:sz w:val="24"/>
          <w:szCs w:val="24"/>
        </w:rPr>
        <w:t xml:space="preserve"> limitations of the</w:t>
      </w:r>
      <w:r w:rsidR="00192F5B">
        <w:rPr>
          <w:rFonts w:ascii="Times New Roman" w:hAnsi="Times New Roman" w:cs="Times New Roman"/>
          <w:sz w:val="24"/>
          <w:szCs w:val="24"/>
        </w:rPr>
        <w:t xml:space="preserve"> few </w:t>
      </w:r>
      <w:r w:rsidR="00DA5194">
        <w:rPr>
          <w:rFonts w:ascii="Times New Roman" w:hAnsi="Times New Roman" w:cs="Times New Roman"/>
          <w:sz w:val="24"/>
          <w:szCs w:val="24"/>
        </w:rPr>
        <w:t>previous studies</w:t>
      </w:r>
      <w:r w:rsidR="00192F5B">
        <w:rPr>
          <w:rFonts w:ascii="Times New Roman" w:hAnsi="Times New Roman" w:cs="Times New Roman"/>
          <w:sz w:val="24"/>
          <w:szCs w:val="24"/>
        </w:rPr>
        <w:t xml:space="preserve"> </w:t>
      </w:r>
      <w:r w:rsidR="004A6B76">
        <w:rPr>
          <w:rFonts w:ascii="Times New Roman" w:hAnsi="Times New Roman" w:cs="Times New Roman"/>
          <w:sz w:val="24"/>
          <w:szCs w:val="24"/>
        </w:rPr>
        <w:t xml:space="preserve">that </w:t>
      </w:r>
      <w:r w:rsidR="00192F5B">
        <w:rPr>
          <w:rFonts w:ascii="Times New Roman" w:hAnsi="Times New Roman" w:cs="Times New Roman"/>
          <w:sz w:val="24"/>
          <w:szCs w:val="24"/>
        </w:rPr>
        <w:t xml:space="preserve">investigated carryover effects for threat </w:t>
      </w:r>
      <w:r w:rsidR="00DA5194">
        <w:rPr>
          <w:rFonts w:ascii="Times New Roman" w:hAnsi="Times New Roman" w:cs="Times New Roman"/>
          <w:sz w:val="24"/>
          <w:szCs w:val="24"/>
        </w:rPr>
        <w:t>by</w:t>
      </w:r>
      <w:r w:rsidR="00192F5B">
        <w:rPr>
          <w:rFonts w:ascii="Times New Roman" w:hAnsi="Times New Roman" w:cs="Times New Roman"/>
          <w:sz w:val="24"/>
          <w:szCs w:val="24"/>
        </w:rPr>
        <w:t xml:space="preserve"> utilizing a typical dot-probe task with two large </w:t>
      </w:r>
      <w:r w:rsidR="00DA5194">
        <w:rPr>
          <w:rFonts w:ascii="Times New Roman" w:hAnsi="Times New Roman" w:cs="Times New Roman"/>
          <w:sz w:val="24"/>
          <w:szCs w:val="24"/>
        </w:rPr>
        <w:t xml:space="preserve">samples </w:t>
      </w:r>
      <w:r w:rsidR="00192F5B">
        <w:rPr>
          <w:rFonts w:ascii="Times New Roman" w:hAnsi="Times New Roman" w:cs="Times New Roman"/>
          <w:sz w:val="24"/>
          <w:szCs w:val="24"/>
        </w:rPr>
        <w:t>of healthy undergraduates.  Although we found a small congruency effect for f</w:t>
      </w:r>
      <w:r w:rsidR="009C39CB" w:rsidRPr="00093979">
        <w:rPr>
          <w:rFonts w:ascii="Times New Roman" w:hAnsi="Times New Roman" w:cs="Times New Roman"/>
          <w:sz w:val="24"/>
          <w:szCs w:val="24"/>
        </w:rPr>
        <w:t xml:space="preserve">earful faces </w:t>
      </w:r>
      <w:r w:rsidR="00775456" w:rsidRPr="00093979">
        <w:rPr>
          <w:rFonts w:ascii="Times New Roman" w:hAnsi="Times New Roman" w:cs="Times New Roman"/>
          <w:sz w:val="24"/>
          <w:szCs w:val="24"/>
        </w:rPr>
        <w:t>(</w:t>
      </w:r>
      <w:r w:rsidR="00192F5B">
        <w:rPr>
          <w:rFonts w:ascii="Times New Roman" w:hAnsi="Times New Roman" w:cs="Times New Roman"/>
          <w:sz w:val="24"/>
          <w:szCs w:val="24"/>
        </w:rPr>
        <w:t xml:space="preserve">Experiment 1, </w:t>
      </w:r>
      <w:r w:rsidR="00775456" w:rsidRPr="00093979">
        <w:rPr>
          <w:rFonts w:ascii="Times New Roman" w:hAnsi="Times New Roman" w:cs="Times New Roman"/>
          <w:i/>
          <w:iCs/>
          <w:sz w:val="24"/>
          <w:szCs w:val="24"/>
        </w:rPr>
        <w:t>n</w:t>
      </w:r>
      <w:r w:rsidR="00775456" w:rsidRPr="00093979">
        <w:rPr>
          <w:rFonts w:ascii="Times New Roman" w:hAnsi="Times New Roman" w:cs="Times New Roman"/>
          <w:sz w:val="24"/>
          <w:szCs w:val="24"/>
        </w:rPr>
        <w:t xml:space="preserve"> </w:t>
      </w:r>
      <w:r w:rsidR="00620630" w:rsidRPr="00093979">
        <w:rPr>
          <w:rFonts w:ascii="Times New Roman" w:hAnsi="Times New Roman" w:cs="Times New Roman"/>
          <w:sz w:val="24"/>
          <w:szCs w:val="24"/>
        </w:rPr>
        <w:t>=</w:t>
      </w:r>
      <w:r w:rsidR="00775456" w:rsidRPr="00093979">
        <w:rPr>
          <w:rFonts w:ascii="Times New Roman" w:hAnsi="Times New Roman" w:cs="Times New Roman"/>
          <w:sz w:val="24"/>
          <w:szCs w:val="24"/>
        </w:rPr>
        <w:t xml:space="preserve"> </w:t>
      </w:r>
      <w:r w:rsidR="008D1D25" w:rsidRPr="00093979">
        <w:rPr>
          <w:rFonts w:ascii="Times New Roman" w:hAnsi="Times New Roman" w:cs="Times New Roman"/>
          <w:sz w:val="24"/>
          <w:szCs w:val="24"/>
        </w:rPr>
        <w:t>241</w:t>
      </w:r>
      <w:r w:rsidR="00620630" w:rsidRPr="00093979">
        <w:rPr>
          <w:rFonts w:ascii="Times New Roman" w:hAnsi="Times New Roman" w:cs="Times New Roman"/>
          <w:sz w:val="24"/>
          <w:szCs w:val="24"/>
        </w:rPr>
        <w:t xml:space="preserve">) and </w:t>
      </w:r>
      <w:r w:rsidR="00192F5B">
        <w:rPr>
          <w:rFonts w:ascii="Times New Roman" w:hAnsi="Times New Roman" w:cs="Times New Roman"/>
          <w:sz w:val="24"/>
          <w:szCs w:val="24"/>
        </w:rPr>
        <w:t xml:space="preserve">avoidance for </w:t>
      </w:r>
      <w:r w:rsidR="009C39CB" w:rsidRPr="00093979">
        <w:rPr>
          <w:rFonts w:ascii="Times New Roman" w:hAnsi="Times New Roman" w:cs="Times New Roman"/>
          <w:sz w:val="24"/>
          <w:szCs w:val="24"/>
        </w:rPr>
        <w:t xml:space="preserve">threatening </w:t>
      </w:r>
      <w:r w:rsidR="00620630" w:rsidRPr="00093979">
        <w:rPr>
          <w:rFonts w:ascii="Times New Roman" w:hAnsi="Times New Roman" w:cs="Times New Roman"/>
          <w:sz w:val="24"/>
          <w:szCs w:val="24"/>
        </w:rPr>
        <w:t>images</w:t>
      </w:r>
      <w:r w:rsidR="00192F5B">
        <w:rPr>
          <w:rFonts w:ascii="Times New Roman" w:hAnsi="Times New Roman" w:cs="Times New Roman"/>
          <w:sz w:val="24"/>
          <w:szCs w:val="24"/>
        </w:rPr>
        <w:t xml:space="preserve">, </w:t>
      </w:r>
      <w:r w:rsidR="00620630" w:rsidRPr="00093979">
        <w:rPr>
          <w:rFonts w:ascii="Times New Roman" w:hAnsi="Times New Roman" w:cs="Times New Roman"/>
          <w:sz w:val="24"/>
          <w:szCs w:val="24"/>
        </w:rPr>
        <w:t>(</w:t>
      </w:r>
      <w:r w:rsidR="00192F5B">
        <w:rPr>
          <w:rFonts w:ascii="Times New Roman" w:hAnsi="Times New Roman" w:cs="Times New Roman"/>
          <w:sz w:val="24"/>
          <w:szCs w:val="24"/>
        </w:rPr>
        <w:t xml:space="preserve">Experiment 2, </w:t>
      </w:r>
      <w:r w:rsidR="009E7830" w:rsidRPr="00093979">
        <w:rPr>
          <w:rFonts w:ascii="Times New Roman" w:hAnsi="Times New Roman" w:cs="Times New Roman"/>
          <w:i/>
          <w:iCs/>
          <w:sz w:val="24"/>
          <w:szCs w:val="24"/>
        </w:rPr>
        <w:t xml:space="preserve">n </w:t>
      </w:r>
      <w:r w:rsidR="00620630" w:rsidRPr="00093979">
        <w:rPr>
          <w:rFonts w:ascii="Times New Roman" w:hAnsi="Times New Roman" w:cs="Times New Roman"/>
          <w:sz w:val="24"/>
          <w:szCs w:val="24"/>
        </w:rPr>
        <w:t>=</w:t>
      </w:r>
      <w:r w:rsidR="009E7830" w:rsidRPr="00093979">
        <w:rPr>
          <w:rFonts w:ascii="Times New Roman" w:hAnsi="Times New Roman" w:cs="Times New Roman"/>
          <w:sz w:val="24"/>
          <w:szCs w:val="24"/>
        </w:rPr>
        <w:t xml:space="preserve"> </w:t>
      </w:r>
      <w:r w:rsidR="008D1D25" w:rsidRPr="00093979">
        <w:rPr>
          <w:rFonts w:ascii="Times New Roman" w:hAnsi="Times New Roman" w:cs="Times New Roman"/>
          <w:sz w:val="24"/>
          <w:szCs w:val="24"/>
        </w:rPr>
        <w:t>82</w:t>
      </w:r>
      <w:r w:rsidR="00620630" w:rsidRPr="00093979">
        <w:rPr>
          <w:rFonts w:ascii="Times New Roman" w:hAnsi="Times New Roman" w:cs="Times New Roman"/>
          <w:sz w:val="24"/>
          <w:szCs w:val="24"/>
        </w:rPr>
        <w:t>)</w:t>
      </w:r>
      <w:r w:rsidR="00192F5B">
        <w:rPr>
          <w:rFonts w:ascii="Times New Roman" w:hAnsi="Times New Roman" w:cs="Times New Roman"/>
          <w:sz w:val="24"/>
          <w:szCs w:val="24"/>
        </w:rPr>
        <w:t xml:space="preserve"> no </w:t>
      </w:r>
      <w:r w:rsidR="00C07A58" w:rsidRPr="00093979">
        <w:rPr>
          <w:rFonts w:ascii="Times New Roman" w:hAnsi="Times New Roman" w:cs="Times New Roman"/>
          <w:sz w:val="24"/>
          <w:szCs w:val="24"/>
        </w:rPr>
        <w:t>carryover</w:t>
      </w:r>
      <w:r w:rsidR="00354C48" w:rsidRPr="00093979">
        <w:rPr>
          <w:rFonts w:ascii="Times New Roman" w:hAnsi="Times New Roman" w:cs="Times New Roman"/>
          <w:sz w:val="24"/>
          <w:szCs w:val="24"/>
        </w:rPr>
        <w:t xml:space="preserve"> effect</w:t>
      </w:r>
      <w:r w:rsidR="00192F5B">
        <w:rPr>
          <w:rFonts w:ascii="Times New Roman" w:hAnsi="Times New Roman" w:cs="Times New Roman"/>
          <w:sz w:val="24"/>
          <w:szCs w:val="24"/>
        </w:rPr>
        <w:t xml:space="preserve">s </w:t>
      </w:r>
      <w:r w:rsidR="00D66138">
        <w:rPr>
          <w:rFonts w:ascii="Times New Roman" w:hAnsi="Times New Roman" w:cs="Times New Roman"/>
          <w:sz w:val="24"/>
          <w:szCs w:val="24"/>
        </w:rPr>
        <w:t xml:space="preserve">for threat </w:t>
      </w:r>
      <w:r w:rsidR="00192F5B">
        <w:rPr>
          <w:rFonts w:ascii="Times New Roman" w:hAnsi="Times New Roman" w:cs="Times New Roman"/>
          <w:sz w:val="24"/>
          <w:szCs w:val="24"/>
        </w:rPr>
        <w:t>were observed</w:t>
      </w:r>
      <w:r w:rsidR="00AF24AD">
        <w:rPr>
          <w:rFonts w:ascii="Times New Roman" w:hAnsi="Times New Roman" w:cs="Times New Roman"/>
          <w:sz w:val="24"/>
          <w:szCs w:val="24"/>
        </w:rPr>
        <w:t xml:space="preserve">.  </w:t>
      </w:r>
      <w:r w:rsidR="003B6129">
        <w:rPr>
          <w:rFonts w:ascii="Times New Roman" w:hAnsi="Times New Roman" w:cs="Times New Roman"/>
          <w:sz w:val="24"/>
          <w:szCs w:val="24"/>
        </w:rPr>
        <w:t>Bayesian</w:t>
      </w:r>
      <w:r w:rsidR="00D66600">
        <w:rPr>
          <w:rFonts w:ascii="Times New Roman" w:hAnsi="Times New Roman" w:cs="Times New Roman"/>
          <w:sz w:val="24"/>
          <w:szCs w:val="24"/>
        </w:rPr>
        <w:t xml:space="preserve"> analyses</w:t>
      </w:r>
      <w:r w:rsidR="003B6129">
        <w:rPr>
          <w:rFonts w:ascii="Times New Roman" w:hAnsi="Times New Roman" w:cs="Times New Roman"/>
          <w:sz w:val="24"/>
          <w:szCs w:val="24"/>
        </w:rPr>
        <w:t xml:space="preserve"> revealed</w:t>
      </w:r>
      <w:r w:rsidR="00D66600">
        <w:rPr>
          <w:rFonts w:ascii="Times New Roman" w:hAnsi="Times New Roman" w:cs="Times New Roman"/>
          <w:sz w:val="24"/>
          <w:szCs w:val="24"/>
        </w:rPr>
        <w:t xml:space="preserve"> </w:t>
      </w:r>
      <w:r w:rsidR="00D66600" w:rsidRPr="00841367">
        <w:rPr>
          <w:rFonts w:ascii="Times New Roman" w:hAnsi="Times New Roman" w:cs="Times New Roman"/>
          <w:sz w:val="24"/>
          <w:szCs w:val="24"/>
        </w:rPr>
        <w:t>m</w:t>
      </w:r>
      <w:r w:rsidR="0047170D" w:rsidRPr="00841367">
        <w:rPr>
          <w:rFonts w:ascii="Times New Roman" w:hAnsi="Times New Roman" w:cs="Times New Roman"/>
          <w:sz w:val="24"/>
          <w:szCs w:val="24"/>
        </w:rPr>
        <w:t xml:space="preserve">oderate to </w:t>
      </w:r>
      <w:r w:rsidR="00181AD2" w:rsidRPr="00841367">
        <w:rPr>
          <w:rFonts w:ascii="Times New Roman" w:hAnsi="Times New Roman" w:cs="Times New Roman"/>
          <w:sz w:val="24"/>
          <w:szCs w:val="24"/>
        </w:rPr>
        <w:t xml:space="preserve">strong evidence </w:t>
      </w:r>
      <w:r w:rsidR="007E1644">
        <w:rPr>
          <w:rFonts w:ascii="Times New Roman" w:hAnsi="Times New Roman" w:cs="Times New Roman"/>
          <w:sz w:val="24"/>
          <w:szCs w:val="24"/>
        </w:rPr>
        <w:t>of this</w:t>
      </w:r>
      <w:r w:rsidR="009447B7">
        <w:rPr>
          <w:rFonts w:ascii="Times New Roman" w:hAnsi="Times New Roman" w:cs="Times New Roman"/>
          <w:sz w:val="24"/>
          <w:szCs w:val="24"/>
        </w:rPr>
        <w:t xml:space="preserve"> null</w:t>
      </w:r>
      <w:r w:rsidR="00181AD2" w:rsidRPr="00841367">
        <w:rPr>
          <w:rFonts w:ascii="Times New Roman" w:hAnsi="Times New Roman" w:cs="Times New Roman"/>
          <w:sz w:val="24"/>
          <w:szCs w:val="24"/>
        </w:rPr>
        <w:t xml:space="preserve"> </w:t>
      </w:r>
      <w:r w:rsidR="00D66600" w:rsidRPr="00841367">
        <w:rPr>
          <w:rFonts w:ascii="Times New Roman" w:hAnsi="Times New Roman" w:cs="Times New Roman"/>
          <w:sz w:val="24"/>
          <w:szCs w:val="24"/>
        </w:rPr>
        <w:t>hypothesi</w:t>
      </w:r>
      <w:r w:rsidR="00CE7B7E">
        <w:rPr>
          <w:rFonts w:ascii="Times New Roman" w:hAnsi="Times New Roman" w:cs="Times New Roman"/>
          <w:sz w:val="24"/>
          <w:szCs w:val="24"/>
        </w:rPr>
        <w:t xml:space="preserve">s.  </w:t>
      </w:r>
      <w:r w:rsidR="00AA0DE7">
        <w:rPr>
          <w:rFonts w:ascii="Times New Roman" w:hAnsi="Times New Roman" w:cs="Times New Roman"/>
          <w:sz w:val="24"/>
          <w:szCs w:val="24"/>
        </w:rPr>
        <w:t>We conclude that c</w:t>
      </w:r>
      <w:r w:rsidR="00D66600">
        <w:rPr>
          <w:rFonts w:ascii="Times New Roman" w:hAnsi="Times New Roman" w:cs="Times New Roman"/>
          <w:sz w:val="24"/>
          <w:szCs w:val="24"/>
        </w:rPr>
        <w:t xml:space="preserve">arryover effects </w:t>
      </w:r>
      <w:r w:rsidR="00DF7643">
        <w:rPr>
          <w:rFonts w:ascii="Times New Roman" w:hAnsi="Times New Roman" w:cs="Times New Roman"/>
          <w:sz w:val="24"/>
          <w:szCs w:val="24"/>
        </w:rPr>
        <w:t>for threat do not i</w:t>
      </w:r>
      <w:r w:rsidR="004C15FF">
        <w:rPr>
          <w:rFonts w:ascii="Times New Roman" w:hAnsi="Times New Roman" w:cs="Times New Roman"/>
          <w:sz w:val="24"/>
          <w:szCs w:val="24"/>
        </w:rPr>
        <w:t xml:space="preserve">nfluence </w:t>
      </w:r>
      <w:r w:rsidR="00DF7643">
        <w:rPr>
          <w:rFonts w:ascii="Times New Roman" w:hAnsi="Times New Roman" w:cs="Times New Roman"/>
          <w:sz w:val="24"/>
          <w:szCs w:val="24"/>
        </w:rPr>
        <w:t xml:space="preserve">attention bias </w:t>
      </w:r>
      <w:r w:rsidR="002D13A8">
        <w:rPr>
          <w:rFonts w:ascii="Times New Roman" w:hAnsi="Times New Roman" w:cs="Times New Roman"/>
          <w:sz w:val="24"/>
          <w:szCs w:val="24"/>
        </w:rPr>
        <w:t xml:space="preserve">for </w:t>
      </w:r>
      <w:r w:rsidR="00DF7643">
        <w:rPr>
          <w:rFonts w:ascii="Times New Roman" w:hAnsi="Times New Roman" w:cs="Times New Roman"/>
          <w:sz w:val="24"/>
          <w:szCs w:val="24"/>
        </w:rPr>
        <w:t xml:space="preserve">threat as measured in the </w:t>
      </w:r>
      <w:r w:rsidR="00D66600">
        <w:rPr>
          <w:rFonts w:ascii="Times New Roman" w:hAnsi="Times New Roman" w:cs="Times New Roman"/>
          <w:sz w:val="24"/>
          <w:szCs w:val="24"/>
        </w:rPr>
        <w:t xml:space="preserve">standard </w:t>
      </w:r>
      <w:r w:rsidR="003354B8" w:rsidRPr="00093979">
        <w:rPr>
          <w:rFonts w:ascii="Times New Roman" w:hAnsi="Times New Roman" w:cs="Times New Roman"/>
          <w:sz w:val="24"/>
          <w:szCs w:val="24"/>
        </w:rPr>
        <w:t>dot-probe task</w:t>
      </w:r>
      <w:r w:rsidR="004C15FF">
        <w:rPr>
          <w:rFonts w:ascii="Times New Roman" w:hAnsi="Times New Roman" w:cs="Times New Roman"/>
          <w:sz w:val="24"/>
          <w:szCs w:val="24"/>
        </w:rPr>
        <w:t xml:space="preserve"> in</w:t>
      </w:r>
      <w:r w:rsidR="002D13A8">
        <w:rPr>
          <w:rFonts w:ascii="Times New Roman" w:hAnsi="Times New Roman" w:cs="Times New Roman"/>
          <w:sz w:val="24"/>
          <w:szCs w:val="24"/>
        </w:rPr>
        <w:t xml:space="preserve"> healthy individuals</w:t>
      </w:r>
      <w:r w:rsidR="00D66600">
        <w:rPr>
          <w:rFonts w:ascii="Times New Roman" w:hAnsi="Times New Roman" w:cs="Times New Roman"/>
          <w:sz w:val="24"/>
          <w:szCs w:val="24"/>
        </w:rPr>
        <w:t>.</w:t>
      </w:r>
    </w:p>
    <w:bookmarkEnd w:id="0"/>
    <w:p w14:paraId="453B4B0D" w14:textId="3FF7D5CC" w:rsidR="00CC444F" w:rsidRPr="00093979" w:rsidRDefault="00CC444F" w:rsidP="00816B9D">
      <w:pPr>
        <w:spacing w:line="240" w:lineRule="auto"/>
        <w:contextualSpacing/>
        <w:rPr>
          <w:rFonts w:ascii="Times New Roman" w:hAnsi="Times New Roman" w:cs="Times New Roman"/>
          <w:sz w:val="24"/>
          <w:szCs w:val="24"/>
        </w:rPr>
      </w:pPr>
    </w:p>
    <w:p w14:paraId="0893993F" w14:textId="53BA1E3B" w:rsidR="00B5262F" w:rsidRPr="00093979" w:rsidRDefault="00B5262F" w:rsidP="00816B9D">
      <w:pPr>
        <w:spacing w:line="240" w:lineRule="auto"/>
        <w:contextualSpacing/>
        <w:rPr>
          <w:rFonts w:ascii="Times New Roman" w:hAnsi="Times New Roman" w:cs="Times New Roman"/>
          <w:sz w:val="24"/>
          <w:szCs w:val="24"/>
        </w:rPr>
      </w:pPr>
      <w:r w:rsidRPr="00093979">
        <w:rPr>
          <w:rFonts w:ascii="Times New Roman" w:hAnsi="Times New Roman" w:cs="Times New Roman"/>
          <w:b/>
          <w:bCs/>
          <w:sz w:val="24"/>
          <w:szCs w:val="24"/>
        </w:rPr>
        <w:t>Keywords:</w:t>
      </w:r>
      <w:r w:rsidRPr="00093979">
        <w:rPr>
          <w:rFonts w:ascii="Times New Roman" w:hAnsi="Times New Roman" w:cs="Times New Roman"/>
          <w:sz w:val="24"/>
          <w:szCs w:val="24"/>
        </w:rPr>
        <w:t xml:space="preserve"> </w:t>
      </w:r>
      <w:r w:rsidR="006C68B9">
        <w:rPr>
          <w:rFonts w:ascii="Times New Roman" w:hAnsi="Times New Roman" w:cs="Times New Roman"/>
          <w:sz w:val="24"/>
          <w:szCs w:val="24"/>
        </w:rPr>
        <w:t>dot-probe</w:t>
      </w:r>
      <w:r w:rsidRPr="00093979">
        <w:rPr>
          <w:rFonts w:ascii="Times New Roman" w:hAnsi="Times New Roman" w:cs="Times New Roman"/>
          <w:sz w:val="24"/>
          <w:szCs w:val="24"/>
        </w:rPr>
        <w:t xml:space="preserve">, </w:t>
      </w:r>
      <w:r w:rsidR="0066552E" w:rsidRPr="00093979">
        <w:rPr>
          <w:rFonts w:ascii="Times New Roman" w:hAnsi="Times New Roman" w:cs="Times New Roman"/>
          <w:sz w:val="24"/>
          <w:szCs w:val="24"/>
        </w:rPr>
        <w:t xml:space="preserve">emotional </w:t>
      </w:r>
      <w:r w:rsidR="00330B38" w:rsidRPr="00093979">
        <w:rPr>
          <w:rFonts w:ascii="Times New Roman" w:hAnsi="Times New Roman" w:cs="Times New Roman"/>
          <w:sz w:val="24"/>
          <w:szCs w:val="24"/>
        </w:rPr>
        <w:t>cue</w:t>
      </w:r>
      <w:r w:rsidR="0066552E" w:rsidRPr="00093979">
        <w:rPr>
          <w:rFonts w:ascii="Times New Roman" w:hAnsi="Times New Roman" w:cs="Times New Roman"/>
          <w:sz w:val="24"/>
          <w:szCs w:val="24"/>
        </w:rPr>
        <w:t>s</w:t>
      </w:r>
      <w:r w:rsidRPr="00093979">
        <w:rPr>
          <w:rFonts w:ascii="Times New Roman" w:hAnsi="Times New Roman" w:cs="Times New Roman"/>
          <w:sz w:val="24"/>
          <w:szCs w:val="24"/>
        </w:rPr>
        <w:t>,</w:t>
      </w:r>
      <w:r w:rsidR="00564905" w:rsidRPr="00093979">
        <w:rPr>
          <w:rFonts w:ascii="Times New Roman" w:hAnsi="Times New Roman" w:cs="Times New Roman"/>
          <w:sz w:val="24"/>
          <w:szCs w:val="24"/>
        </w:rPr>
        <w:t xml:space="preserve"> </w:t>
      </w:r>
      <w:r w:rsidR="007C2F51" w:rsidRPr="00093979">
        <w:rPr>
          <w:rFonts w:ascii="Times New Roman" w:hAnsi="Times New Roman" w:cs="Times New Roman"/>
          <w:sz w:val="24"/>
          <w:szCs w:val="24"/>
        </w:rPr>
        <w:t>carryover effects</w:t>
      </w:r>
      <w:r w:rsidR="00564905" w:rsidRPr="00093979">
        <w:rPr>
          <w:rFonts w:ascii="Times New Roman" w:hAnsi="Times New Roman" w:cs="Times New Roman"/>
          <w:sz w:val="24"/>
          <w:szCs w:val="24"/>
        </w:rPr>
        <w:t xml:space="preserve">, </w:t>
      </w:r>
      <w:r w:rsidR="00693A01" w:rsidRPr="00093979">
        <w:rPr>
          <w:rFonts w:ascii="Times New Roman" w:hAnsi="Times New Roman" w:cs="Times New Roman"/>
          <w:sz w:val="24"/>
          <w:szCs w:val="24"/>
        </w:rPr>
        <w:t>attention bias</w:t>
      </w:r>
      <w:r w:rsidR="00564905" w:rsidRPr="00093979">
        <w:rPr>
          <w:rFonts w:ascii="Times New Roman" w:hAnsi="Times New Roman" w:cs="Times New Roman"/>
          <w:sz w:val="24"/>
          <w:szCs w:val="24"/>
        </w:rPr>
        <w:t xml:space="preserve">, </w:t>
      </w:r>
      <w:r w:rsidRPr="00093979">
        <w:rPr>
          <w:rFonts w:ascii="Times New Roman" w:hAnsi="Times New Roman" w:cs="Times New Roman"/>
          <w:sz w:val="24"/>
          <w:szCs w:val="24"/>
        </w:rPr>
        <w:t>threat</w:t>
      </w:r>
    </w:p>
    <w:p w14:paraId="21D1CC34" w14:textId="77777777" w:rsidR="00B5262F" w:rsidRPr="00093979" w:rsidRDefault="00B5262F" w:rsidP="00816B9D">
      <w:pPr>
        <w:spacing w:line="240" w:lineRule="auto"/>
        <w:contextualSpacing/>
        <w:rPr>
          <w:rFonts w:ascii="Times New Roman" w:hAnsi="Times New Roman" w:cs="Times New Roman"/>
          <w:sz w:val="24"/>
          <w:szCs w:val="24"/>
        </w:rPr>
      </w:pPr>
    </w:p>
    <w:p w14:paraId="2F76C34B" w14:textId="5DFF55A5" w:rsidR="00C82D09" w:rsidRDefault="00C82D09" w:rsidP="00816B9D">
      <w:pPr>
        <w:spacing w:line="240" w:lineRule="auto"/>
        <w:contextualSpacing/>
        <w:rPr>
          <w:rFonts w:ascii="Times New Roman" w:hAnsi="Times New Roman" w:cs="Times New Roman"/>
          <w:sz w:val="24"/>
          <w:szCs w:val="24"/>
        </w:rPr>
      </w:pPr>
    </w:p>
    <w:p w14:paraId="4577AB33" w14:textId="77777777" w:rsidR="0002527A" w:rsidRPr="00093979" w:rsidRDefault="0002527A" w:rsidP="00816B9D">
      <w:pPr>
        <w:spacing w:line="240" w:lineRule="auto"/>
        <w:contextualSpacing/>
        <w:rPr>
          <w:rFonts w:ascii="Times New Roman" w:hAnsi="Times New Roman" w:cs="Times New Roman"/>
          <w:sz w:val="24"/>
          <w:szCs w:val="24"/>
        </w:rPr>
      </w:pPr>
    </w:p>
    <w:p w14:paraId="36D8AF8A" w14:textId="077739E5" w:rsidR="00313CE6" w:rsidRDefault="00A85D94" w:rsidP="00816B9D">
      <w:pPr>
        <w:spacing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Take-home message</w:t>
      </w:r>
    </w:p>
    <w:p w14:paraId="6CAF5204" w14:textId="2626B0AD" w:rsidR="00313CE6" w:rsidRPr="00EA38C3" w:rsidRDefault="00313CE6" w:rsidP="00816B9D">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Here we assessed the potential moderation of attention bias to threat by carryover effects for threat.  We </w:t>
      </w:r>
      <w:r w:rsidR="00DF3BF8">
        <w:rPr>
          <w:rFonts w:ascii="Times New Roman" w:hAnsi="Times New Roman" w:cs="Times New Roman"/>
          <w:sz w:val="24"/>
          <w:szCs w:val="24"/>
        </w:rPr>
        <w:t>did not find any evidence of such moderation.  R</w:t>
      </w:r>
      <w:r>
        <w:rPr>
          <w:rFonts w:ascii="Times New Roman" w:hAnsi="Times New Roman" w:cs="Times New Roman"/>
          <w:sz w:val="24"/>
          <w:szCs w:val="24"/>
        </w:rPr>
        <w:t>esearch</w:t>
      </w:r>
      <w:r w:rsidR="00DF3BF8">
        <w:rPr>
          <w:rFonts w:ascii="Times New Roman" w:hAnsi="Times New Roman" w:cs="Times New Roman"/>
          <w:sz w:val="24"/>
          <w:szCs w:val="24"/>
        </w:rPr>
        <w:t xml:space="preserve">ers utilizing the standard dot-probe task need not be concerned about carryover effects for threat. </w:t>
      </w:r>
      <w:r>
        <w:rPr>
          <w:rFonts w:ascii="Times New Roman" w:hAnsi="Times New Roman" w:cs="Times New Roman"/>
          <w:sz w:val="24"/>
          <w:szCs w:val="24"/>
        </w:rPr>
        <w:t xml:space="preserve">  </w:t>
      </w:r>
    </w:p>
    <w:p w14:paraId="067BAAE3" w14:textId="51578507" w:rsidR="00A85D94" w:rsidRDefault="00A85D94" w:rsidP="00816B9D">
      <w:pPr>
        <w:spacing w:line="240" w:lineRule="auto"/>
        <w:contextualSpacing/>
        <w:jc w:val="center"/>
        <w:rPr>
          <w:rFonts w:ascii="Times New Roman" w:hAnsi="Times New Roman" w:cs="Times New Roman"/>
          <w:b/>
          <w:bCs/>
          <w:sz w:val="24"/>
          <w:szCs w:val="24"/>
        </w:rPr>
      </w:pPr>
    </w:p>
    <w:p w14:paraId="1C902403" w14:textId="77777777" w:rsidR="002528AF" w:rsidRDefault="00A85D94" w:rsidP="00816B9D">
      <w:pPr>
        <w:spacing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Purpose </w:t>
      </w:r>
    </w:p>
    <w:p w14:paraId="3BAFFEFE" w14:textId="067C0321" w:rsidR="002528AF" w:rsidRPr="002528AF" w:rsidRDefault="002528AF" w:rsidP="00816B9D">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The </w:t>
      </w:r>
      <w:r w:rsidR="00412E65">
        <w:rPr>
          <w:rFonts w:ascii="Times New Roman" w:hAnsi="Times New Roman" w:cs="Times New Roman"/>
          <w:sz w:val="24"/>
          <w:szCs w:val="24"/>
        </w:rPr>
        <w:t xml:space="preserve">objective of this </w:t>
      </w:r>
      <w:r>
        <w:rPr>
          <w:rFonts w:ascii="Times New Roman" w:hAnsi="Times New Roman" w:cs="Times New Roman"/>
          <w:sz w:val="24"/>
          <w:szCs w:val="24"/>
        </w:rPr>
        <w:t xml:space="preserve">study </w:t>
      </w:r>
      <w:r w:rsidR="006C68B9">
        <w:rPr>
          <w:rFonts w:ascii="Times New Roman" w:hAnsi="Times New Roman" w:cs="Times New Roman"/>
          <w:sz w:val="24"/>
          <w:szCs w:val="24"/>
        </w:rPr>
        <w:t>wa</w:t>
      </w:r>
      <w:r w:rsidR="00412E65">
        <w:rPr>
          <w:rFonts w:ascii="Times New Roman" w:hAnsi="Times New Roman" w:cs="Times New Roman"/>
          <w:sz w:val="24"/>
          <w:szCs w:val="24"/>
        </w:rPr>
        <w:t>s</w:t>
      </w:r>
      <w:r>
        <w:rPr>
          <w:rFonts w:ascii="Times New Roman" w:hAnsi="Times New Roman" w:cs="Times New Roman"/>
          <w:sz w:val="24"/>
          <w:szCs w:val="24"/>
        </w:rPr>
        <w:t xml:space="preserve"> to assess </w:t>
      </w:r>
      <w:r w:rsidR="00412E65">
        <w:rPr>
          <w:rFonts w:ascii="Times New Roman" w:hAnsi="Times New Roman" w:cs="Times New Roman"/>
          <w:sz w:val="24"/>
          <w:szCs w:val="24"/>
        </w:rPr>
        <w:t>whether</w:t>
      </w:r>
      <w:r>
        <w:rPr>
          <w:rFonts w:ascii="Times New Roman" w:hAnsi="Times New Roman" w:cs="Times New Roman"/>
          <w:sz w:val="24"/>
          <w:szCs w:val="24"/>
        </w:rPr>
        <w:t xml:space="preserve"> carryover effects for threat would be observed in the dot</w:t>
      </w:r>
      <w:r w:rsidR="006C68B9">
        <w:rPr>
          <w:rFonts w:ascii="Times New Roman" w:hAnsi="Times New Roman" w:cs="Times New Roman"/>
          <w:sz w:val="24"/>
          <w:szCs w:val="24"/>
        </w:rPr>
        <w:t>-</w:t>
      </w:r>
      <w:r>
        <w:rPr>
          <w:rFonts w:ascii="Times New Roman" w:hAnsi="Times New Roman" w:cs="Times New Roman"/>
          <w:sz w:val="24"/>
          <w:szCs w:val="24"/>
        </w:rPr>
        <w:t xml:space="preserve">probe task.  Related studies have found support for </w:t>
      </w:r>
      <w:r w:rsidR="00412E65">
        <w:rPr>
          <w:rFonts w:ascii="Times New Roman" w:hAnsi="Times New Roman" w:cs="Times New Roman"/>
          <w:sz w:val="24"/>
          <w:szCs w:val="24"/>
        </w:rPr>
        <w:t xml:space="preserve">carryover effects for threat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{"citationID":"xBlPAR3Q","properties":{"formattedCitation":"(Gladwin, 2017a, 2017b; Gladwin et al., 2019, 2020; Gladwin &amp; Figner, 2019)","plainCitation":"(Gladwin, 2017a, 2017b; Gladwin et al., 2019, 2020; Gladwin &amp; Figner, 2019)","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E."}],"issued":{"date-parts":[["2017"]]}}},{"id":98415,"uris":["http://zotero.org/groups/2609776/items/IDGV3AB4"],"uri":["http://zotero.org/groups/2609776/items/IDGV3AB4"],"itemData":{"id":98415,"type":"article-journal","abstract":"Posttraumatic stress disorder (PTSD) is related to attentional biases, which are commonly measured using the dot probe task. Recent research has shown that trial-to-trial variability may contain important information in such tasks. The current study aimed to determine whether trial-to-trial carryover effects in this task are related to PTSD symptoms. Dot probe tasks with attack-related scenes and angry faces were performed by 2 student samples. Interactions were tested with subclinical PTSD symptoms measured using the Trauma Screening Questionnaire. On the Scenes task, error rates increased after the probe had been presented on threat versus neutral cue locations. This effect increased with trauma symptoms. On the Faces task, symptoms were related to carryover effects on missed responses, which increased following probe-on-threat trials for current-probe-on-neutral trials only, and shifted from increasing to decreasing error rates over cue-stimulus interval. The results showed an overall carryover effect for attack scenes. Relationships with PTSD were found for both tasks. The precise relationships differed, suggesting either a general disruptive effect of attending or responding to threat, or a more cue-specific and time-dependent attend–threat association. Carryover effects in the dot probe task may provide an interesting direction of study of abnormal activation of threat-focused states or attention–threat binding in PTSD symptoms and other disorders. (PsycInfo Database Record (c) 2020 APA, all rights reserved)","archive":"psyh","archive_location":"2017-26725-001","container-title":"Traumatology","DOI":"10.1037/trm0000121","ISSN":"1085-9373","issue":"4","journalAbbreviation":"Traumatology (Tallahass Fla)","note":"publisher-place: US\npublisher: Educational Publishing Foundation","page":"303-308","source":"EBSCOhost","title":"Carryover effects in spatial attentional bias tasks and their relationship to subclinical PTSD symptoms.","volume":"23","author":[{"family":"Gladwin","given":"Thomas E."}],"issued":{"date-parts":[["2017",12]]}}},{"id":2538,"uris":["http://zotero.org/users/3283490/items/E9RRY2A2"],"uri":["http://zotero.org/users/3283490/items/E9RRY2A2"],"itemData":{"id":2538,"type":"article-journal","abstract":"Concerns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id":2628,"uris":["http://zotero.org/users/3283490/items/N268ITHX"],"uri":["http://zotero.org/users/3283490/items/N268ITHX"],"itemData":{"id":2628,"type":"article-journal","abstract":"Observability of threat-related spatial attentional biases may require previous-trial responses associated with threat-related locations. This carryover eﬀect might aﬀect reliability and correlations. In Study 1, a diagonalized Visual Probe Task was completed online (N=131) with colour, anger, fear and disgust stimuli, with questionnaires on aggression, anxiety, depression and impulsivity. Bias towards negative stimuli was found only following previous targets on the negative location. Study 2 aimed to test an interpretation in terms of cue-evoked attention. Task variants were completed (N=101) with and without removal of the cue when targets appeared. Anger and disgust stimuli and aggression, anxiety and depression scales were used. Carryover was replicated with no interaction with cue oﬀset. Over both tasks, reliability was low and no robust correlations with questionnaires were found. Carryover thus determined whether attentional bias to negative facial expressions was observed, but analyses taking this into account did not improve reliability or reveal correlations.","container-title":"Journal of Cognitive Psychology","DOI":"10.1080/20445911.2020.1805453","ISSN":"2044-5911, 2044-592X","journalAbbreviation":"Journal of Cognitive Psychology","language":"en","page":"1-11","source":"DOI.org (Crossref)","title":"Attentional bias for negative expressions depends on previous target location: replicable effect but unreliable measures","title-short":"Attentional bias for negative expressions depends on previous target location","author":[{"family":"Gladwin","given":"Thomas E."},{"family":"Jewiss","given":"Matt"},{"family":"Vink","given":"Matthijs"}],"issued":{"date-parts":[["2020",8,12]]}}},{"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 </w:instrText>
      </w:r>
      <w:r>
        <w:rPr>
          <w:rFonts w:ascii="Times New Roman" w:hAnsi="Times New Roman" w:cs="Times New Roman"/>
          <w:sz w:val="24"/>
          <w:szCs w:val="24"/>
        </w:rPr>
        <w:fldChar w:fldCharType="separate"/>
      </w:r>
      <w:r w:rsidRPr="002528AF">
        <w:rPr>
          <w:rFonts w:ascii="Times New Roman" w:hAnsi="Times New Roman" w:cs="Times New Roman"/>
          <w:sz w:val="24"/>
        </w:rPr>
        <w:t>(Gladwin, 2017a, 2017b; Gladwin et al., 2019, 2020; Gladwin &amp; Figner, 2019)</w:t>
      </w:r>
      <w:r>
        <w:rPr>
          <w:rFonts w:ascii="Times New Roman" w:hAnsi="Times New Roman" w:cs="Times New Roman"/>
          <w:sz w:val="24"/>
          <w:szCs w:val="24"/>
        </w:rPr>
        <w:fldChar w:fldCharType="end"/>
      </w:r>
      <w:r>
        <w:rPr>
          <w:rFonts w:ascii="Times New Roman" w:hAnsi="Times New Roman" w:cs="Times New Roman"/>
          <w:sz w:val="24"/>
          <w:szCs w:val="24"/>
        </w:rPr>
        <w:t xml:space="preserve">.  But </w:t>
      </w:r>
      <w:r w:rsidR="003B68F3">
        <w:rPr>
          <w:rFonts w:ascii="Times New Roman" w:hAnsi="Times New Roman" w:cs="Times New Roman"/>
          <w:sz w:val="24"/>
          <w:szCs w:val="24"/>
        </w:rPr>
        <w:t xml:space="preserve">there are </w:t>
      </w:r>
      <w:r>
        <w:rPr>
          <w:rFonts w:ascii="Times New Roman" w:hAnsi="Times New Roman" w:cs="Times New Roman"/>
          <w:sz w:val="24"/>
          <w:szCs w:val="24"/>
        </w:rPr>
        <w:t xml:space="preserve">several unique </w:t>
      </w:r>
      <w:r w:rsidR="00412E65">
        <w:rPr>
          <w:rFonts w:ascii="Times New Roman" w:hAnsi="Times New Roman" w:cs="Times New Roman"/>
          <w:sz w:val="24"/>
          <w:szCs w:val="24"/>
        </w:rPr>
        <w:t>elements t</w:t>
      </w:r>
      <w:r>
        <w:rPr>
          <w:rFonts w:ascii="Times New Roman" w:hAnsi="Times New Roman" w:cs="Times New Roman"/>
          <w:sz w:val="24"/>
          <w:szCs w:val="24"/>
        </w:rPr>
        <w:t>o the</w:t>
      </w:r>
      <w:r w:rsidR="003B68F3">
        <w:rPr>
          <w:rFonts w:ascii="Times New Roman" w:hAnsi="Times New Roman" w:cs="Times New Roman"/>
          <w:sz w:val="24"/>
          <w:szCs w:val="24"/>
        </w:rPr>
        <w:t xml:space="preserve"> </w:t>
      </w:r>
      <w:r>
        <w:rPr>
          <w:rFonts w:ascii="Times New Roman" w:hAnsi="Times New Roman" w:cs="Times New Roman"/>
          <w:sz w:val="24"/>
          <w:szCs w:val="24"/>
        </w:rPr>
        <w:t>task design and procedur</w:t>
      </w:r>
      <w:r w:rsidR="00412E65">
        <w:rPr>
          <w:rFonts w:ascii="Times New Roman" w:hAnsi="Times New Roman" w:cs="Times New Roman"/>
          <w:sz w:val="24"/>
          <w:szCs w:val="24"/>
        </w:rPr>
        <w:t>e</w:t>
      </w:r>
      <w:r w:rsidR="003B68F3">
        <w:rPr>
          <w:rFonts w:ascii="Times New Roman" w:hAnsi="Times New Roman" w:cs="Times New Roman"/>
          <w:sz w:val="24"/>
          <w:szCs w:val="24"/>
        </w:rPr>
        <w:t xml:space="preserve"> </w:t>
      </w:r>
      <w:r w:rsidR="00DA7796">
        <w:rPr>
          <w:rFonts w:ascii="Times New Roman" w:hAnsi="Times New Roman" w:cs="Times New Roman"/>
          <w:sz w:val="24"/>
          <w:szCs w:val="24"/>
        </w:rPr>
        <w:t xml:space="preserve">used by </w:t>
      </w:r>
      <w:r w:rsidR="003B68F3">
        <w:rPr>
          <w:rFonts w:ascii="Times New Roman" w:hAnsi="Times New Roman" w:cs="Times New Roman"/>
          <w:sz w:val="24"/>
          <w:szCs w:val="24"/>
        </w:rPr>
        <w:t>these studies that make them</w:t>
      </w:r>
      <w:r w:rsidR="00412E65">
        <w:rPr>
          <w:rFonts w:ascii="Times New Roman" w:hAnsi="Times New Roman" w:cs="Times New Roman"/>
          <w:sz w:val="24"/>
          <w:szCs w:val="24"/>
        </w:rPr>
        <w:t xml:space="preserve"> difficult </w:t>
      </w:r>
      <w:r w:rsidR="003B68F3">
        <w:rPr>
          <w:rFonts w:ascii="Times New Roman" w:hAnsi="Times New Roman" w:cs="Times New Roman"/>
          <w:sz w:val="24"/>
          <w:szCs w:val="24"/>
        </w:rPr>
        <w:t xml:space="preserve">to </w:t>
      </w:r>
      <w:r w:rsidR="00DA7796">
        <w:rPr>
          <w:rFonts w:ascii="Times New Roman" w:hAnsi="Times New Roman" w:cs="Times New Roman"/>
          <w:sz w:val="24"/>
          <w:szCs w:val="24"/>
        </w:rPr>
        <w:t xml:space="preserve">compare to </w:t>
      </w:r>
      <w:r w:rsidR="00F9333C">
        <w:rPr>
          <w:rFonts w:ascii="Times New Roman" w:hAnsi="Times New Roman" w:cs="Times New Roman"/>
          <w:sz w:val="24"/>
          <w:szCs w:val="24"/>
        </w:rPr>
        <w:t>commonly used tasks</w:t>
      </w:r>
      <w:r w:rsidR="00F3307B">
        <w:rPr>
          <w:rFonts w:ascii="Times New Roman" w:hAnsi="Times New Roman" w:cs="Times New Roman"/>
          <w:sz w:val="24"/>
          <w:szCs w:val="24"/>
        </w:rPr>
        <w:t xml:space="preserve"> such as the dot-probe</w:t>
      </w:r>
      <w:r w:rsidR="00F9333C">
        <w:rPr>
          <w:rFonts w:ascii="Times New Roman" w:hAnsi="Times New Roman" w:cs="Times New Roman"/>
          <w:sz w:val="24"/>
          <w:szCs w:val="24"/>
        </w:rPr>
        <w:t>.</w:t>
      </w:r>
      <w:r w:rsidR="007E1644">
        <w:rPr>
          <w:rFonts w:ascii="Times New Roman" w:hAnsi="Times New Roman" w:cs="Times New Roman"/>
          <w:sz w:val="24"/>
          <w:szCs w:val="24"/>
        </w:rPr>
        <w:t xml:space="preserve">  Applied, basic and clinical studies on emotion processing often utilize the dot</w:t>
      </w:r>
      <w:r w:rsidR="006C68B9">
        <w:rPr>
          <w:rFonts w:ascii="Times New Roman" w:hAnsi="Times New Roman" w:cs="Times New Roman"/>
          <w:sz w:val="24"/>
          <w:szCs w:val="24"/>
        </w:rPr>
        <w:t>-</w:t>
      </w:r>
      <w:r w:rsidR="007E1644">
        <w:rPr>
          <w:rFonts w:ascii="Times New Roman" w:hAnsi="Times New Roman" w:cs="Times New Roman"/>
          <w:sz w:val="24"/>
          <w:szCs w:val="24"/>
        </w:rPr>
        <w:t>probe task.</w:t>
      </w:r>
      <w:r w:rsidR="00EA38C3">
        <w:rPr>
          <w:rFonts w:ascii="Times New Roman" w:hAnsi="Times New Roman" w:cs="Times New Roman"/>
          <w:sz w:val="24"/>
          <w:szCs w:val="24"/>
        </w:rPr>
        <w:t xml:space="preserve">  Our purpose is to extend these previous studies of carryover effects to the dot-probe task. </w:t>
      </w:r>
    </w:p>
    <w:p w14:paraId="56D9B4E8" w14:textId="78FDFD79" w:rsidR="00891D97" w:rsidRDefault="00891D97" w:rsidP="00816B9D">
      <w:pPr>
        <w:spacing w:line="240" w:lineRule="auto"/>
        <w:contextualSpacing/>
        <w:jc w:val="center"/>
        <w:rPr>
          <w:rFonts w:ascii="Times New Roman" w:hAnsi="Times New Roman" w:cs="Times New Roman"/>
          <w:sz w:val="24"/>
          <w:szCs w:val="24"/>
        </w:rPr>
      </w:pPr>
    </w:p>
    <w:p w14:paraId="65E14AAC" w14:textId="718E97BF" w:rsidR="002F7E02" w:rsidRDefault="002F7E02" w:rsidP="00816B9D">
      <w:pPr>
        <w:spacing w:line="240" w:lineRule="auto"/>
        <w:contextualSpacing/>
        <w:rPr>
          <w:rFonts w:ascii="Times New Roman" w:hAnsi="Times New Roman" w:cs="Times New Roman"/>
          <w:sz w:val="24"/>
          <w:szCs w:val="24"/>
        </w:rPr>
      </w:pPr>
    </w:p>
    <w:p w14:paraId="066067F0" w14:textId="3B8004E1" w:rsidR="002604F6" w:rsidRDefault="002604F6" w:rsidP="00816B9D">
      <w:pPr>
        <w:spacing w:line="240" w:lineRule="auto"/>
        <w:contextualSpacing/>
        <w:rPr>
          <w:rFonts w:ascii="Times New Roman" w:hAnsi="Times New Roman" w:cs="Times New Roman"/>
          <w:sz w:val="24"/>
          <w:szCs w:val="24"/>
        </w:rPr>
      </w:pPr>
    </w:p>
    <w:p w14:paraId="39480966" w14:textId="1B9D69D8" w:rsidR="002604F6" w:rsidRDefault="002604F6" w:rsidP="00816B9D">
      <w:pPr>
        <w:spacing w:line="240" w:lineRule="auto"/>
        <w:contextualSpacing/>
        <w:rPr>
          <w:rFonts w:ascii="Times New Roman" w:hAnsi="Times New Roman" w:cs="Times New Roman"/>
          <w:sz w:val="24"/>
          <w:szCs w:val="24"/>
        </w:rPr>
      </w:pPr>
    </w:p>
    <w:p w14:paraId="00F24A81" w14:textId="6A20F1D4" w:rsidR="002604F6" w:rsidRDefault="002604F6" w:rsidP="00816B9D">
      <w:pPr>
        <w:spacing w:line="240" w:lineRule="auto"/>
        <w:contextualSpacing/>
        <w:rPr>
          <w:rFonts w:ascii="Times New Roman" w:hAnsi="Times New Roman" w:cs="Times New Roman"/>
          <w:sz w:val="24"/>
          <w:szCs w:val="24"/>
        </w:rPr>
      </w:pPr>
    </w:p>
    <w:p w14:paraId="0CEA5059" w14:textId="14192EB7" w:rsidR="002604F6" w:rsidRDefault="002604F6" w:rsidP="00816B9D">
      <w:pPr>
        <w:spacing w:line="240" w:lineRule="auto"/>
        <w:contextualSpacing/>
        <w:rPr>
          <w:rFonts w:ascii="Times New Roman" w:hAnsi="Times New Roman" w:cs="Times New Roman"/>
          <w:sz w:val="24"/>
          <w:szCs w:val="24"/>
        </w:rPr>
      </w:pPr>
    </w:p>
    <w:p w14:paraId="2521E7CB" w14:textId="20C60AE6" w:rsidR="002604F6" w:rsidRDefault="002604F6" w:rsidP="00816B9D">
      <w:pPr>
        <w:spacing w:line="240" w:lineRule="auto"/>
        <w:contextualSpacing/>
        <w:rPr>
          <w:rFonts w:ascii="Times New Roman" w:hAnsi="Times New Roman" w:cs="Times New Roman"/>
          <w:sz w:val="24"/>
          <w:szCs w:val="24"/>
        </w:rPr>
      </w:pPr>
    </w:p>
    <w:p w14:paraId="16B1F252" w14:textId="229E6F0C" w:rsidR="00BA4F2E" w:rsidRDefault="00BA4F2E" w:rsidP="00816B9D">
      <w:pPr>
        <w:spacing w:line="240" w:lineRule="auto"/>
        <w:contextualSpacing/>
        <w:rPr>
          <w:rFonts w:ascii="Times New Roman" w:hAnsi="Times New Roman" w:cs="Times New Roman"/>
          <w:sz w:val="24"/>
          <w:szCs w:val="24"/>
        </w:rPr>
      </w:pPr>
    </w:p>
    <w:p w14:paraId="3316E259" w14:textId="77777777" w:rsidR="00CF32DE" w:rsidRPr="00093979" w:rsidRDefault="00CF32DE" w:rsidP="00816B9D">
      <w:pPr>
        <w:spacing w:line="240" w:lineRule="auto"/>
        <w:contextualSpacing/>
        <w:rPr>
          <w:rFonts w:ascii="Times New Roman" w:hAnsi="Times New Roman" w:cs="Times New Roman"/>
          <w:sz w:val="24"/>
          <w:szCs w:val="24"/>
        </w:rPr>
      </w:pPr>
    </w:p>
    <w:p w14:paraId="5A28805F" w14:textId="77777777" w:rsidR="00B158DB" w:rsidRPr="00093979" w:rsidRDefault="00B158DB" w:rsidP="00816B9D">
      <w:pPr>
        <w:spacing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lastRenderedPageBreak/>
        <w:t>Do Carryover Effects Influence Attentional Bias to Threat in the Dot-Probe Task?</w:t>
      </w:r>
    </w:p>
    <w:p w14:paraId="5ED1AEB3" w14:textId="0189D084" w:rsidR="00B158DB" w:rsidRPr="00093979"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Emotional stimuli are thought to receive prioritized processing.  Threatening stimuli like angry facial expressions of emotion often “beat-out” neutral or innocuous objects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{"citationID":"vXfUyDDd","properties":{"formattedCitation":"(Becker et al., 2017; Schub\\uc0\\u246{} et al., 2006)","plainCitation":"(Becker et al., 2017; Schubö et al., 2006)","noteIndex":0},"citationItems":[{"id":72,"uris":["http://zotero.org/users/3283490/items/GHY4SKHG"],"uri":["http://zotero.org/users/3283490/items/GHY4SKHG"],"itemData":{"id":72,"type":"article-journal","abstract":"Can emotional expressions automatically attract attention in virtue of their affective content? Previous studies mostly used emotional faces (e.g., angry or happy faces) in visual search tasks to assess whether affective contents can automatically attract attention. However, the evidence in support of affective attentional capture is still contentious, as the studies either: (1) did not render affective contents irrelevant to the task, (2) used affective stimuli that were perceptually similar to the target, (3) did not rule out factors occurring later in the visual search process (e.g., disengagement of attention), or (4) used only schematic emotional faces that do not clearly convey affective contents. The present study remedied these shortcomings by measuring the eye movements of observers while they searched for emotional photographic faces. To examine whether irrelevant emotional faces are selected because of their perceptual similarity to the target (top-down), or because of their emotional expressions, we also assessed the perceptual similarity between the emotional distractors and the target. The results show that happy and angry faces can indeed automatically attract attention and the gaze. Perceptual similarity modulated the effect only weakly, indicating that capture was mainly due to bottom-up, stimulus-driven processes. However, post-selectional processes of disengaging attention from the emotional expressions contributed strongly to the overall disruptive effects of emotional expressions. Taken together, these results support a stimulus-driven account of attentional capture by emotional faces, and highlight the need to use measures that can distinguish between early and late processes in visual search.","container-title":"Visual Cognition","DOI":"10.1080/13506285.2017.1333182","ISSN":"1350-6285, 1464-0716","issue":"1-3","language":"en","page":"241-261","source":"Crossref","title":"The capture of attention and gaze in the search for emotional photographic faces","volume":"25","author":[{"family":"Becker","given":"Stefanie I."},{"family":"Dutt","given":"Neelam"},{"family":"Vromen","given":"Joyce M. G."},{"family":"Horstmann","given":"Gernot"}],"issued":{"date-parts":[["2017",3,16]]}}},{"id":878,"uris":["http://zotero.org/users/3283490/items/HA2JQKA6"],"uri":["http://zotero.org/users/3283490/items/HA2JQKA6"],"itemData":{"id":878,"type":"article-journal","abstract":"In 2 experiments, participants were presented schematic faces with emotional expressions (threatening, friendly) in a neutral-faces context or neutral expressions in an emotional-faces context. These conditions were compared with detection performance in displays containing key features of emotional faces not forming the perceptual gestalt of a face. Supporting the notion of a threat detection advantage, Experiment 1 found that threatening faces were faster detected than friendly faces, whereas no difference emerged between the corresponding feature conditions. Experiment 2 increased task difficulty with a backward masking procedure and found corresponding results. In neither of the studies was the threat detection advantage associated with reduced accuracy. However, features were, in general, detected faster than faces when task difficulty was high.","container-title":"Emotion","DOI":"10.1037/1528-3542.6.2.246","ISSN":"1931-1516, 1528-3542","issue":"2","journalAbbreviation":"Emotion","language":"en","page":"246-256","source":"DOI.org (Crossref)","title":"Detecting emotional faces and features in a visual search paradigm: Are faces special?","title-short":"Detecting emotional faces and features in a visual search paradigm","volume":"6","author":[{"family":"Schubö","given":"Anna"},{"family":"Gendolla","given":"Guido H. E."},{"family":"Meinecke","given":"Cristina"},{"family":"Abele","given":"Andrea E."}],"issued":{"date-parts":[["2006"]]}}}],"schema":"https://github.com/citation-style-language/schema/raw/master/csl-citation.json"}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szCs w:val="24"/>
        </w:rPr>
        <w:t>(Becker et al., 2017; Schubö et al., 2006)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in the competition over spatial attentional resources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{"citationID":"Kgrg958U","properties":{"formattedCitation":"(Desimone &amp; Duncan, 1995)","plainCitation":"(Desimone &amp; Duncan, 1995)","noteIndex":0},"citationItems":[{"id":873,"uris":["http://zotero.org/users/3283490/items/E8I7MRF9"],"uri":["http://zotero.org/users/3283490/items/E8I7MRF9"],"itemData":{"id":873,"type":"article-journal","language":"en","page":"30","source":"Zotero","title":"Neural Mechanisms of Selective Visual Attention","author":[{"family":"Desimone","given":"Robert"},{"family":"Duncan","given":"John"}],"issued":{"date-parts":[["1995"]]}}}],"schema":"https://github.com/citation-style-language/schema/raw/master/csl-citation.json"}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(Desimone &amp; Duncan, 1995)</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Attentional bias to threat is a topic of research that intersects many domains and is an essential function for a variety of organisms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{"citationID":"S8evJpSY","properties":{"formattedCitation":"(Anderson &amp; Britton, 2019)","plainCitation":"(Anderson &amp; Britton, 2019)","noteIndex":0},"citationItems":[{"id":2542,"uris":["http://zotero.org/users/3283490/items/JRVIJ2VF"],"uri":["http://zotero.org/users/3283490/items/JRVIJ2VF"],"itemData":{"id":2542,"type":"article-journal","abstract":"Attention is biased toward stimuli that have been associated with aversive outcomes in the past. This bias has previously been interpreted as reflecting automatic orienting toward threat signals. However, in many prior studies, either the threatening stimulus provided valuable predictive information, signaling the possibility of an otherwise unavoidable punishment and thereby allowing participants to brace themselves, or the aversive event could be avoided with fast and accurate task performance. Under these conditions, monitoring for threat could be viewed as an adaptive strategy. In the present study, fixating a color stimulus immediately resulted in a shock on some trials, providing a direct incentive not to look at the stimulus. Nevertheless, this contingency resulted in participants fixating the shock-associated stimulus more frequently than a neutral distractor matched for physical salience. Our findings demonstrate that threatening stimuli are automatically attended even when attending such stimuli is actually responsible for triggering the aversive event, providing compelling evidence for automaticity.","container-title":"Emotion","DOI":"10.1037/emo0000596","ISSN":"1931-1516, 1528-3542","journalAbbreviation":"Emotion","language":"en","source":"DOI.org (Crossref)","title":"On the automaticity of attentional orienting to threatening stimuli.","URL":"http://doi.apa.org/getdoi.cfm?doi=10.1037/emo0000596","author":[{"family":"Anderson","given":"Brian A."},{"family":"Britton","given":"Mark K."}],"accessed":{"date-parts":[["2020",7,9]]},"issued":{"date-parts":[["2019",3,14]]}}}],"schema":"https://github.com/citation-style-language/schema/raw/master/csl-citation.json"}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(Anderson &amp; Britton, 2019)</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w:t>
      </w:r>
    </w:p>
    <w:p w14:paraId="2D280256" w14:textId="134B2749" w:rsidR="00B158DB" w:rsidRPr="00093979"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One of the most commonly used tasks to assess attentional bias to threat is the dot-probe task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{"citationID":"bZQPa1HH","properties":{"formattedCitation":"(MacLeod et al., 1986)","plainCitation":"(MacLeod et al., 1986)","noteIndex":0},"citationItems":[{"id":99874,"uris":["http://zotero.org/users/3283490/items/L49B95HE"],"uri":["http://zotero.org/users/3283490/items/L49B95HE"],"itemData":{"id":99874,"type":"article-journal","container-title":"Journal of Abnormal Psychology","DOI":"10.1037/0021-843X.95.1.15","ISSN":"1939-1846, 0021-843X","issue":"1","journalAbbreviation":"Journal of Abnormal Psychology","language":"en","page":"15-20","source":"DOI.org (Crossref)","title":"Attentional bias in emotional disorders.","volume":"95","author":[{"family":"MacLeod","given":"Colin"},{"family":"Mathews","given":"Andrew"},{"family":"Tata","given":"Philip"}],"issued":{"date-parts":[["1986"]]}}}],"schema":"https://github.com/citation-style-language/schema/raw/master/csl-citation.json"}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(MacLeod et al., 1986)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In a typical dot-probe task, participants search for the location of a target dot and indicate its position (left or right side of the screen) with a corresponding keypress.  Immediately prior to the presentation of the target dot, two adjacent cues (one neutral and one threatening cue) are simultaneously presented for a very brief period (e.g., 100 mill</w:t>
      </w:r>
      <w:r>
        <w:rPr>
          <w:rFonts w:ascii="Times New Roman" w:hAnsi="Times New Roman" w:cs="Times New Roman"/>
          <w:sz w:val="24"/>
          <w:szCs w:val="24"/>
        </w:rPr>
        <w:t>isecond (</w:t>
      </w:r>
      <w:r w:rsidRPr="00093979">
        <w:rPr>
          <w:rFonts w:ascii="Times New Roman" w:hAnsi="Times New Roman" w:cs="Times New Roman"/>
          <w:sz w:val="24"/>
          <w:szCs w:val="24"/>
        </w:rPr>
        <w:t>ms)</w:t>
      </w:r>
      <w:r>
        <w:rPr>
          <w:rFonts w:ascii="Times New Roman" w:hAnsi="Times New Roman" w:cs="Times New Roman"/>
          <w:sz w:val="24"/>
          <w:szCs w:val="24"/>
        </w:rPr>
        <w:t>)</w:t>
      </w:r>
      <w:r w:rsidRPr="00093979">
        <w:rPr>
          <w:rFonts w:ascii="Times New Roman" w:hAnsi="Times New Roman" w:cs="Times New Roman"/>
          <w:sz w:val="24"/>
          <w:szCs w:val="24"/>
        </w:rPr>
        <w:t>.  On congruent trials, the dot appears at the location of the threatening cue, whereas on incongruent trials, the dot appears at the location of the neutral cue (see Figure 1A).</w:t>
      </w:r>
      <w:r>
        <w:rPr>
          <w:rFonts w:ascii="Times New Roman" w:hAnsi="Times New Roman" w:cs="Times New Roman"/>
          <w:sz w:val="24"/>
          <w:szCs w:val="24"/>
        </w:rPr>
        <w:t xml:space="preserve">  Each cue is c</w:t>
      </w:r>
      <w:r w:rsidRPr="00093979">
        <w:rPr>
          <w:rFonts w:ascii="Times New Roman" w:hAnsi="Times New Roman" w:cs="Times New Roman"/>
          <w:sz w:val="24"/>
          <w:szCs w:val="24"/>
        </w:rPr>
        <w:t xml:space="preserve">ompletely irrelevant to the current task demands.  And yet, in some circumstances, the threatening cue biases attention to a greater extent than the neutral </w:t>
      </w:r>
      <w:r>
        <w:rPr>
          <w:rFonts w:ascii="Times New Roman" w:hAnsi="Times New Roman" w:cs="Times New Roman"/>
          <w:sz w:val="24"/>
          <w:szCs w:val="24"/>
        </w:rPr>
        <w:t xml:space="preserve">cue, </w:t>
      </w:r>
      <w:r w:rsidRPr="00093979">
        <w:rPr>
          <w:rFonts w:ascii="Times New Roman" w:hAnsi="Times New Roman" w:cs="Times New Roman"/>
          <w:sz w:val="24"/>
          <w:szCs w:val="24"/>
        </w:rPr>
        <w:t>as shown by the difference in response times (RTs) between congruent and incongruent trials (for reviews</w:t>
      </w:r>
      <w:r>
        <w:rPr>
          <w:rFonts w:ascii="Times New Roman" w:hAnsi="Times New Roman" w:cs="Times New Roman"/>
          <w:sz w:val="24"/>
          <w:szCs w:val="24"/>
        </w:rPr>
        <w:t>, see</w:t>
      </w:r>
      <w:r w:rsidRPr="00093979">
        <w:rPr>
          <w:rFonts w:ascii="Times New Roman" w:hAnsi="Times New Roman" w:cs="Times New Roman"/>
          <w:sz w:val="24"/>
          <w:szCs w:val="24"/>
        </w:rPr>
        <w:t xml:space="preserv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{"citationID":"dDw7wDBU","properties":{"formattedCitation":"(Carreti\\uc0\\u233{}, 2014; Imhoff et al., 2019)","plainCitation":"(Carretié, 2014; Imhoff et al., 2019)","dontUpdate":true,"noteIndex":0},"citationItems":[{"id":223,"uris":["http://zotero.org/users/3283490/items/WW55WCFJ"],"uri":["http://zotero.org/users/3283490/items/WW55WCFJ"],"itemData":{"id":223,"type":"article-journal","abstract":"Current knowledge on the architecture of exogenous attention (also called automatic, bottom-up, or stimulusdriven attention, among other terms) has been mainly obtained from studies employing neutral, anodyne stimuli. Since, from an evolutionary perspective, exogenous attention can be understood as an adaptive tool for rapidly detecting salient events, reorienting processing resources to them, and enhancing processing mechanisms, emotional events (which are, by definition, salient for the individual) would seem crucial to a comprehensive understanding of this process. This review, focusing on the visual modality, describes 55 experiments in which both emotional and neutral irrelevant distractors are presented at the same time as ongoing task targets. Qualitative and, when possible, meta-analytic descriptions of results are provided. The most conspicuous result is that, as confirmed by behavioral and/or neural indices, emotional distractors capture exogenous attention to a significantly greater extent than do neutral distractors. The modulatory effects of the nature of distractors capturing attention, of the ongoing task characteristics, and of individual differences, previously proposed as mediating factors, are also described. Additionally, studies reviewed here provide temporal and spatial information—partially absent in traditional cognitive models—on the neural basis of preattention/evaluation, reorienting, and sensory amplification, the main subprocesses involved in exogenous attention. A model integrating these different levels of information is proposed. The present review, which reveals that there are several key issues for which experimental data are surprisingly scarce, confirms the relevance of including emotional distractors in studies on exogenous attention.","container-title":"Cognitive, Affective, &amp; Behavioral Neuroscience","DOI":"10.3758/s13415-014-0270-2","ISSN":"1530-7026, 1531-135X","issue":"4","language":"en","page":"1228-1258","source":"Crossref","title":"Exogenous (automatic) attention to emotional stimuli: a review","title-short":"Exogenous (automatic) attention to emotional stimuli","volume":"14","author":[{"family":"Carretié","given":"Luis"}],"issued":{"date-parts":[["2014",12]]}}},{"id":877,"uris":["http://zotero.org/users/3283490/items/L4G2ASKZ"],"uri":["http://zotero.org/users/3283490/items/L4G2ASKZ"],"itemData":{"id":877,"type":"article-journal","abstract":"Spatial cueing paradigms are popular tools to assess human attention to emotional stimuli, but different variants of these paradigms differ in what participants’ primary task is. In one variant, participants indicate the location of the target (location task), whereas in the other they indicate the shape of the target (identification task). In the present paper we test the idea that although these two variants produce seemingly comparable cue validity effects on response times, they rest on different underlying processes. Across four studies (total N = 397; two in the supplement) using both variants and manipulating the motivational relevance of cue content, diffusion model analyses revealed that cue validity effects in location tasks are primarily driven by response biases, whereas the same effect rests on delay due to attention to the cue in identification tasks. Based on this, we predict and empirically support that a symmetrical distribution of valid and invalid cues would reduce cue validity effects in location tasks to a greater extent than in identification tasks. Across all variants of the task, we fail to replicate the effect of greater cue validity effects for arousing (vs. neutral) stimuli. We discuss the implications of these findings for best practice in spatial cueing research.","container-title":"Cognition and Emotion","DOI":"10.1080/02699931.2018.1443433","ISSN":"0269-9931, 1464-0600","issue":"2","journalAbbreviation":"Cognition and Emotion","language":"en","page":"231-244","source":"DOI.org (Crossref)","title":"Identification and location tasks rely on different mental processes: a diffusion model account of validity effects in spatial cueing paradigms with emotional stimuli","title-short":"Identification and location tasks rely on different mental processes","volume":"33","author":[{"family":"Imhoff","given":"Roland"},{"family":"Lange","given":"Jens"},{"family":"Germar","given":"Markus"}],"issued":{"date-parts":[["2019",2,17]]}}}],"schema":"https://github.com/citation-style-language/schema/raw/master/csl-citation.json"}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szCs w:val="24"/>
        </w:rPr>
        <w:t>Carretié, 2014; Imhoff et al., 2019)</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This effect is known as a </w:t>
      </w:r>
      <w:r w:rsidRPr="00093979">
        <w:rPr>
          <w:rFonts w:ascii="Times New Roman" w:hAnsi="Times New Roman" w:cs="Times New Roman"/>
          <w:i/>
          <w:iCs/>
          <w:sz w:val="24"/>
          <w:szCs w:val="24"/>
        </w:rPr>
        <w:t>congruency effect</w:t>
      </w:r>
      <w:r w:rsidRPr="00093979">
        <w:rPr>
          <w:rFonts w:ascii="Times New Roman" w:hAnsi="Times New Roman" w:cs="Times New Roman"/>
          <w:sz w:val="24"/>
          <w:szCs w:val="24"/>
        </w:rPr>
        <w:t xml:space="preserve">, or otherwise attentional capture by threat, or attentional bias </w:t>
      </w:r>
      <w:r>
        <w:rPr>
          <w:rFonts w:ascii="Times New Roman" w:hAnsi="Times New Roman" w:cs="Times New Roman"/>
          <w:sz w:val="24"/>
          <w:szCs w:val="24"/>
        </w:rPr>
        <w:t>to</w:t>
      </w:r>
      <w:r w:rsidRPr="00093979">
        <w:rPr>
          <w:rFonts w:ascii="Times New Roman" w:hAnsi="Times New Roman" w:cs="Times New Roman"/>
          <w:sz w:val="24"/>
          <w:szCs w:val="24"/>
        </w:rPr>
        <w:t xml:space="preserve"> threat.</w:t>
      </w:r>
    </w:p>
    <w:p w14:paraId="72EE7A00" w14:textId="2F702AF0" w:rsidR="00B158DB" w:rsidRPr="00093979"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While congruency effects </w:t>
      </w:r>
      <w:r>
        <w:rPr>
          <w:rFonts w:ascii="Times New Roman" w:hAnsi="Times New Roman" w:cs="Times New Roman"/>
          <w:sz w:val="24"/>
          <w:szCs w:val="24"/>
        </w:rPr>
        <w:t xml:space="preserve">are often </w:t>
      </w:r>
      <w:r w:rsidRPr="00093979">
        <w:rPr>
          <w:rFonts w:ascii="Times New Roman" w:hAnsi="Times New Roman" w:cs="Times New Roman"/>
          <w:sz w:val="24"/>
          <w:szCs w:val="24"/>
        </w:rPr>
        <w:t>assessed by the dot-probe task</w:t>
      </w:r>
      <w:r>
        <w:rPr>
          <w:rFonts w:ascii="Times New Roman" w:hAnsi="Times New Roman" w:cs="Times New Roman"/>
          <w:sz w:val="24"/>
          <w:szCs w:val="24"/>
        </w:rPr>
        <w:t xml:space="preserv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{"citationID":"JDLlwR8G","properties":{"formattedCitation":"(Kruijt et al., 2018; Mogg et al., 2017)","plainCitation":"(Kruijt et al., 2018; Mogg et al., 2017)","noteIndex":0},"citationItems":[{"id":2527,"uris":["http://zotero.org/users/3283490/items/I2TWHFV7"],"uri":["http://zotero.org/users/3283490/items/I2TWHFV7"],"itemData":{"id":2527,"type":"article-journal","abstract":"It is widely believed that anxiety is characterized by a tendency to orient attention specifically toward threatening information and that this tendency (called attention bias) can be measured using a computer task called the “dot-probe task.” Over the past decade, studies have tested whether a training version of this task can be used to modify bias, which might then be used as a new treatment (Attention Bias Modification). We analyzed levels of attention bias measured before participants started the modification training in 13 studies enrolling 1,005 diagnosed anxious patients. We found no evidence that clinically anxious people are characterized by attention bias toward threat.","container-title":"Journal of Abnormal Psychology","language":"en","page":"11","source":"Zotero","title":"A Meta-Analysis of Bias at Baseline in RCTs of Attention Bias Modification: No Evidence for Dot-Probe Bias Towards Threat in Clinical Anxiety and PTSD","author":[{"family":"Kruijt","given":"Anne-Wil"},{"family":"Parsons","given":"Sam"},{"family":"Fox","given":"Elaine"}],"issued":{"date-parts":[["2018"]]}}},{"id":1386,"uris":["http://zotero.org/users/3283490/items/JPG3SEMQ"],"uri":["http://zotero.org/users/3283490/items/JPG3SEMQ"],"itemData":{"id":1386,"type":"article-journal","abstract":"Attention bias modification (ABM) aims to reduce anxiety by reducing attention bias (AB) to threat; however, effects on anxiety and AB are variable. This review examines 34 studies assessing effects of multisession-ABM on both anxiety and AB in high-anxious individuals. Methods include ABM-threat-avoidance (promoting attention-orienting away from threat), ABM-positive-search (promoting explicit, goal-directed attention-search for positive/nonthreat targets among negative/threat distractors), and comparison conditions (e.g., control-attention training combining threat-cue exposure and attention-task practice without AB-modification). Findings indicate anxiety reduction often occurs during both ABM-threat-avoidance and control-attention training; anxiety reduction is not consistently accompanied by AB reduction; anxious individuals often show no pretraining AB in orienting toward threat; and ABM-positive-search training appears promising in reducing anxiety. Methodological and theoretical issues are discussed concerning ABM paradigms, comparison conditions, and AB assessment. ABM methods combining explicit goal-directed attention-search for nonthreat/positive information and effortful threat-distractor inhibition (promoting top-down cognitive control during threat-cue exposure) warrant further evaluation.","container-title":"Clinical Psychological Science","DOI":"10.1177/2167702617696359","ISSN":"2167-7026","issue":"4","journalAbbreviation":"Clin Psychol Sci","note":"PMID: 28752017\nPMCID: PMC5513441","page":"698-717","source":"PubMed Central","title":"Attention Bias Modification (ABM): Review of Effects of Multisession ABM Training on Anxiety and Threat-Related Attention in High-Anxious Individuals","title-short":"Attention Bias Modification (ABM)","volume":"5","author":[{"family":"Mogg","given":"Karin"},{"family":"Waters","given":"Allison M."},{"family":"Bradley","given":"Brendan P."}],"issued":{"date-parts":[["2017",7]]}}}],"schema":"https://github.com/citation-style-language/schema/raw/master/csl-citation.json"}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(Kruijt et al., 2018; Mogg et al., 2017)</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they have come under scrutiny for poor internal and test-retest reliability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{"citationID":"4PC1rjwt","properties":{"formattedCitation":"(Schmukle, 2005; Staugaard, 2009)","plainCitation":"(Schmukle, 2005; Staugaard, 2009)","noteIndex":0},"citationItems":[{"id":233,"uris":["http://zotero.org/users/3283490/items/FL2EDNYT"],"uri":["http://zotero.org/users/3283490/items/FL2EDNYT"],"itemData":{"id":233,"type":"article-journal","container-title":"European Journal of Personality","DOI":"10.1002/per.554","ISSN":"0890-2070, 1099-0984","issue":"7","journalAbbreviation":"Eur. J. Pers.","language":"en","page":"595-605","source":"DOI.org (Crossref)","title":"Unreliability of the dot probe task","volume":"19","author":[{"family":"Schmukle","given":"Stefan C."}],"issued":{"date-parts":[["2005",12]]}}},{"id":232,"uris":["http://zotero.org/users/3283490/items/TPMXPUJU"],"uri":["http://zotero.org/users/3283490/items/TPMXPUJU"],"itemData":{"id":232,"type":"article-journal","abstract":"The dot-probe task developed by Macleod, Mathews and Tata (1986) is a measure of attentional bias. Recent developments of the task have favoured the use of human faces as stimuli, however, results from this task have been inconsistent. In 2005, Schmukle published very poor reliability estimates for two versions of the dot-probe task using words and situational images as stimuli. The present study tested the reliability of two versions of the test, using photographs of human faces. One version was similar to previous research, while the other was a modification designed to meet a potential methodological issue. Results indicate that both versions tested were unreliable and therefore unsuitable for individual differences research. When considered as a group, however, participants showed consistent attentional bias towards emotional faces in the task similar to previous research, while habituation effects were found in the modified task. This suggests that the two tasks may be used in between-group designs to investigate different aspects of attention to emotional faces.","container-title":"Psychological Science Quarterly","issue":"3","language":"en","page":"339-350","source":"Zotero","title":"Reliability of two versions of the dot-probe task using photographic faces","volume":"51","author":[{"family":"Staugaard","given":"Søren Risløv"}],"issued":{"date-parts":[["2009"]]}}}],"schema":"https://github.com/citation-style-language/schema/raw/master/csl-citation.json"}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(Schmukle, 2005; Staugaard, 2009)</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One root cause of this issue is that difference scores are inherently un-reliable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{"citationID":"ploy6YBZ","properties":{"formattedCitation":"(Hedge et al., 2018)","plainCitation":"(Hedge et al., 2018)","noteIndex":0},"citationItems":[{"id":1914,"uris":["http://zotero.org/users/3283490/items/EQUIM4LC"],"uri":["http://zotero.org/users/3283490/items/EQUIM4LC"],"itemData":{"id":1914,"type":"article-journal","container-title":"Behavior Research Methods","DOI":"10.3758/s13428-017-0935-1","ISSN":"1554-3528","issue":"3","journalAbbreviation":"Behav Res","language":"en","page":"1166-1186","source":"DOI.org (Crossref)","title":"The reliability paradox: Why robust cognitive tasks do not produce reliable individual differences","title-short":"The reliability paradox","volume":"50","author":[{"family":"Hedge","given":"Craig"},{"family":"Powell","given":"Georgina"},{"family":"Sumner","given":"Petroc"}],"issued":{"date-parts":[["2018",6]]}}}],"schema":"https://github.com/citation-style-language/schema/raw/master/csl-citation.json"}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(Hedge et al., 2018)</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But some studies have found that variability in congruency effects can in-part be explained by trial-level bias scores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{"citationID":"dNWqqamU","properties":{"formattedCitation":"(Zvielli et al., 2015)","plainCitation":"(Zvielli et al., 2015)","noteIndex":0},"citationItems":[{"id":2196,"uris":["http://zotero.org/users/3283490/items/GNT2N7ZE"],"uri":["http://zotero.org/users/3283490/items/GNT2N7ZE"],"itemData":{"id":2196,"type":"article-journal","abstract":"Biases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knowledge.","container-title":"Clinical Psychological Science","DOI":"10.1177/2167702614551572","ISSN":"2167-7026, 2167-7034","issue":"5","journalAbbreviation":"Clinical Psychological Science","language":"en","page":"772-788","source":"DOI.org (Crossref)","title":"Temporal Dynamics of Attentional Bias","volume":"3","author":[{"family":"Zvielli","given":"Ariel"},{"family":"Bernstein","given":"Amit"},{"family":"Koster","given":"Ernst H. W."}],"issued":{"date-parts":[["2015",9]]}}}],"schema":"https://github.com/citation-style-language/schema/raw/master/csl-citation.json"}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(Zvielli et al., 2015)</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and trial-to-trial variability in overall RTs</w:t>
      </w:r>
      <w:r w:rsidRPr="00093979" w:rsidDel="004C001E">
        <w:rPr>
          <w:rFonts w:ascii="Times New Roman" w:hAnsi="Times New Roman" w:cs="Times New Roman"/>
          <w:sz w:val="24"/>
          <w:szCs w:val="24"/>
        </w:rPr>
        <w:t xml:space="preserve"> </w:t>
      </w:r>
      <w:r w:rsidRPr="00093979">
        <w:rPr>
          <w:rFonts w:ascii="Times New Roman" w:hAnsi="Times New Roman" w:cs="Times New Roman"/>
          <w:sz w:val="24"/>
          <w:szCs w:val="24"/>
        </w:rPr>
        <w:t>(</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{"citationID":"gyJ3EIgm","properties":{"formattedCitation":"(Carlson &amp; Fang, 2020; Kruijt et al., 2016)","plainCitation":"(Carlson &amp; Fang, 2020; Kruijt et al., 2016)","dontUpdate":true,"noteIndex":0},"citationItems":[{"id":2523,"uris":["http://zotero.org/users/3283490/items/8P8HYVEV"],"uri":["http://zotero.org/users/3283490/items/8P8HYVEV"],"itemData":{"id":2523,"type":"article-journal","abstract":"A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M"},{"family":"Fang","given":"Lin"}],"issued":{"date-parts":[["2020"]]}}},{"id":2197,"uris":["http://zotero.org/users/3283490/items/2HRTANBX"],"uri":["http://zotero.org/users/3283490/items/2HRTANBX"],"itemData":{"id":2197,"type":"article-journal","abstract":"Background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bias.\nMethod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switching.\nResults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bias.\nConclusion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dynamic.","container-title":"PLOS ONE","DOI":"10.1371/journal.pone.0166600","ISSN":"1932-6203","issue":"11","journalAbbreviation":"PLoS ONE","language":"en","page":"e0166600","source":"DOI.org (Crossref)","title":"Capturing Dynamics of Biased Attention: Are New Attention Variability Measures the Way Forward?","title-short":"Capturing Dynamics of Biased Attention","volume":"11","author":[{"family":"Kruijt","given":"Anne-Wil"},{"family":"Field","given":"Andy P."},{"family":"Fox","given":"Elaine"}],"editor":[{"family":"Lu","given":"Zhong-Lin"}],"issued":{"date-parts":[["2016",11,22]]}}}],"schema":"https://github.com/citation-style-language/schema/raw/master/csl-citation.json"} </w:instrText>
      </w:r>
      <w:r w:rsidRPr="00093979">
        <w:rPr>
          <w:rFonts w:ascii="Times New Roman" w:hAnsi="Times New Roman" w:cs="Times New Roman"/>
          <w:sz w:val="24"/>
          <w:szCs w:val="24"/>
        </w:rPr>
        <w:fldChar w:fldCharType="separate"/>
      </w:r>
      <w:r w:rsidR="002E5F6E">
        <w:rPr>
          <w:rFonts w:ascii="Times New Roman" w:hAnsi="Times New Roman" w:cs="Times New Roman"/>
          <w:sz w:val="24"/>
        </w:rPr>
        <w:t xml:space="preserve">AUTHOR, </w:t>
      </w:r>
      <w:r w:rsidRPr="00093979">
        <w:rPr>
          <w:rFonts w:ascii="Times New Roman" w:hAnsi="Times New Roman" w:cs="Times New Roman"/>
          <w:sz w:val="24"/>
        </w:rPr>
        <w:t>2020; Kruijt et 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Identifying new sources of potential variation – like carryover effects – in the </w:t>
      </w:r>
      <w:r w:rsidR="006C68B9">
        <w:rPr>
          <w:rFonts w:ascii="Times New Roman" w:hAnsi="Times New Roman" w:cs="Times New Roman"/>
          <w:sz w:val="24"/>
          <w:szCs w:val="24"/>
        </w:rPr>
        <w:t>dot-probe</w:t>
      </w:r>
      <w:r w:rsidRPr="00093979">
        <w:rPr>
          <w:rFonts w:ascii="Times New Roman" w:hAnsi="Times New Roman" w:cs="Times New Roman"/>
          <w:sz w:val="24"/>
          <w:szCs w:val="24"/>
        </w:rPr>
        <w:t xml:space="preserve"> task is beneficial because they could be accounted for in futures studies</w:t>
      </w:r>
      <w:r>
        <w:rPr>
          <w:rFonts w:ascii="Times New Roman" w:hAnsi="Times New Roman" w:cs="Times New Roman"/>
          <w:sz w:val="24"/>
          <w:szCs w:val="24"/>
        </w:rPr>
        <w:t>.</w:t>
      </w:r>
    </w:p>
    <w:p w14:paraId="41CB4D42" w14:textId="77777777" w:rsidR="00B158DB" w:rsidRDefault="00B158DB" w:rsidP="00816B9D">
      <w:pPr>
        <w:spacing w:line="240" w:lineRule="auto"/>
        <w:contextualSpacing/>
        <w:rPr>
          <w:rFonts w:ascii="Times New Roman" w:hAnsi="Times New Roman" w:cs="Times New Roman"/>
          <w:b/>
          <w:bCs/>
          <w:sz w:val="24"/>
          <w:szCs w:val="24"/>
        </w:rPr>
      </w:pPr>
      <w:r w:rsidRPr="00093979">
        <w:rPr>
          <w:rFonts w:ascii="Times New Roman" w:hAnsi="Times New Roman" w:cs="Times New Roman"/>
          <w:b/>
          <w:bCs/>
          <w:sz w:val="24"/>
          <w:szCs w:val="24"/>
        </w:rPr>
        <w:t>Carryover Effects</w:t>
      </w:r>
    </w:p>
    <w:p w14:paraId="2F5FAF2D" w14:textId="63563754" w:rsidR="00B158DB" w:rsidRDefault="00B158DB" w:rsidP="00816B9D">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Suppose that an individual’s attention was biased towards a threatening stimulus – like a fearful face – during a congruent trial of a dot-probe task.  Such bias could impact the individual </w:t>
      </w:r>
      <w:r>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{"citationID":"ofFG5H0c","properties":{"formattedCitation":"(Panksepp &amp; Watt, 2011)","plainCitation":"(Panksepp &amp; Watt, 2011)","noteIndex":0},"citationItems":[{"id":98816,"uris":["http://zotero.org/users/3283490/items/5KF69MQ9"],"uri":["http://zotero.org/users/3283490/items/5KF69MQ9"],"itemData":{"id":98816,"type":"article-journal","abstract":"A cross-species affective neuroscience strategy for understanding the primary-process (basic) emotions is defended. The need for analyzing the brain and mind in terms of evolutionary stratification of functions into at least primary (instinctual), secondary (learned), and tertiary (thought-related) processes is advanced. When viewed in this context, the contentious battles between basic-emotion theorists and dimensional-constructivist approaches can be seen to be largely nonsubstantial differences among investigators working at different levels of analysis.","container-title":"Emotion Review","DOI":"10.1177/1754073911410741","ISSN":"1754-0739, 1754-0747","issue":"4","journalAbbreviation":"Emotion Review","language":"en","page":"387-396","source":"DOI.org (Crossref)","title":"What is Basic about Basic Emotions? Lasting Lessons from Affective Neuroscience","title-short":"What is Basic about Basic Emotions?","volume":"3","author":[{"family":"Panksepp","given":"Jaak"},{"family":"Watt","given":"Douglas"}],"issued":{"date-parts":[["2011",10]]}}}],"schema":"https://github.com/citation-style-language/schema/raw/master/csl-citation.json"} </w:instrText>
      </w:r>
      <w:r>
        <w:rPr>
          <w:rFonts w:ascii="Times New Roman" w:hAnsi="Times New Roman" w:cs="Times New Roman"/>
          <w:sz w:val="24"/>
          <w:szCs w:val="24"/>
        </w:rPr>
        <w:fldChar w:fldCharType="separate"/>
      </w:r>
      <w:r w:rsidRPr="00475B6C">
        <w:rPr>
          <w:rFonts w:ascii="Times New Roman" w:hAnsi="Times New Roman" w:cs="Times New Roman"/>
          <w:sz w:val="24"/>
        </w:rPr>
        <w:t>(Panksepp &amp; Watt, 2011)</w:t>
      </w:r>
      <w:r>
        <w:rPr>
          <w:rFonts w:ascii="Times New Roman" w:hAnsi="Times New Roman" w:cs="Times New Roman"/>
          <w:sz w:val="24"/>
          <w:szCs w:val="24"/>
        </w:rPr>
        <w:fldChar w:fldCharType="end"/>
      </w:r>
      <w:r>
        <w:rPr>
          <w:rFonts w:ascii="Times New Roman" w:hAnsi="Times New Roman" w:cs="Times New Roman"/>
          <w:sz w:val="24"/>
          <w:szCs w:val="24"/>
        </w:rPr>
        <w:t xml:space="preserve">, priming them to be more biased towards threat in subsequent trials.  A persistent bias for threatening stimuli is quite plausible given that threatening cues can also bring about attentional dwelling towards themselves </w:t>
      </w:r>
      <w:r>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{"citationID":"0g6XgRFO","properties":{"formattedCitation":"(Carlson &amp; Reinke, 2014; Fox et al., 2001)","plainCitation":"(Carlson &amp; Reinke, 2014; Fox et al., 2001)","dontUpdate":true,"noteIndex":0},"citationItems":[{"id":55,"uris":["http://zotero.org/users/3283490/items/54PXUKJH"],"uri":["http://zotero.org/users/3283490/items/54PXUKJH"],"itemData":{"id":55,"type":"article-journal","abstract":"Fearful facial expressions convey threat-related information and automatically elicit modulations in spatial attention. The eye-region appears to be a particularly important feature for recognising and responding to fearful faces. However, it is unknown as to whether or not fearful eyes initiate modulations in spatial attention. In the current study, three dot-probe experiments with fearful and neutral eye stimuli were performed. The results of Experiment 1 demonstrate that fearful eyes capture spatial attention through facilitated attentional orienting to threat and delayed attentional disengagement from threat. In Experiments 2 and 3, these attentional effects were replicated, while ruling out the influence of overall size/shape and brightness differences between fearful and neutral eyes, respectively. Thus, fearful eye-whites appear to be a salient feature of fearful facial expressions that elicit modulations in spatial attention. (PsycINFO Database Record (c) 2016 APA, all rights reserved)","archive":"psyh","archive_location":"2014-40010-006","container-title":"Cognition and Emotion","DOI":"10.1080/02699931.2014.885410","ISSN":"0269-9931","issue":"8","journalAbbreviation":"Cognition and Emotion","note":"publisher: Taylor &amp; Francis","page":"1398-1406","source":"EBSCOhost","title":"Attending to the fear in your eyes: Facilitated orienting and delayed disengagement","volume":"28","author":[{"family":"Carlson","given":"Joshua M."},{"family":"Reinke","given":"Karen S."}],"issued":{"date-parts":[["2014",11]]}}},{"id":92657,"uris":["http://zotero.org/users/3283490/items/YP62XMLK"],"uri":["http://zotero.org/users/3283490/items/YP62XMLK"],"itemData":{"id":92657,"type":"article-journal","container-title":"Journal of Experimental Psychology: General","DOI":"10.1037/0096-3445.130.4.681","ISSN":"1939-2222, 0096-3445","issue":"4","journalAbbreviation":"Journal of Experimental Psychology: General","language":"en","page":"681-700","source":"DOI.org (Crossref)","title":"Do threatening stimuli draw or hold visual attention in subclinical anxiety?","volume":"130","author":[{"family":"Fox","given":"Elaine"},{"family":"Russo","given":"Riccardo"},{"family":"Bowles","given":"Robert"},{"family":"Dutton","given":"Kevin"}],"issued":{"date-parts":[["2001"]]}}}],"schema":"https://github.com/citation-style-language/schema/raw/master/csl-citation.json"} </w:instrText>
      </w:r>
      <w:r>
        <w:rPr>
          <w:rFonts w:ascii="Times New Roman" w:hAnsi="Times New Roman" w:cs="Times New Roman"/>
          <w:sz w:val="24"/>
          <w:szCs w:val="24"/>
        </w:rPr>
        <w:fldChar w:fldCharType="separate"/>
      </w:r>
      <w:r w:rsidRPr="006150A9">
        <w:rPr>
          <w:rFonts w:ascii="Times New Roman" w:hAnsi="Times New Roman" w:cs="Times New Roman"/>
          <w:sz w:val="24"/>
        </w:rPr>
        <w:t>(</w:t>
      </w:r>
      <w:r w:rsidR="002E5F6E">
        <w:rPr>
          <w:rFonts w:ascii="Times New Roman" w:hAnsi="Times New Roman" w:cs="Times New Roman"/>
          <w:sz w:val="24"/>
        </w:rPr>
        <w:t xml:space="preserve">AUTHOR </w:t>
      </w:r>
      <w:r w:rsidRPr="006150A9">
        <w:rPr>
          <w:rFonts w:ascii="Times New Roman" w:hAnsi="Times New Roman" w:cs="Times New Roman"/>
          <w:sz w:val="24"/>
        </w:rPr>
        <w:t>2014; Fox et al., 2001)</w:t>
      </w:r>
      <w:r>
        <w:rPr>
          <w:rFonts w:ascii="Times New Roman" w:hAnsi="Times New Roman" w:cs="Times New Roman"/>
          <w:sz w:val="24"/>
          <w:szCs w:val="24"/>
        </w:rPr>
        <w:fldChar w:fldCharType="end"/>
      </w:r>
      <w:r>
        <w:rPr>
          <w:rFonts w:ascii="Times New Roman" w:hAnsi="Times New Roman" w:cs="Times New Roman"/>
          <w:sz w:val="24"/>
          <w:szCs w:val="24"/>
        </w:rPr>
        <w:t xml:space="preserve">. In the past, others have found carryover effects in the </w:t>
      </w:r>
      <w:r w:rsidRPr="00093979">
        <w:rPr>
          <w:rFonts w:ascii="Times New Roman" w:hAnsi="Times New Roman" w:cs="Times New Roman"/>
          <w:sz w:val="24"/>
          <w:szCs w:val="24"/>
        </w:rPr>
        <w:t>emotional Stroop</w:t>
      </w:r>
      <w:r>
        <w:rPr>
          <w:rFonts w:ascii="Times New Roman" w:hAnsi="Times New Roman" w:cs="Times New Roman"/>
          <w:sz w:val="24"/>
          <w:szCs w:val="24"/>
        </w:rPr>
        <w:t xml:space="preserv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{"citationID":"HVLicmkx","properties":{"formattedCitation":"(Cane et al., 2009; Clarke et al., 2015; Waters et al., 2005; Wilson et al., 2007)","plainCitation":"(Cane et al., 2009; Clarke et al., 2015; Waters et al., 2005; Wilson et al., 2007)","noteIndex":0},"citationItems":[{"id":99865,"uris":["http://zotero.org/users/3283490/items/T7ENX28M"],"uri":["http://zotero.org/users/3283490/items/T7ENX28M"],"itemData":{"id":99865,"type":"article-journal","abstract":"Abstract\n            Research has shown that attentional bias toward smoking-related stimuli is related to the maintenance of smoking behaviour and the chance of a relapse during a quit attempt. Effects of smoking attentional bias can occur both during smoking stimulus presentation (fast effect) and on stimuli that immediately follow smoking stimuli (slow effect). The current research builds on these findings by closely examining the temporal aspects of these fast and slow effects across groups of different smoking status. In Experiment 1 ( n = 64), smokers, smokers attempting to quit (SATQ) and non-smokers completed an addiction Stroop task using smoking related, negative emotion and neutral stimuli. In Experiment 2 ( n = 32), marijuana smokers and non-marijuana smokers completed an addiction Stroop task using marijuana and neutral stimuli. Results showed fast effects across all smoking groups (except non-smokers) and slow effects in SATQ and marijuana smokers. Furthermore, marijuana smokers showed slow effects over extended periods of time. Results also show a relationship between anxiety, nicotine dependence and attentional bias in SATQ. The implications of these findings are discussed.","container-title":"Journal of Psychopharmacology","DOI":"10.1177/0269881108091253","ISSN":"0269-8811, 1461-7285","issue":"5","journalAbbreviation":"J Psychopharmacol","language":"en","page":"510-519","source":"DOI.org (Crossref)","title":"The addiction Stroop task: examining the fast and slow effects of smoking and marijuana-related cues","title-short":"The addiction Stroop task","volume":"23","author":[{"family":"Cane","given":"Je"},{"family":"Sharma","given":"D"},{"family":"Albery","given":"Ip"}],"issued":{"date-parts":[["2009",7]]}}},{"id":99866,"uris":["http://zotero.org/users/3283490/items/KPPSW3F5"],"uri":["http://zotero.org/users/3283490/items/KPPSW3F5"],"itemData":{"id":99866,"type":"article-journal","container-title":"Addiction Research &amp; Theory","DOI":"10.3109/16066359.2014.922961","ISSN":"1606-6359, 1476-7392","issue":"1","journalAbbreviation":"Addiction Research &amp; Theory","language":"en","page":"24-33","source":"DOI.org (Crossref)","title":"Examining fast and slow effects for alcohol and negative emotion in problem and social drinkers","volume":"23","author":[{"family":"Clarke","given":"Simon Paul"},{"family":"Sharma","given":"Dinkar"},{"family":"Salter","given":"Daniel"}],"issued":{"date-parts":[["2015",1,30]]}}},{"id":2512,"uris":["http://zotero.org/users/3283490/items/G8GNAZJW"],"uri":["http://zotero.org/users/3283490/items/G8GNAZJW"],"itemData":{"id":2512,"type":"article-journal","abstract":"The emotional Stroop task has been the most widely used task to examine attentional bias to emotionally salient stimuli. In one format of this task, words are presented to participants in a mixed randomized or quasi-randomized sequence. Using a mixed smoking Stroop task, we have previously demonstrated that smokers are slower to respond to words which follow smoking-related words than words which follow neutral words. Here we show that this carry-over effect is present in heroin addicts—but not control subjects—in a heroin Stroop task, and in normal subjects in a stress Stroop task. Thus, the effect generalizes to other populations. In addition, an examination of the studies that have collected data from both mixed and blocked formats provides converging evidence for the presence of carry-over effects. We discuss the implications of the carry-over effect for research using the emotional Stroop task.","container-title":"Behaviour Research and Therapy","DOI":"10.1016/j.brat.2004.06.003","ISSN":"00057967","issue":"6","journalAbbreviation":"Behaviour Research and Therapy","language":"en","page":"715-732","source":"DOI.org (Crossref)","title":"Generalizability of carry-over effects in the emotional Stroop task","volume":"43","author":[{"family":"Waters","given":"Andrew J."},{"family":"Sayette","given":"Michael A."},{"family":"Franken","given":"Ingmar H.A."},{"family":"Schwartz","given":"Joseph E."}],"issued":{"date-parts":[["2005",6]]}}},{"id":99868,"uris":["http://zotero.org/users/3283490/items/Y4FQECFJ"],"uri":["http://zotero.org/users/3283490/items/Y4FQECFJ"],"itemData":{"id":99868,"type":"article-journal","container-title":"Nicotine &amp; Tobacco Research","DOI":"10.1080/14622200701243144","ISSN":"1462-2203","issue":"5","journalAbbreviation":"Nicotine &amp; Tobacco Res.","language":"en","page":"613-619","source":"DOI.org (Crossref)","title":"Carry-over effects of smoking cue exposure on working memory performance","volume":"9","author":[{"family":"Wilson","given":"Stephen J."},{"family":"Sayette","given":"Michael A."},{"family":"Fiez","given":"Julie A."},{"family":"Brough","given":"Elizabeth"}],"issued":{"date-parts":[["2007",5]]}}}],"schema":"https://github.com/citation-style-language/schema/raw/master/csl-citation.json"}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(Cane et al., 2009; Clarke et al., 2015; Waters et al., 2005; Wilson et al., 2007)</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and diagonalized visual probe task</w:t>
      </w:r>
      <w:r w:rsidRPr="00093979" w:rsidDel="003D30AD">
        <w:rPr>
          <w:rFonts w:ascii="Times New Roman" w:hAnsi="Times New Roman" w:cs="Times New Roman"/>
          <w:sz w:val="24"/>
          <w:szCs w:val="24"/>
        </w:rPr>
        <w:t xml:space="preserv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{"citationID":"WWgMhSTc","properties":{"formattedCitation":"(Gladwin et al., 2019, 2020; Gladwin &amp; Figner, 2019)","plainCitation":"(Gladwin et al., 2019, 2020; Gladwin &amp; Figner, 2019)","noteIndex":0},"citationItems":[{"id":2538,"uris":["http://zotero.org/users/3283490/items/E9RRY2A2"],"uri":["http://zotero.org/users/3283490/items/E9RRY2A2"],"itemData":{"id":2538,"type":"article-journal","abstract":"Concerns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id":2628,"uris":["http://zotero.org/users/3283490/items/N268ITHX"],"uri":["http://zotero.org/users/3283490/items/N268ITHX"],"itemData":{"id":2628,"type":"article-journal","abstract":"Observability of threat-related spatial attentional biases may require previous-trial responses associated with threat-related locations. This carryover eﬀect might aﬀect reliability and correlations. In Study 1, a diagonalized Visual Probe Task was completed online (N=131) with colour, anger, fear and disgust stimuli, with questionnaires on aggression, anxiety, depression and impulsivity. Bias towards negative stimuli was found only following previous targets on the negative location. Study 2 aimed to test an interpretation in terms of cue-evoked attention. Task variants were completed (N=101) with and without removal of the cue when targets appeared. Anger and disgust stimuli and aggression, anxiety and depression scales were used. Carryover was replicated with no interaction with cue oﬀset. Over both tasks, reliability was low and no robust correlations with questionnaires were found. Carryover thus determined whether attentional bias to negative facial expressions was observed, but analyses taking this into account did not improve reliability or reveal correlations.","container-title":"Journal of Cognitive Psychology","DOI":"10.1080/20445911.2020.1805453","ISSN":"2044-5911, 2044-592X","journalAbbreviation":"Journal of Cognitive Psychology","language":"en","page":"1-11","source":"DOI.org (Crossref)","title":"Attentional bias for negative expressions depends on previous target location: replicable effect but unreliable measures","title-short":"Attentional bias for negative expressions depends on previous target location","author":[{"family":"Gladwin","given":"Thomas E."},{"family":"Jewiss","given":"Matt"},{"family":"Vink","given":"Matthijs"}],"issued":{"date-parts":[["2020",8,12]]}}},{"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(Gladwin et al., 2019, 2020; Gladwin &amp; Figner, 2019)</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w:t>
      </w:r>
      <w:r>
        <w:rPr>
          <w:rFonts w:ascii="Times New Roman" w:hAnsi="Times New Roman" w:cs="Times New Roman"/>
          <w:sz w:val="24"/>
          <w:szCs w:val="24"/>
        </w:rPr>
        <w:t xml:space="preserve">  In these tasks, attentional bias to an emotional cue (i.e., difference in RTs between congruent and incongruent trials) is greater when the previous trial is congruent, otherwise known as a </w:t>
      </w:r>
      <w:r w:rsidRPr="002E5377">
        <w:rPr>
          <w:rFonts w:ascii="Times New Roman" w:hAnsi="Times New Roman" w:cs="Times New Roman"/>
          <w:i/>
          <w:sz w:val="24"/>
          <w:szCs w:val="24"/>
        </w:rPr>
        <w:t>carryover effect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r>
      <w:r w:rsidR="002528AF">
        <w:rPr>
          <w:rFonts w:ascii="Times New Roman" w:hAnsi="Times New Roman" w:cs="Times New Roman"/>
          <w:i/>
          <w:sz w:val="24"/>
          <w:szCs w:val="24"/>
        </w:rPr>
        <w:instrText xml:space="preserve"> ADDIN ZOTERO_ITEM CSL_CITATION {"citationID":"kmAzWIWx","properties":{"formattedCitation":"(Gladwin et al., 2019)","plainCitation":"(Gladwin et al., 2019)","noteIndex":0},"citationItems":[{"id":2538,"uris":["http://zotero.org/users/3283490/items/E9RRY2A2"],"uri":["http://zotero.org/users/3283490/items/E9RRY2A2"],"itemData":{"id":2538,"type":"article-journal","abstract":"Concerns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E."},{"family":"Figner","given":"Bernd"},{"family":"Vink","given":"Matthijs"}],"issued":{"date-parts":[["2019",10,3]]}}}],"schema":"https://github.com/citation-style-language/schema/raw/master/csl-citation.json"} </w:instrText>
      </w:r>
      <w:r>
        <w:rPr>
          <w:rFonts w:ascii="Times New Roman" w:hAnsi="Times New Roman" w:cs="Times New Roman"/>
          <w:i/>
          <w:sz w:val="24"/>
          <w:szCs w:val="24"/>
        </w:rPr>
        <w:fldChar w:fldCharType="separate"/>
      </w:r>
      <w:r w:rsidRPr="00AB7941">
        <w:rPr>
          <w:rFonts w:ascii="Times New Roman" w:hAnsi="Times New Roman" w:cs="Times New Roman"/>
          <w:sz w:val="24"/>
        </w:rPr>
        <w:t>(Gladwin et al., 2019)</w:t>
      </w:r>
      <w:r>
        <w:rPr>
          <w:rFonts w:ascii="Times New Roman" w:hAnsi="Times New Roman" w:cs="Times New Roman"/>
          <w:i/>
          <w:sz w:val="24"/>
          <w:szCs w:val="24"/>
        </w:rPr>
        <w:fldChar w:fldCharType="end"/>
      </w:r>
      <w:r>
        <w:rPr>
          <w:rFonts w:ascii="Times New Roman" w:hAnsi="Times New Roman" w:cs="Times New Roman"/>
          <w:sz w:val="24"/>
          <w:szCs w:val="24"/>
        </w:rPr>
        <w:t>.</w:t>
      </w:r>
    </w:p>
    <w:p w14:paraId="04D00ECB" w14:textId="7D2C0217" w:rsidR="00B158DB" w:rsidRDefault="00B158DB" w:rsidP="00816B9D">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But for </w:t>
      </w:r>
      <w:r w:rsidRPr="00093979">
        <w:rPr>
          <w:rFonts w:ascii="Times New Roman" w:hAnsi="Times New Roman" w:cs="Times New Roman"/>
          <w:sz w:val="24"/>
          <w:szCs w:val="24"/>
        </w:rPr>
        <w:t>dot-probe studies</w:t>
      </w:r>
      <w:r>
        <w:rPr>
          <w:rFonts w:ascii="Times New Roman" w:hAnsi="Times New Roman" w:cs="Times New Roman"/>
          <w:sz w:val="24"/>
          <w:szCs w:val="24"/>
        </w:rPr>
        <w:t xml:space="preserve">, the evidence has been quite mixed.  </w:t>
      </w:r>
      <w:r w:rsidRPr="00093979">
        <w:rPr>
          <w:rFonts w:ascii="Times New Roman" w:hAnsi="Times New Roman" w:cs="Times New Roman"/>
          <w:sz w:val="24"/>
          <w:szCs w:val="24"/>
        </w:rPr>
        <w:t xml:space="preserve">In one dot-probe study that used threatening faces, no carryover effects were observed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{"citationID":"bPl2cVdS","properties":{"formattedCitation":"(Hill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(Hill &amp; Duval,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In another study, carryover effects were only observed for accuracy measures, and not response times (for non-face stimuli,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{"citationID":"59JpkbZK","properties":{"formattedCitation":"(Gladwin, 2017)","plainCitation":"(Gladwin, 2017)","dontUpdate":true,"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Gladwin, 2017)</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But these two studies have</w:t>
      </w:r>
      <w:r>
        <w:rPr>
          <w:rFonts w:ascii="Times New Roman" w:hAnsi="Times New Roman" w:cs="Times New Roman"/>
          <w:sz w:val="24"/>
          <w:szCs w:val="24"/>
        </w:rPr>
        <w:t xml:space="preserve"> serious</w:t>
      </w:r>
      <w:r w:rsidRPr="00093979">
        <w:rPr>
          <w:rFonts w:ascii="Times New Roman" w:hAnsi="Times New Roman" w:cs="Times New Roman"/>
          <w:sz w:val="24"/>
          <w:szCs w:val="24"/>
        </w:rPr>
        <w:t xml:space="preserve"> limitations: one used a small sample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{"citationID":"T0t4wSlU","properties":{"formattedCitation":"(Gladwin, 2017a)","plainCitation":"(Gladwin, 2017a)","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E."}],"issued":{"date-parts":[["2017"]]}}}],"schema":"https://github.com/citation-style-language/schema/raw/master/csl-citation.json"} </w:instrText>
      </w:r>
      <w:r w:rsidRPr="00093979">
        <w:rPr>
          <w:rFonts w:ascii="Times New Roman" w:hAnsi="Times New Roman" w:cs="Times New Roman"/>
          <w:sz w:val="24"/>
          <w:szCs w:val="24"/>
        </w:rPr>
        <w:fldChar w:fldCharType="separate"/>
      </w:r>
      <w:r w:rsidR="002528AF" w:rsidRPr="002528AF">
        <w:rPr>
          <w:rFonts w:ascii="Times New Roman" w:hAnsi="Times New Roman" w:cs="Times New Roman"/>
          <w:sz w:val="24"/>
        </w:rPr>
        <w:t>(Gladwin, 2017a)</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and the other measured carryover effects after attention training was administered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{"citationID":"eemsC6xY","properties":{"formattedCitation":"(Hill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(Hill &amp; Duval,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Here we improve upon these limitations</w:t>
      </w:r>
      <w:r>
        <w:rPr>
          <w:rFonts w:ascii="Times New Roman" w:hAnsi="Times New Roman" w:cs="Times New Roman"/>
          <w:sz w:val="24"/>
          <w:szCs w:val="24"/>
        </w:rPr>
        <w:t xml:space="preserve"> by examining the same question with a large sample of healthy undergraduate students</w:t>
      </w:r>
      <w:r w:rsidR="00C11CF2">
        <w:rPr>
          <w:rFonts w:ascii="Times New Roman" w:hAnsi="Times New Roman" w:cs="Times New Roman"/>
          <w:sz w:val="24"/>
          <w:szCs w:val="24"/>
        </w:rPr>
        <w:t xml:space="preserve"> who</w:t>
      </w:r>
      <w:r w:rsidR="008319E2">
        <w:rPr>
          <w:rFonts w:ascii="Times New Roman" w:hAnsi="Times New Roman" w:cs="Times New Roman"/>
          <w:sz w:val="24"/>
          <w:szCs w:val="24"/>
        </w:rPr>
        <w:t xml:space="preserve"> completed a</w:t>
      </w:r>
      <w:r>
        <w:rPr>
          <w:rFonts w:ascii="Times New Roman" w:hAnsi="Times New Roman" w:cs="Times New Roman"/>
          <w:sz w:val="24"/>
          <w:szCs w:val="24"/>
        </w:rPr>
        <w:t xml:space="preserve"> typical </w:t>
      </w:r>
      <w:r w:rsidR="006C68B9">
        <w:rPr>
          <w:rFonts w:ascii="Times New Roman" w:hAnsi="Times New Roman" w:cs="Times New Roman"/>
          <w:sz w:val="24"/>
          <w:szCs w:val="24"/>
        </w:rPr>
        <w:t>dot-probe</w:t>
      </w:r>
      <w:r>
        <w:rPr>
          <w:rFonts w:ascii="Times New Roman" w:hAnsi="Times New Roman" w:cs="Times New Roman"/>
          <w:sz w:val="24"/>
          <w:szCs w:val="24"/>
        </w:rPr>
        <w:t xml:space="preserve"> task.</w:t>
      </w:r>
    </w:p>
    <w:p w14:paraId="3CD43320" w14:textId="77777777" w:rsidR="00B158DB" w:rsidRPr="00093979" w:rsidRDefault="00B158DB" w:rsidP="00816B9D">
      <w:pPr>
        <w:spacing w:line="240" w:lineRule="auto"/>
        <w:contextualSpacing/>
        <w:rPr>
          <w:rFonts w:ascii="Times New Roman" w:hAnsi="Times New Roman" w:cs="Times New Roman"/>
          <w:b/>
          <w:bCs/>
          <w:sz w:val="24"/>
          <w:szCs w:val="24"/>
        </w:rPr>
      </w:pPr>
      <w:r w:rsidRPr="00093979">
        <w:rPr>
          <w:rFonts w:ascii="Times New Roman" w:hAnsi="Times New Roman" w:cs="Times New Roman"/>
          <w:b/>
          <w:bCs/>
          <w:sz w:val="24"/>
          <w:szCs w:val="24"/>
        </w:rPr>
        <w:t>The Current Study</w:t>
      </w:r>
    </w:p>
    <w:p w14:paraId="33BA2100" w14:textId="1C592272" w:rsidR="00B158DB"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lastRenderedPageBreak/>
        <w:t xml:space="preserve">In the current study we sought to test whether carryover effects influence congruency effects in the </w:t>
      </w:r>
      <w:r w:rsidR="006C68B9">
        <w:rPr>
          <w:rFonts w:ascii="Times New Roman" w:hAnsi="Times New Roman" w:cs="Times New Roman"/>
          <w:sz w:val="24"/>
          <w:szCs w:val="24"/>
        </w:rPr>
        <w:t>dot-probe</w:t>
      </w:r>
      <w:r w:rsidRPr="00093979">
        <w:rPr>
          <w:rFonts w:ascii="Times New Roman" w:hAnsi="Times New Roman" w:cs="Times New Roman"/>
          <w:sz w:val="24"/>
          <w:szCs w:val="24"/>
        </w:rPr>
        <w:t xml:space="preserve"> task. </w:t>
      </w:r>
      <w:r>
        <w:rPr>
          <w:rFonts w:ascii="Times New Roman" w:hAnsi="Times New Roman" w:cs="Times New Roman"/>
          <w:sz w:val="24"/>
          <w:szCs w:val="24"/>
        </w:rPr>
        <w:t>To test this question, we performed a secondary data analysis on two dot-probe experiments with fearful facial stimuli (Experiment 1) and threatening pictorial stimuli (Experiment 2) (</w:t>
      </w:r>
      <w:r w:rsidR="00A7460F">
        <w:rPr>
          <w:rFonts w:ascii="Times New Roman" w:hAnsi="Times New Roman" w:cs="Times New Roman"/>
          <w:sz w:val="24"/>
          <w:szCs w:val="24"/>
        </w:rPr>
        <w:t>AUTHOR,</w:t>
      </w:r>
      <w:r>
        <w:rPr>
          <w:rFonts w:ascii="Times New Roman" w:hAnsi="Times New Roman" w:cs="Times New Roman"/>
          <w:sz w:val="24"/>
          <w:szCs w:val="24"/>
        </w:rPr>
        <w:t xml:space="preserve"> 2020). </w:t>
      </w:r>
      <w:r w:rsidRPr="00093979">
        <w:rPr>
          <w:rFonts w:ascii="Times New Roman" w:hAnsi="Times New Roman" w:cs="Times New Roman"/>
          <w:sz w:val="24"/>
          <w:szCs w:val="24"/>
        </w:rPr>
        <w:t xml:space="preserve">Based on previous research (Gladwin et al., 2019, 2020), we hypothesized that there would be such an influence (as indicated by an interaction between previous trial congruency and current trial congruency).  More specifically, we expected that current trial congruency effects would be larger when the previous trial was congruent, relative to </w:t>
      </w:r>
      <w:r>
        <w:rPr>
          <w:rFonts w:ascii="Times New Roman" w:hAnsi="Times New Roman" w:cs="Times New Roman"/>
          <w:sz w:val="24"/>
          <w:szCs w:val="24"/>
        </w:rPr>
        <w:t xml:space="preserve">when it was </w:t>
      </w:r>
      <w:r w:rsidRPr="00093979">
        <w:rPr>
          <w:rFonts w:ascii="Times New Roman" w:hAnsi="Times New Roman" w:cs="Times New Roman"/>
          <w:sz w:val="24"/>
          <w:szCs w:val="24"/>
        </w:rPr>
        <w:t xml:space="preserve">incongruent (see Figure 1B). If our hypothesis is met, we will have identified an important source of variability in </w:t>
      </w:r>
      <w:r>
        <w:rPr>
          <w:rFonts w:ascii="Times New Roman" w:hAnsi="Times New Roman" w:cs="Times New Roman"/>
          <w:sz w:val="24"/>
          <w:szCs w:val="24"/>
        </w:rPr>
        <w:t xml:space="preserve">the </w:t>
      </w:r>
      <w:r w:rsidRPr="00093979">
        <w:rPr>
          <w:rFonts w:ascii="Times New Roman" w:hAnsi="Times New Roman" w:cs="Times New Roman"/>
          <w:sz w:val="24"/>
          <w:szCs w:val="24"/>
        </w:rPr>
        <w:t xml:space="preserve">dot-probe task. On the other hand, if our hypothesis is </w:t>
      </w:r>
      <w:r>
        <w:rPr>
          <w:rFonts w:ascii="Times New Roman" w:hAnsi="Times New Roman" w:cs="Times New Roman"/>
          <w:sz w:val="24"/>
          <w:szCs w:val="24"/>
        </w:rPr>
        <w:t xml:space="preserve">not </w:t>
      </w:r>
      <w:r w:rsidRPr="00093979">
        <w:rPr>
          <w:rFonts w:ascii="Times New Roman" w:hAnsi="Times New Roman" w:cs="Times New Roman"/>
          <w:sz w:val="24"/>
          <w:szCs w:val="24"/>
        </w:rPr>
        <w:t xml:space="preserve">supported, we would reject </w:t>
      </w:r>
      <w:r>
        <w:rPr>
          <w:rFonts w:ascii="Times New Roman" w:hAnsi="Times New Roman" w:cs="Times New Roman"/>
          <w:sz w:val="24"/>
          <w:szCs w:val="24"/>
        </w:rPr>
        <w:t xml:space="preserve">that </w:t>
      </w:r>
      <w:r w:rsidRPr="00093979">
        <w:rPr>
          <w:rFonts w:ascii="Times New Roman" w:hAnsi="Times New Roman" w:cs="Times New Roman"/>
          <w:sz w:val="24"/>
          <w:szCs w:val="24"/>
        </w:rPr>
        <w:t xml:space="preserve">carryover effects </w:t>
      </w:r>
      <w:r>
        <w:rPr>
          <w:rFonts w:ascii="Times New Roman" w:hAnsi="Times New Roman" w:cs="Times New Roman"/>
          <w:sz w:val="24"/>
          <w:szCs w:val="24"/>
        </w:rPr>
        <w:t xml:space="preserve">are able to influence congruency effects in the </w:t>
      </w:r>
      <w:r w:rsidRPr="00093979">
        <w:rPr>
          <w:rFonts w:ascii="Times New Roman" w:hAnsi="Times New Roman" w:cs="Times New Roman"/>
          <w:sz w:val="24"/>
          <w:szCs w:val="24"/>
        </w:rPr>
        <w:t>dot-probe task.</w:t>
      </w:r>
    </w:p>
    <w:p w14:paraId="0690D6B1" w14:textId="77777777" w:rsidR="00B158DB" w:rsidRPr="00093979" w:rsidRDefault="00B158DB" w:rsidP="00816B9D">
      <w:pPr>
        <w:spacing w:after="0"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t>Experiment 1</w:t>
      </w:r>
    </w:p>
    <w:p w14:paraId="7D890808" w14:textId="77777777" w:rsidR="00B158DB" w:rsidRPr="00093979" w:rsidRDefault="00B158DB" w:rsidP="00816B9D">
      <w:pPr>
        <w:spacing w:after="0" w:line="240" w:lineRule="auto"/>
        <w:contextualSpacing/>
        <w:rPr>
          <w:rFonts w:ascii="Times New Roman" w:hAnsi="Times New Roman" w:cs="Times New Roman"/>
          <w:b/>
          <w:bCs/>
          <w:i/>
          <w:iCs/>
          <w:sz w:val="24"/>
          <w:szCs w:val="24"/>
        </w:rPr>
      </w:pPr>
      <w:r w:rsidRPr="00093979">
        <w:rPr>
          <w:rFonts w:ascii="Times New Roman" w:hAnsi="Times New Roman" w:cs="Times New Roman"/>
          <w:b/>
          <w:bCs/>
          <w:i/>
          <w:iCs/>
          <w:sz w:val="24"/>
          <w:szCs w:val="24"/>
        </w:rPr>
        <w:t>Methods</w:t>
      </w:r>
    </w:p>
    <w:p w14:paraId="0D0622E8" w14:textId="2FAA256B"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Participants.  </w:t>
      </w:r>
      <w:r w:rsidRPr="00093979">
        <w:rPr>
          <w:rFonts w:ascii="Times New Roman" w:hAnsi="Times New Roman" w:cs="Times New Roman"/>
          <w:sz w:val="24"/>
          <w:szCs w:val="24"/>
        </w:rPr>
        <w:t>Participants with an overall accuracy below 90% percent (eight in total) were removed from all analyses, leaving a final sample size of 241 (</w:t>
      </w:r>
      <w:r w:rsidRPr="00093979">
        <w:rPr>
          <w:rFonts w:ascii="Times New Roman" w:hAnsi="Times New Roman" w:cs="Times New Roman"/>
          <w:i/>
          <w:sz w:val="24"/>
          <w:szCs w:val="24"/>
        </w:rPr>
        <w:t>M</w:t>
      </w:r>
      <w:r w:rsidRPr="00093979">
        <w:rPr>
          <w:rFonts w:ascii="Times New Roman" w:hAnsi="Times New Roman" w:cs="Times New Roman"/>
          <w:i/>
          <w:sz w:val="24"/>
          <w:szCs w:val="24"/>
          <w:vertAlign w:val="subscript"/>
        </w:rPr>
        <w:t>age</w:t>
      </w:r>
      <w:r w:rsidRPr="00093979">
        <w:rPr>
          <w:rFonts w:ascii="Times New Roman" w:hAnsi="Times New Roman" w:cs="Times New Roman"/>
          <w:sz w:val="24"/>
          <w:szCs w:val="24"/>
        </w:rPr>
        <w:t xml:space="preserve"> = 21.4, </w:t>
      </w:r>
      <w:proofErr w:type="spellStart"/>
      <w:r w:rsidRPr="00093979">
        <w:rPr>
          <w:rFonts w:ascii="Times New Roman" w:hAnsi="Times New Roman" w:cs="Times New Roman"/>
          <w:i/>
          <w:sz w:val="24"/>
          <w:szCs w:val="24"/>
        </w:rPr>
        <w:t>SD</w:t>
      </w:r>
      <w:r w:rsidRPr="00093979">
        <w:rPr>
          <w:rFonts w:ascii="Times New Roman" w:hAnsi="Times New Roman" w:cs="Times New Roman"/>
          <w:i/>
          <w:sz w:val="24"/>
          <w:szCs w:val="24"/>
          <w:vertAlign w:val="subscript"/>
        </w:rPr>
        <w:t>age</w:t>
      </w:r>
      <w:proofErr w:type="spellEnd"/>
      <w:r w:rsidRPr="00093979">
        <w:rPr>
          <w:rFonts w:ascii="Times New Roman" w:hAnsi="Times New Roman" w:cs="Times New Roman"/>
          <w:sz w:val="24"/>
          <w:szCs w:val="24"/>
        </w:rPr>
        <w:t xml:space="preserve"> = 4.3; 178 females).  The data reported here were acquired during a screening session of a larger study on attention bias modification and brain structure, funded by the National Institute of Mental Health (NCT03092609). A portion of the current sample (n = 127) are reported in Experiment 1 of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{"citationID":"7jlSV7DH","properties":{"formattedCitation":"(Carlson &amp; Fang, 2020)","plainCitation":"(Carlson &amp; Fang, 2020)","dontUpdate":true,"noteIndex":0},"citationItems":[{"id":2523,"uris":["http://zotero.org/users/3283490/items/8P8HYVEV"],"uri":["http://zotero.org/users/3283490/items/8P8HYVEV"],"itemData":{"id":2523,"type":"article-journal","abstract":"A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M"},{"family":"Fang","given":"Lin"}],"issued":{"date-parts":[["2020"]]}}}],"schema":"https://github.com/citation-style-language/schema/raw/master/csl-citation.json"} </w:instrText>
      </w:r>
      <w:r w:rsidRPr="00093979">
        <w:rPr>
          <w:rFonts w:ascii="Times New Roman" w:hAnsi="Times New Roman" w:cs="Times New Roman"/>
          <w:sz w:val="24"/>
          <w:szCs w:val="24"/>
        </w:rPr>
        <w:fldChar w:fldCharType="separate"/>
      </w:r>
      <w:r w:rsidR="002E5F6E">
        <w:rPr>
          <w:rFonts w:ascii="Times New Roman" w:hAnsi="Times New Roman" w:cs="Times New Roman"/>
          <w:sz w:val="24"/>
        </w:rPr>
        <w:t xml:space="preserve">Author </w:t>
      </w:r>
      <w:r w:rsidRPr="00093979">
        <w:rPr>
          <w:rFonts w:ascii="Times New Roman" w:hAnsi="Times New Roman" w:cs="Times New Roman"/>
          <w:sz w:val="24"/>
        </w:rPr>
        <w:t>(2020)</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The study was approved by the Northern Michigan University Institutional Review Board. Participants received monetary compensation for their participation.</w:t>
      </w:r>
    </w:p>
    <w:p w14:paraId="3F75C578" w14:textId="72CC257F"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Stimuli and Apparatus. </w:t>
      </w:r>
      <w:r w:rsidRPr="00093979">
        <w:rPr>
          <w:rFonts w:ascii="Times New Roman" w:hAnsi="Times New Roman" w:cs="Times New Roman"/>
          <w:sz w:val="24"/>
          <w:szCs w:val="24"/>
        </w:rPr>
        <w:t xml:space="preserve">The procedure was administered with a PC and a 16” LCD computer monitor. Stimuli consisted of 20 fearful and neutral grayscale faces of 10 different actors (half female)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{"citationID":"sRpxQ3wH","properties":{"formattedCitation":"(Gur et al., 2002; Lundqvist et al., 1998)","plainCitation":"(Gur et al., 2002; Lundqvist et al., 1998)","noteIndex":0},"citationItems":[{"id":221,"uris":["http://zotero.org/users/3283490/items/UU7R8YX3"],"uri":["http://zotero.org/users/3283490/items/UU7R8YX3"],"itemData":{"id":221,"type":"article-journal","container-title":"Journal of Neuroscience Methods","DOI":"10.1016/S0165-0270(02)00006-7","ISSN":"01650270","issue":"2","journalAbbreviation":"Journal of Neuroscience Methods","language":"en","page":"137-143","source":"DOI.org (Crossref)","title":"A method for obtaining 3-dimensional facial expressions and its standardization for use in neurocognitive studies","volume":"115","author":[{"family":"Gur","given":"Ruben C."},{"family":"Sara","given":"Radim"},{"family":"Hagendoorn","given":"Michiel"},{"family":"Marom","given":"Oren"},{"family":"Hughett","given":"Paul"},{"family":"Macy","given":"Larry"},{"family":"Turner","given":"Travis"},{"family":"Bajcsy","given":"Ruzena"},{"family":"Posner","given":"Aaron"},{"family":"Gur","given":"Raquel E."}],"issued":{"date-parts":[["2002",4]]}}},{"id":98801,"uris":["http://zotero.org/users/3283490/items/VPB8IRLN"],"uri":["http://zotero.org/users/3283490/items/VPB8IRLN"],"itemData":{"id":98801,"type":"article","publisher":"Stockholm : Department of Neurosciences Karolinska Hospital.","title":"The Karolinska Directed Emotional Faces (KDEF)","author":[{"family":"Lundqvist","given":""},{"family":"Flykt","given":"A"},{"family":"Ohman","given":"A"}],"issued":{"date-parts":[["1998"]]}}}],"schema":"https://github.com/citation-style-language/schema/raw/master/csl-citation.json"}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(Gur et al., 2002; Lundqvist et al., 1998)</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fldChar w:fldCharType="begin"/>
      </w:r>
      <w:r w:rsidRPr="00093979">
        <w:rPr>
          <w:rFonts w:ascii="Times New Roman" w:hAnsi="Times New Roman" w:cs="Times New Roman"/>
          <w:sz w:val="24"/>
          <w:szCs w:val="24"/>
        </w:rPr>
        <w:instrText xml:space="preserve"> ADDIN EN.CITE &lt;EndNote&gt;&lt;Cite&gt;&lt;Author&gt;Lundqvist&lt;/Author&gt;&lt;Year&gt;1998&lt;/Year&gt;&lt;RecNum&gt;1094&lt;/RecNum&gt;&lt;DisplayText&gt;(Lundqvist, Flykt, &amp;amp; Öhman, 1998)&lt;/DisplayText&gt;&lt;record&gt;&lt;rec-number&gt;1094&lt;/rec-number&gt;&lt;foreign-keys&gt;&lt;key app="EN" db-id="z2tw9eeada0tabede5wvrts0wp5dv09wxd2d" timestamp="1463766418"&gt;1094&lt;/key&gt;&lt;/foreign-keys&gt;&lt;ref-type name="Journal Article"&gt;17&lt;/ref-type&gt;&lt;contributors&gt;&lt;authors&gt;&lt;author&gt;Lundqvist, Daniel&lt;/author&gt;&lt;author&gt;Flykt, Anders&lt;/author&gt;&lt;author&gt;Öhman, A&lt;/author&gt;&lt;/authors&gt;&lt;/contributors&gt;&lt;titles&gt;&lt;title&gt;The Karolinska directed emotional faces (KDEF)&lt;/title&gt;&lt;secondary-title&gt;CD ROM from Department of Clinical Neuroscience, Psychology section, Karolinska Institutet&lt;/secondary-title&gt;&lt;/titles&gt;&lt;periodical&gt;&lt;full-title&gt;CD ROM from Department of Clinical Neuroscience, Psychology section, Karolinska Institutet&lt;/full-title&gt;&lt;/periodical&gt;&lt;pages&gt;91-630&lt;/pages&gt;&lt;dates&gt;&lt;year&gt;1998&lt;/year&gt;&lt;/dates&gt;&lt;urls&gt;&lt;/urls&gt;&lt;/record&gt;&lt;/Cite&gt;&lt;/EndNote&gt;</w:instrTex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Fearful faces were rated as more negative (</w:t>
      </w:r>
      <w:r w:rsidRPr="00093979">
        <w:rPr>
          <w:rFonts w:ascii="Times New Roman" w:hAnsi="Times New Roman" w:cs="Times New Roman"/>
          <w:i/>
          <w:sz w:val="24"/>
          <w:szCs w:val="24"/>
        </w:rPr>
        <w:t>M</w:t>
      </w:r>
      <w:r w:rsidRPr="00093979">
        <w:rPr>
          <w:rFonts w:ascii="Times New Roman" w:hAnsi="Times New Roman" w:cs="Times New Roman"/>
          <w:sz w:val="24"/>
          <w:szCs w:val="24"/>
        </w:rPr>
        <w:t xml:space="preserve"> = 3.83, </w:t>
      </w:r>
      <w:r w:rsidRPr="00093979">
        <w:rPr>
          <w:rFonts w:ascii="Times New Roman" w:hAnsi="Times New Roman" w:cs="Times New Roman"/>
          <w:i/>
          <w:sz w:val="24"/>
          <w:szCs w:val="24"/>
        </w:rPr>
        <w:t>SD</w:t>
      </w:r>
      <w:r w:rsidRPr="00093979">
        <w:rPr>
          <w:rFonts w:ascii="Times New Roman" w:hAnsi="Times New Roman" w:cs="Times New Roman"/>
          <w:sz w:val="24"/>
          <w:szCs w:val="24"/>
        </w:rPr>
        <w:t xml:space="preserve"> = 0.30) than neutral pictures (</w:t>
      </w:r>
      <w:r w:rsidRPr="00093979">
        <w:rPr>
          <w:rFonts w:ascii="Times New Roman" w:hAnsi="Times New Roman" w:cs="Times New Roman"/>
          <w:i/>
          <w:sz w:val="24"/>
          <w:szCs w:val="24"/>
        </w:rPr>
        <w:t>M</w:t>
      </w:r>
      <w:r w:rsidRPr="00093979">
        <w:rPr>
          <w:rFonts w:ascii="Times New Roman" w:hAnsi="Times New Roman" w:cs="Times New Roman"/>
          <w:sz w:val="24"/>
          <w:szCs w:val="24"/>
        </w:rPr>
        <w:t xml:space="preserve"> = 4.45, </w:t>
      </w:r>
      <w:r w:rsidRPr="00093979">
        <w:rPr>
          <w:rFonts w:ascii="Times New Roman" w:hAnsi="Times New Roman" w:cs="Times New Roman"/>
          <w:i/>
          <w:sz w:val="24"/>
          <w:szCs w:val="24"/>
        </w:rPr>
        <w:t>SD</w:t>
      </w:r>
      <w:r w:rsidRPr="00093979">
        <w:rPr>
          <w:rFonts w:ascii="Times New Roman" w:hAnsi="Times New Roman" w:cs="Times New Roman"/>
          <w:sz w:val="24"/>
          <w:szCs w:val="24"/>
        </w:rPr>
        <w:t xml:space="preserve"> = 0.52), </w:t>
      </w:r>
      <w:r w:rsidRPr="00093979">
        <w:rPr>
          <w:rFonts w:ascii="Times New Roman" w:hAnsi="Times New Roman" w:cs="Times New Roman"/>
          <w:i/>
          <w:sz w:val="24"/>
          <w:szCs w:val="24"/>
        </w:rPr>
        <w:t>t</w:t>
      </w:r>
      <w:r w:rsidRPr="00093979">
        <w:rPr>
          <w:rFonts w:ascii="Times New Roman" w:hAnsi="Times New Roman" w:cs="Times New Roman"/>
          <w:sz w:val="24"/>
          <w:szCs w:val="24"/>
        </w:rPr>
        <w:t xml:space="preserve"> (18) = 3.23, </w:t>
      </w:r>
      <w:r w:rsidRPr="00093979">
        <w:rPr>
          <w:rFonts w:ascii="Times New Roman" w:hAnsi="Times New Roman" w:cs="Times New Roman"/>
          <w:i/>
          <w:sz w:val="24"/>
          <w:szCs w:val="24"/>
        </w:rPr>
        <w:t>p</w:t>
      </w:r>
      <w:r w:rsidRPr="00093979">
        <w:rPr>
          <w:rFonts w:ascii="Times New Roman" w:hAnsi="Times New Roman" w:cs="Times New Roman"/>
          <w:sz w:val="24"/>
          <w:szCs w:val="24"/>
        </w:rPr>
        <w:t xml:space="preserve"> = .005.  Faces subtended a visual width and height of 5</w:t>
      </w:r>
      <w:r w:rsidRPr="00093979">
        <w:rPr>
          <w:rFonts w:ascii="Times New Roman" w:hAnsi="Times New Roman" w:cs="Times New Roman"/>
          <w:sz w:val="24"/>
          <w:szCs w:val="24"/>
        </w:rPr>
        <w:sym w:font="Symbol" w:char="F0B0"/>
      </w:r>
      <w:r w:rsidRPr="00093979">
        <w:rPr>
          <w:rFonts w:ascii="Times New Roman" w:hAnsi="Times New Roman" w:cs="Times New Roman"/>
          <w:sz w:val="24"/>
          <w:szCs w:val="24"/>
        </w:rPr>
        <w:t xml:space="preserve"> × 7</w:t>
      </w:r>
      <w:r w:rsidRPr="00093979">
        <w:rPr>
          <w:rFonts w:ascii="Times New Roman" w:hAnsi="Times New Roman" w:cs="Times New Roman"/>
          <w:sz w:val="24"/>
          <w:szCs w:val="24"/>
        </w:rPr>
        <w:sym w:font="Symbol" w:char="F0B0"/>
      </w:r>
      <w:r w:rsidRPr="00093979">
        <w:rPr>
          <w:rFonts w:ascii="Times New Roman" w:hAnsi="Times New Roman" w:cs="Times New Roman"/>
          <w:sz w:val="24"/>
          <w:szCs w:val="24"/>
        </w:rPr>
        <w:t xml:space="preserve"> and the distance between the center of each face subtended 14</w:t>
      </w:r>
      <w:r w:rsidRPr="00093979">
        <w:rPr>
          <w:rFonts w:ascii="Times New Roman" w:hAnsi="Times New Roman" w:cs="Times New Roman"/>
          <w:sz w:val="24"/>
          <w:szCs w:val="24"/>
        </w:rPr>
        <w:sym w:font="Symbol" w:char="F0B0"/>
      </w:r>
      <w:r w:rsidRPr="00093979">
        <w:rPr>
          <w:rFonts w:ascii="Times New Roman" w:hAnsi="Times New Roman" w:cs="Times New Roman"/>
          <w:sz w:val="24"/>
          <w:szCs w:val="24"/>
        </w:rPr>
        <w:t>.</w:t>
      </w:r>
    </w:p>
    <w:p w14:paraId="2425665C" w14:textId="77777777" w:rsidR="00B158DB" w:rsidRPr="00093979" w:rsidRDefault="00B158DB" w:rsidP="00816B9D">
      <w:pPr>
        <w:spacing w:after="0"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t>[Insert Figure 1 here]</w:t>
      </w:r>
    </w:p>
    <w:p w14:paraId="49D4A220" w14:textId="77777777"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Design.  </w:t>
      </w:r>
      <w:r w:rsidRPr="00093979">
        <w:rPr>
          <w:rFonts w:ascii="Times New Roman" w:hAnsi="Times New Roman" w:cs="Times New Roman"/>
          <w:sz w:val="24"/>
          <w:szCs w:val="24"/>
        </w:rPr>
        <w:t>The experiment consisted of five blocks of trials and each block consisted of 90 trials for a total of 450 trials.  30 congruent, 30 incongruent, and 30 baseline trials were randomly presented within each block.  On baseline trials, two neutral faces were shown in the cue display and the dot was randomly presented in the same position as one of the two neutral faces (one third of all trials). Baseline trials were not included in our analyses. See Figure 1A for examples of incongruent and congruent trials.</w:t>
      </w:r>
    </w:p>
    <w:p w14:paraId="7D5C8322" w14:textId="77777777"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Procedure. </w:t>
      </w:r>
      <w:r w:rsidRPr="00093979">
        <w:rPr>
          <w:rFonts w:ascii="Times New Roman" w:hAnsi="Times New Roman" w:cs="Times New Roman"/>
          <w:sz w:val="24"/>
          <w:szCs w:val="24"/>
        </w:rPr>
        <w:t>Each trial started with a white fixation cue (+) in the center of a black screen for 1000 ms, which was immediately followed by the cue display.  The cue display was presented for 100 ms. In the cue display, there were two bilaterally presented faces.  Immediately following the cue display, a single dot (the target object) was randomly presented in the central position of one of the previously shown faces in the cue display. Using their right hand, participants indicated the location of the dot (left or right side of the display) by pressing a corresponding button with their pointer or middle finger.</w:t>
      </w:r>
    </w:p>
    <w:p w14:paraId="611FA390" w14:textId="77777777" w:rsidR="00B158DB" w:rsidRPr="00093979" w:rsidRDefault="00B158DB" w:rsidP="00816B9D">
      <w:pPr>
        <w:spacing w:after="0" w:line="240" w:lineRule="auto"/>
        <w:contextualSpacing/>
        <w:rPr>
          <w:rFonts w:ascii="Times New Roman" w:hAnsi="Times New Roman" w:cs="Times New Roman"/>
          <w:b/>
          <w:bCs/>
          <w:i/>
          <w:iCs/>
          <w:sz w:val="24"/>
          <w:szCs w:val="24"/>
        </w:rPr>
      </w:pPr>
      <w:r w:rsidRPr="00093979">
        <w:rPr>
          <w:rFonts w:ascii="Times New Roman" w:hAnsi="Times New Roman" w:cs="Times New Roman"/>
          <w:b/>
          <w:bCs/>
          <w:i/>
          <w:iCs/>
          <w:sz w:val="24"/>
          <w:szCs w:val="24"/>
        </w:rPr>
        <w:t>Results</w:t>
      </w:r>
    </w:p>
    <w:p w14:paraId="15D2C107" w14:textId="77777777" w:rsidR="00B158DB" w:rsidRPr="00093979" w:rsidRDefault="00B158DB" w:rsidP="00816B9D">
      <w:pPr>
        <w:spacing w:after="0" w:line="240" w:lineRule="auto"/>
        <w:contextualSpacing/>
        <w:rPr>
          <w:rFonts w:ascii="Times New Roman" w:hAnsi="Times New Roman" w:cs="Times New Roman"/>
          <w:sz w:val="24"/>
          <w:szCs w:val="24"/>
        </w:rPr>
      </w:pPr>
      <w:r w:rsidRPr="00093979">
        <w:rPr>
          <w:rFonts w:ascii="Times New Roman" w:hAnsi="Times New Roman" w:cs="Times New Roman"/>
          <w:sz w:val="24"/>
          <w:szCs w:val="24"/>
        </w:rPr>
        <w:tab/>
        <w:t xml:space="preserve">All trials with an incorrect response or a response time outside of 3 standard deviations from the group mean were removed from all RT analyses (0.6% of trials).  Attentional bias was measured by subtracting response times (RTs) for congruent trials from incongruent trials. Positive values indicate the level of attentional bias for fearful faces. As shown in Figure 2A, RTs for congruent trials (331 ms, SD of 72 ms) were significantly different from incongruent </w:t>
      </w:r>
      <w:r w:rsidRPr="00093979">
        <w:rPr>
          <w:rFonts w:ascii="Times New Roman" w:hAnsi="Times New Roman" w:cs="Times New Roman"/>
          <w:sz w:val="24"/>
          <w:szCs w:val="24"/>
        </w:rPr>
        <w:lastRenderedPageBreak/>
        <w:t xml:space="preserve">trials (342 ms, SD of 72 ms), </w:t>
      </w:r>
      <w:proofErr w:type="gramStart"/>
      <w:r w:rsidRPr="00093979">
        <w:rPr>
          <w:rFonts w:ascii="Times New Roman" w:hAnsi="Times New Roman" w:cs="Times New Roman"/>
          <w:i/>
          <w:iCs/>
          <w:sz w:val="24"/>
          <w:szCs w:val="24"/>
        </w:rPr>
        <w:t>t</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240) = 20.56, </w:t>
      </w:r>
      <w:r w:rsidRPr="00093979">
        <w:rPr>
          <w:rFonts w:ascii="Times New Roman" w:hAnsi="Times New Roman" w:cs="Times New Roman"/>
          <w:i/>
          <w:iCs/>
          <w:sz w:val="24"/>
          <w:szCs w:val="24"/>
        </w:rPr>
        <w:t>p</w:t>
      </w:r>
      <w:r w:rsidRPr="00093979">
        <w:rPr>
          <w:rFonts w:ascii="Times New Roman" w:hAnsi="Times New Roman" w:cs="Times New Roman"/>
          <w:sz w:val="24"/>
          <w:szCs w:val="24"/>
        </w:rPr>
        <w:t xml:space="preserve"> &lt; .001, </w:t>
      </w:r>
      <w:r w:rsidRPr="00093979">
        <w:rPr>
          <w:rFonts w:ascii="Times New Roman" w:hAnsi="Times New Roman" w:cs="Times New Roman"/>
          <w:i/>
          <w:iCs/>
          <w:sz w:val="24"/>
          <w:szCs w:val="24"/>
        </w:rPr>
        <w:t xml:space="preserve">d </w:t>
      </w:r>
      <w:r w:rsidRPr="00093979">
        <w:rPr>
          <w:rFonts w:ascii="Times New Roman" w:hAnsi="Times New Roman" w:cs="Times New Roman"/>
          <w:sz w:val="24"/>
          <w:szCs w:val="24"/>
        </w:rPr>
        <w:t xml:space="preserve">= 0.16.  A congruency effect was also found for percent correct (1.5%), </w:t>
      </w:r>
      <w:proofErr w:type="gramStart"/>
      <w:r w:rsidRPr="00093979">
        <w:rPr>
          <w:rFonts w:ascii="Times New Roman" w:hAnsi="Times New Roman" w:cs="Times New Roman"/>
          <w:i/>
          <w:iCs/>
          <w:sz w:val="24"/>
          <w:szCs w:val="24"/>
        </w:rPr>
        <w:t>t</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240) = 14.31, </w:t>
      </w:r>
      <w:r w:rsidRPr="00093979">
        <w:rPr>
          <w:rFonts w:ascii="Times New Roman" w:hAnsi="Times New Roman" w:cs="Times New Roman"/>
          <w:i/>
          <w:iCs/>
          <w:sz w:val="24"/>
          <w:szCs w:val="24"/>
        </w:rPr>
        <w:t>p</w:t>
      </w:r>
      <w:r w:rsidRPr="00093979">
        <w:rPr>
          <w:rFonts w:ascii="Times New Roman" w:hAnsi="Times New Roman" w:cs="Times New Roman"/>
          <w:sz w:val="24"/>
          <w:szCs w:val="24"/>
        </w:rPr>
        <w:t xml:space="preserve"> &lt; .001, </w:t>
      </w:r>
      <w:r w:rsidRPr="00093979">
        <w:rPr>
          <w:rFonts w:ascii="Times New Roman" w:hAnsi="Times New Roman" w:cs="Times New Roman"/>
          <w:i/>
          <w:iCs/>
          <w:sz w:val="24"/>
          <w:szCs w:val="24"/>
        </w:rPr>
        <w:t xml:space="preserve">d </w:t>
      </w:r>
      <w:r w:rsidRPr="00093979">
        <w:rPr>
          <w:rFonts w:ascii="Times New Roman" w:hAnsi="Times New Roman" w:cs="Times New Roman"/>
          <w:sz w:val="24"/>
          <w:szCs w:val="24"/>
        </w:rPr>
        <w:t>= 0.11.</w:t>
      </w:r>
    </w:p>
    <w:p w14:paraId="5143EABB" w14:textId="74E0F8FA"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As shown in Figure 2B, carryover effects are measured as the interaction between previous trial congruency (pre-congruent or pre-incongruent) and current trial congruency (congruent or incongruent).  The location of the fearful face and the target could repeat from trial-trial, so we further separated carryover effects by target location repetition.  We tested for the presence of carry over effects by conducting a 2 × 2 × 2 Generalized Linear Mixed Model (GLMM) with the fixed effects of current trial congruency (congruent or incongruent), previous trial congruency (pre-congruent or pre-incongruent) and target location repetition (repeated or non-repeated) on RTs </w:t>
      </w:r>
      <w:r w:rsidR="00A13125">
        <w:rPr>
          <w:rFonts w:ascii="Times New Roman" w:hAnsi="Times New Roman" w:cs="Times New Roman"/>
          <w:sz w:val="24"/>
          <w:szCs w:val="24"/>
        </w:rPr>
        <w:t>using</w:t>
      </w:r>
      <w:r w:rsidR="00A13125" w:rsidRPr="00093979">
        <w:rPr>
          <w:rFonts w:ascii="Times New Roman" w:hAnsi="Times New Roman" w:cs="Times New Roman"/>
          <w:sz w:val="24"/>
          <w:szCs w:val="24"/>
        </w:rPr>
        <w:t xml:space="preserve"> </w:t>
      </w:r>
      <w:r w:rsidRPr="00093979">
        <w:rPr>
          <w:rFonts w:ascii="Times New Roman" w:hAnsi="Times New Roman" w:cs="Times New Roman"/>
          <w:sz w:val="24"/>
          <w:szCs w:val="24"/>
        </w:rPr>
        <w:t>a Gamma probability distribution</w:t>
      </w:r>
      <w:r w:rsidR="00A13125">
        <w:rPr>
          <w:rFonts w:ascii="Times New Roman" w:hAnsi="Times New Roman" w:cs="Times New Roman"/>
          <w:sz w:val="24"/>
          <w:szCs w:val="24"/>
        </w:rPr>
        <w:t xml:space="preserve"> with a log link, which accounts for the slightly positive skew</w:t>
      </w:r>
      <w:r w:rsidR="00CD4113">
        <w:rPr>
          <w:rFonts w:ascii="Times New Roman" w:hAnsi="Times New Roman" w:cs="Times New Roman"/>
          <w:sz w:val="24"/>
          <w:szCs w:val="24"/>
        </w:rPr>
        <w:t xml:space="preserve"> of the </w:t>
      </w:r>
      <w:r w:rsidR="00A13125">
        <w:rPr>
          <w:rFonts w:ascii="Times New Roman" w:hAnsi="Times New Roman" w:cs="Times New Roman"/>
          <w:sz w:val="24"/>
          <w:szCs w:val="24"/>
        </w:rPr>
        <w:t>data</w:t>
      </w:r>
      <w:r w:rsidRPr="0091014D">
        <w:rPr>
          <w:rFonts w:ascii="Times New Roman" w:hAnsi="Times New Roman" w:cs="Times New Roman"/>
          <w:sz w:val="24"/>
          <w:szCs w:val="24"/>
        </w:rPr>
        <w:t xml:space="preserve">.  Target location repetition was included in the model because previous studies of carryover effects deliberately chose to make their target locations never repeat between trials, </w:t>
      </w:r>
      <w:r w:rsidRPr="0091014D">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{"citationID":"XizlTclQ","properties":{"formattedCitation":"(Gladwin &amp; Figner, 2019)","plainCitation":"(Gladwin &amp; Figner, 2019)","noteIndex":0},"citationItems":[{"id":2473,"uris":["http://zotero.org/users/3283490/items/NQGTHVTJ"],"uri":["http://zotero.org/users/3283490/items/NQGTHVTJ"],"itemData":{"id":2473,"type":"article-journal","abstract":"Visual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 </w:instrText>
      </w:r>
      <w:r w:rsidRPr="0091014D">
        <w:rPr>
          <w:rFonts w:ascii="Times New Roman" w:hAnsi="Times New Roman" w:cs="Times New Roman"/>
          <w:sz w:val="24"/>
          <w:szCs w:val="24"/>
        </w:rPr>
        <w:fldChar w:fldCharType="separate"/>
      </w:r>
      <w:r w:rsidRPr="0091014D">
        <w:rPr>
          <w:rFonts w:ascii="Times New Roman" w:hAnsi="Times New Roman" w:cs="Times New Roman"/>
          <w:sz w:val="24"/>
        </w:rPr>
        <w:t>(Gladwin &amp; Figner, 2019)</w:t>
      </w:r>
      <w:r w:rsidRPr="0091014D">
        <w:rPr>
          <w:rFonts w:ascii="Times New Roman" w:hAnsi="Times New Roman" w:cs="Times New Roman"/>
          <w:sz w:val="24"/>
          <w:szCs w:val="24"/>
        </w:rPr>
        <w:fldChar w:fldCharType="end"/>
      </w:r>
      <w:r w:rsidRPr="0091014D">
        <w:rPr>
          <w:rFonts w:ascii="Times New Roman" w:hAnsi="Times New Roman" w:cs="Times New Roman"/>
          <w:sz w:val="24"/>
          <w:szCs w:val="24"/>
        </w:rPr>
        <w:t xml:space="preserve"> which leaves open the possibility that target repetition may moderate carryover effects.  Similar </w:t>
      </w:r>
      <w:r w:rsidRPr="00093979">
        <w:rPr>
          <w:rFonts w:ascii="Times New Roman" w:hAnsi="Times New Roman" w:cs="Times New Roman"/>
          <w:sz w:val="24"/>
          <w:szCs w:val="24"/>
        </w:rPr>
        <w:t xml:space="preserve">to the t-test reported above, there was a main effect of current trial type, </w:t>
      </w:r>
      <w:proofErr w:type="gramStart"/>
      <w:r w:rsidRPr="00093979">
        <w:rPr>
          <w:rFonts w:ascii="Times New Roman" w:hAnsi="Times New Roman" w:cs="Times New Roman"/>
          <w:i/>
          <w:sz w:val="24"/>
          <w:szCs w:val="24"/>
        </w:rPr>
        <w:t>F</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1, 46115) = 348.91, </w:t>
      </w:r>
      <w:r w:rsidRPr="00093979">
        <w:rPr>
          <w:rFonts w:ascii="Times New Roman" w:hAnsi="Times New Roman" w:cs="Times New Roman"/>
          <w:i/>
          <w:sz w:val="24"/>
          <w:szCs w:val="24"/>
        </w:rPr>
        <w:t xml:space="preserve">p </w:t>
      </w:r>
      <w:r w:rsidRPr="00093979">
        <w:rPr>
          <w:rFonts w:ascii="Times New Roman" w:hAnsi="Times New Roman" w:cs="Times New Roman"/>
          <w:sz w:val="24"/>
          <w:szCs w:val="24"/>
        </w:rPr>
        <w:t>&lt; .001: RTs were faster on 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329,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2.32) relative to incongruent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339,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2.39) trials.  There was also a main effect of target location repetition (</w:t>
      </w:r>
      <w:proofErr w:type="gramStart"/>
      <w:r w:rsidRPr="00093979">
        <w:rPr>
          <w:rFonts w:ascii="Times New Roman" w:hAnsi="Times New Roman" w:cs="Times New Roman"/>
          <w:i/>
          <w:sz w:val="24"/>
          <w:szCs w:val="24"/>
        </w:rPr>
        <w:t>F</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1, 46115) = 222.06, </w:t>
      </w:r>
      <w:r w:rsidRPr="00093979">
        <w:rPr>
          <w:rFonts w:ascii="Times New Roman" w:hAnsi="Times New Roman" w:cs="Times New Roman"/>
          <w:i/>
          <w:sz w:val="24"/>
          <w:szCs w:val="24"/>
        </w:rPr>
        <w:t xml:space="preserve">p </w:t>
      </w:r>
      <w:r w:rsidRPr="00093979">
        <w:rPr>
          <w:rFonts w:ascii="Times New Roman" w:hAnsi="Times New Roman" w:cs="Times New Roman"/>
          <w:sz w:val="24"/>
          <w:szCs w:val="24"/>
        </w:rPr>
        <w:t>&lt; .001) where RTs were faster for non-repeated target locations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330,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2.32) relative to repeated locations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338,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2.38).  There was also an interaction between target location repetition and previous trial congruency (</w:t>
      </w:r>
      <w:proofErr w:type="gramStart"/>
      <w:r w:rsidRPr="00093979">
        <w:rPr>
          <w:rFonts w:ascii="Times New Roman" w:hAnsi="Times New Roman" w:cs="Times New Roman"/>
          <w:i/>
          <w:sz w:val="24"/>
          <w:szCs w:val="24"/>
        </w:rPr>
        <w:t>F</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1, 46115) = 6.08, </w:t>
      </w:r>
      <w:r w:rsidRPr="00093979">
        <w:rPr>
          <w:rFonts w:ascii="Times New Roman" w:hAnsi="Times New Roman" w:cs="Times New Roman"/>
          <w:i/>
          <w:sz w:val="24"/>
          <w:szCs w:val="24"/>
        </w:rPr>
        <w:t xml:space="preserve">p </w:t>
      </w:r>
      <w:r w:rsidRPr="00093979">
        <w:rPr>
          <w:rFonts w:ascii="Times New Roman" w:hAnsi="Times New Roman" w:cs="Times New Roman"/>
          <w:sz w:val="24"/>
          <w:szCs w:val="24"/>
        </w:rPr>
        <w:t>= .01) such that RTs for non-repeated target locations were faster if the previous trial was 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329,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2.34) relative to incongruent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331,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2.36). Whereas for repeated target location there was no difference in RTs between trials where the previous trial was 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33</w:t>
      </w:r>
      <w:r w:rsidR="00EC64CA">
        <w:rPr>
          <w:rFonts w:ascii="Times New Roman" w:hAnsi="Times New Roman" w:cs="Times New Roman"/>
          <w:sz w:val="24"/>
          <w:szCs w:val="24"/>
        </w:rPr>
        <w:t>9</w:t>
      </w:r>
      <w:r w:rsidRPr="00093979">
        <w:rPr>
          <w:rFonts w:ascii="Times New Roman" w:hAnsi="Times New Roman" w:cs="Times New Roman"/>
          <w:sz w:val="24"/>
          <w:szCs w:val="24"/>
        </w:rPr>
        <w:t xml:space="preserve">,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2.42) relative to incongruent (</w:t>
      </w:r>
      <w:r w:rsidRPr="00093979">
        <w:rPr>
          <w:rFonts w:ascii="Times New Roman" w:hAnsi="Times New Roman" w:cs="Times New Roman"/>
          <w:i/>
          <w:sz w:val="24"/>
          <w:szCs w:val="24"/>
        </w:rPr>
        <w:t xml:space="preserve">M </w:t>
      </w:r>
      <w:r w:rsidRPr="00093979">
        <w:rPr>
          <w:rFonts w:ascii="Times New Roman" w:hAnsi="Times New Roman" w:cs="Times New Roman"/>
          <w:sz w:val="24"/>
          <w:szCs w:val="24"/>
        </w:rPr>
        <w:t xml:space="preserve">= 338, </w:t>
      </w:r>
      <w:r w:rsidRPr="00093979">
        <w:rPr>
          <w:rFonts w:ascii="Times New Roman" w:hAnsi="Times New Roman" w:cs="Times New Roman"/>
          <w:i/>
          <w:sz w:val="24"/>
          <w:szCs w:val="24"/>
        </w:rPr>
        <w:t xml:space="preserve">SE </w:t>
      </w:r>
      <w:r w:rsidRPr="00093979">
        <w:rPr>
          <w:rFonts w:ascii="Times New Roman" w:hAnsi="Times New Roman" w:cs="Times New Roman"/>
          <w:sz w:val="24"/>
          <w:szCs w:val="24"/>
        </w:rPr>
        <w:t>= 2.42). Critically, neither the 2-way interaction between current trial congruency and previous trial congruency (</w:t>
      </w:r>
      <w:proofErr w:type="gramStart"/>
      <w:r w:rsidRPr="00093979">
        <w:rPr>
          <w:rFonts w:ascii="Times New Roman" w:hAnsi="Times New Roman" w:cs="Times New Roman"/>
          <w:i/>
          <w:sz w:val="24"/>
          <w:szCs w:val="24"/>
        </w:rPr>
        <w:t>F</w:t>
      </w:r>
      <w:r w:rsidRPr="00093979">
        <w:rPr>
          <w:rFonts w:ascii="Times New Roman" w:hAnsi="Times New Roman" w:cs="Times New Roman"/>
          <w:sz w:val="24"/>
          <w:szCs w:val="24"/>
        </w:rPr>
        <w:t>(</w:t>
      </w:r>
      <w:proofErr w:type="gramEnd"/>
      <w:r w:rsidRPr="00093979">
        <w:rPr>
          <w:rFonts w:ascii="Times New Roman" w:hAnsi="Times New Roman" w:cs="Times New Roman"/>
          <w:sz w:val="24"/>
          <w:szCs w:val="24"/>
        </w:rPr>
        <w:t xml:space="preserve">1, 46115) = 0.59, </w:t>
      </w:r>
      <w:r w:rsidRPr="00093979">
        <w:rPr>
          <w:rFonts w:ascii="Times New Roman" w:hAnsi="Times New Roman" w:cs="Times New Roman"/>
          <w:i/>
          <w:sz w:val="24"/>
          <w:szCs w:val="24"/>
        </w:rPr>
        <w:t xml:space="preserve">p </w:t>
      </w:r>
      <w:r w:rsidRPr="00093979">
        <w:rPr>
          <w:rFonts w:ascii="Times New Roman" w:hAnsi="Times New Roman" w:cs="Times New Roman"/>
          <w:sz w:val="24"/>
          <w:szCs w:val="24"/>
        </w:rPr>
        <w:t>= .44) nor the 3-way interaction (</w:t>
      </w:r>
      <w:r w:rsidRPr="00093979">
        <w:rPr>
          <w:rFonts w:ascii="Times New Roman" w:hAnsi="Times New Roman" w:cs="Times New Roman"/>
          <w:i/>
          <w:sz w:val="24"/>
          <w:szCs w:val="24"/>
        </w:rPr>
        <w:t>F</w:t>
      </w:r>
      <w:r w:rsidRPr="00093979">
        <w:rPr>
          <w:rFonts w:ascii="Times New Roman" w:hAnsi="Times New Roman" w:cs="Times New Roman"/>
          <w:sz w:val="24"/>
          <w:szCs w:val="24"/>
        </w:rPr>
        <w:t xml:space="preserve">(1, 46115) = 0.84, </w:t>
      </w:r>
      <w:r w:rsidRPr="00093979">
        <w:rPr>
          <w:rFonts w:ascii="Times New Roman" w:hAnsi="Times New Roman" w:cs="Times New Roman"/>
          <w:i/>
          <w:sz w:val="24"/>
          <w:szCs w:val="24"/>
        </w:rPr>
        <w:t xml:space="preserve">p </w:t>
      </w:r>
      <w:r w:rsidRPr="00093979">
        <w:rPr>
          <w:rFonts w:ascii="Times New Roman" w:hAnsi="Times New Roman" w:cs="Times New Roman"/>
          <w:sz w:val="24"/>
          <w:szCs w:val="24"/>
        </w:rPr>
        <w:t>= .36) were significant; indicating that no carryover effects were observed.</w:t>
      </w:r>
      <w:r w:rsidRPr="00093979">
        <w:t xml:space="preserve"> </w:t>
      </w:r>
      <w:r w:rsidRPr="00093979">
        <w:rPr>
          <w:rFonts w:ascii="Times New Roman" w:hAnsi="Times New Roman" w:cs="Times New Roman"/>
          <w:sz w:val="24"/>
          <w:szCs w:val="24"/>
        </w:rPr>
        <w:t>No other effects were significant.</w:t>
      </w:r>
    </w:p>
    <w:p w14:paraId="3590E2D3" w14:textId="64B9A864" w:rsidR="00B158DB" w:rsidRPr="00093979" w:rsidRDefault="00B158DB" w:rsidP="00816B9D">
      <w:pPr>
        <w:spacing w:after="0" w:line="240" w:lineRule="auto"/>
        <w:ind w:firstLine="720"/>
        <w:contextualSpacing/>
        <w:rPr>
          <w:rFonts w:ascii="Times New Roman" w:hAnsi="Times New Roman" w:cs="Times New Roman"/>
          <w:sz w:val="24"/>
          <w:szCs w:val="24"/>
        </w:rPr>
      </w:pPr>
      <w:r w:rsidRPr="006207C7">
        <w:rPr>
          <w:rFonts w:ascii="Times New Roman" w:hAnsi="Times New Roman" w:cs="Times New Roman"/>
          <w:sz w:val="24"/>
          <w:szCs w:val="24"/>
        </w:rPr>
        <w:t>We followed up the GLMM approach with a Bayesian analysis in order to quantify the evidence in-favor of the null hypothesis</w:t>
      </w:r>
      <w:r w:rsidR="00C112DB">
        <w:rPr>
          <w:rFonts w:ascii="Times New Roman" w:hAnsi="Times New Roman" w:cs="Times New Roman"/>
          <w:sz w:val="24"/>
          <w:szCs w:val="24"/>
        </w:rPr>
        <w:t xml:space="preserve"> that there is </w:t>
      </w:r>
      <w:r w:rsidRPr="006207C7">
        <w:rPr>
          <w:rFonts w:ascii="Times New Roman" w:hAnsi="Times New Roman" w:cs="Times New Roman"/>
          <w:sz w:val="24"/>
          <w:szCs w:val="24"/>
        </w:rPr>
        <w:t xml:space="preserve">no carryover effect for threat. </w:t>
      </w:r>
      <w:r w:rsidR="00C112DB">
        <w:rPr>
          <w:rFonts w:ascii="Times New Roman" w:hAnsi="Times New Roman" w:cs="Times New Roman"/>
          <w:sz w:val="24"/>
          <w:szCs w:val="24"/>
        </w:rPr>
        <w:t xml:space="preserve">A </w:t>
      </w:r>
      <w:r w:rsidRPr="006207C7">
        <w:rPr>
          <w:rFonts w:ascii="Times New Roman" w:hAnsi="Times New Roman" w:cs="Times New Roman"/>
          <w:sz w:val="24"/>
          <w:szCs w:val="24"/>
        </w:rPr>
        <w:t>Bayes Factor</w:t>
      </w:r>
      <w:r w:rsidR="00EC64CA">
        <w:rPr>
          <w:rFonts w:ascii="Times New Roman" w:hAnsi="Times New Roman" w:cs="Times New Roman"/>
          <w:sz w:val="24"/>
          <w:szCs w:val="24"/>
        </w:rPr>
        <w:t xml:space="preserve"> analysis on a </w:t>
      </w:r>
      <w:r w:rsidRPr="006207C7">
        <w:rPr>
          <w:rFonts w:ascii="Times New Roman" w:hAnsi="Times New Roman" w:cs="Times New Roman"/>
          <w:sz w:val="24"/>
          <w:szCs w:val="24"/>
        </w:rPr>
        <w:t>related-sample t-test</w:t>
      </w:r>
      <w:r w:rsidR="00FB384B">
        <w:rPr>
          <w:rFonts w:ascii="Times New Roman" w:hAnsi="Times New Roman" w:cs="Times New Roman"/>
          <w:sz w:val="24"/>
          <w:szCs w:val="24"/>
        </w:rPr>
        <w:t xml:space="preserve"> </w:t>
      </w:r>
      <w:r w:rsidRPr="006207C7">
        <w:rPr>
          <w:rFonts w:ascii="Times New Roman" w:hAnsi="Times New Roman" w:cs="Times New Roman"/>
          <w:sz w:val="24"/>
          <w:szCs w:val="24"/>
        </w:rPr>
        <w:t>indicated moderate evidence for the null hypothesis (BF01 = 5.38).</w:t>
      </w:r>
      <w:r>
        <w:rPr>
          <w:rFonts w:ascii="Times New Roman" w:hAnsi="Times New Roman" w:cs="Times New Roman"/>
          <w:sz w:val="24"/>
          <w:szCs w:val="24"/>
        </w:rPr>
        <w:t xml:space="preserve"> </w:t>
      </w:r>
      <w:r w:rsidRPr="00841367">
        <w:rPr>
          <w:rFonts w:ascii="Times New Roman" w:hAnsi="Times New Roman" w:cs="Times New Roman"/>
          <w:sz w:val="24"/>
          <w:szCs w:val="24"/>
        </w:rPr>
        <w:t xml:space="preserve">In other words, the null hypothesis is 5.38 times as likely as the alternative hypothesis (i.e., </w:t>
      </w:r>
      <w:r w:rsidR="00FB384B">
        <w:rPr>
          <w:rFonts w:ascii="Times New Roman" w:hAnsi="Times New Roman" w:cs="Times New Roman"/>
          <w:sz w:val="24"/>
          <w:szCs w:val="24"/>
        </w:rPr>
        <w:t xml:space="preserve">the </w:t>
      </w:r>
      <w:r w:rsidRPr="00841367">
        <w:rPr>
          <w:rFonts w:ascii="Times New Roman" w:hAnsi="Times New Roman" w:cs="Times New Roman"/>
          <w:sz w:val="24"/>
          <w:szCs w:val="24"/>
        </w:rPr>
        <w:t>influence of previous trial congruency on current trial congruency).</w:t>
      </w:r>
      <w:r>
        <w:rPr>
          <w:rFonts w:ascii="Times New Roman" w:hAnsi="Times New Roman" w:cs="Times New Roman"/>
          <w:sz w:val="24"/>
          <w:szCs w:val="24"/>
        </w:rPr>
        <w:t xml:space="preserve"> </w:t>
      </w:r>
    </w:p>
    <w:p w14:paraId="125A78CB" w14:textId="77777777" w:rsidR="00B158DB" w:rsidRPr="00093979" w:rsidRDefault="00B158DB" w:rsidP="00816B9D">
      <w:pPr>
        <w:spacing w:after="0"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t>Experiment 2</w:t>
      </w:r>
    </w:p>
    <w:p w14:paraId="33D8C9CE" w14:textId="62054E5C" w:rsidR="00B158DB" w:rsidRPr="00093979" w:rsidRDefault="00B158DB" w:rsidP="00816B9D">
      <w:pPr>
        <w:spacing w:after="0" w:line="240" w:lineRule="auto"/>
        <w:contextualSpacing/>
        <w:rPr>
          <w:rFonts w:ascii="Times New Roman" w:hAnsi="Times New Roman" w:cs="Times New Roman"/>
          <w:sz w:val="24"/>
          <w:szCs w:val="24"/>
        </w:rPr>
      </w:pPr>
      <w:r w:rsidRPr="00093979">
        <w:rPr>
          <w:rFonts w:ascii="Times New Roman" w:hAnsi="Times New Roman" w:cs="Times New Roman"/>
          <w:b/>
          <w:bCs/>
          <w:sz w:val="24"/>
          <w:szCs w:val="24"/>
        </w:rPr>
        <w:tab/>
      </w:r>
      <w:r w:rsidRPr="00093979">
        <w:rPr>
          <w:rFonts w:ascii="Times New Roman" w:hAnsi="Times New Roman" w:cs="Times New Roman"/>
          <w:sz w:val="24"/>
          <w:szCs w:val="24"/>
        </w:rPr>
        <w:t xml:space="preserve">In Experiment 2, our goal was to replicate and extend our lack of carryover effects with another category of threating stimuli: threatening images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{"citationID":"ggWX7XP5","properties":{"formattedCitation":"(Lang, 2008)","plainCitation":"(Lang, 2008)","noteIndex":0},"citationItems":[{"id":2528,"uris":["http://zotero.org/users/3283490/items/NXA4YFDY"],"uri":["http://zotero.org/users/3283490/items/NXA4YFDY"],"itemData":{"id":2528,"type":"article-journal","container-title":"Technical Report","note":"publisher: University of Florida","source":"CiNii","title":"International affective picture system (IAPS) : affective ratings of pictures and instruction manual","title-short":"International affective picture system (IAPS)","URL":"https://ci.nii.ac.jp/naid/20001061266/","author":[{"family":"Lang","given":"PJ"}],"accessed":{"date-parts":[["2020",7,15]]},"issued":{"date-parts":[["2008"]]}}}],"schema":"https://github.com/citation-style-language/schema/raw/master/csl-citation.json"}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(Lang, 2008)</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We utilized data from Experiment 2 of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{"citationID":"uMf6CGyr","properties":{"formattedCitation":"(Carlson &amp; Fang, 2020)","plainCitation":"(Carlson &amp; Fang, 2020)","dontUpdate":true,"noteIndex":0},"citationItems":[{"id":2523,"uris":["http://zotero.org/users/3283490/items/8P8HYVEV"],"uri":["http://zotero.org/users/3283490/items/8P8HYVEV"],"itemData":{"id":2523,"type":"article-journal","abstract":"A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M"},{"family":"Fang","given":"Lin"}],"issued":{"date-parts":[["2020"]]}}}],"schema":"https://github.com/citation-style-language/schema/raw/master/csl-citation.json"} </w:instrText>
      </w:r>
      <w:r w:rsidRPr="00093979">
        <w:rPr>
          <w:rFonts w:ascii="Times New Roman" w:hAnsi="Times New Roman" w:cs="Times New Roman"/>
          <w:sz w:val="24"/>
          <w:szCs w:val="24"/>
        </w:rPr>
        <w:fldChar w:fldCharType="separate"/>
      </w:r>
      <w:r w:rsidR="002E5F6E">
        <w:rPr>
          <w:rFonts w:ascii="Times New Roman" w:hAnsi="Times New Roman" w:cs="Times New Roman"/>
          <w:sz w:val="24"/>
        </w:rPr>
        <w:t xml:space="preserve">AUTHOR </w:t>
      </w:r>
      <w:r w:rsidRPr="00093979">
        <w:rPr>
          <w:rFonts w:ascii="Times New Roman" w:hAnsi="Times New Roman" w:cs="Times New Roman"/>
          <w:sz w:val="24"/>
        </w:rPr>
        <w:t>(2020)</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The method for Experiment 2 is the same as Experiment 1 except for the following.</w:t>
      </w:r>
    </w:p>
    <w:p w14:paraId="1EC2B74F" w14:textId="77777777" w:rsidR="00B158DB" w:rsidRPr="00093979" w:rsidRDefault="00B158DB" w:rsidP="00816B9D">
      <w:pPr>
        <w:spacing w:after="0" w:line="240" w:lineRule="auto"/>
        <w:contextualSpacing/>
        <w:rPr>
          <w:rFonts w:ascii="Times New Roman" w:hAnsi="Times New Roman" w:cs="Times New Roman"/>
          <w:b/>
          <w:bCs/>
          <w:i/>
          <w:iCs/>
          <w:sz w:val="24"/>
          <w:szCs w:val="24"/>
        </w:rPr>
      </w:pPr>
      <w:r w:rsidRPr="00093979">
        <w:rPr>
          <w:rFonts w:ascii="Times New Roman" w:hAnsi="Times New Roman" w:cs="Times New Roman"/>
          <w:b/>
          <w:bCs/>
          <w:i/>
          <w:iCs/>
          <w:sz w:val="24"/>
          <w:szCs w:val="24"/>
        </w:rPr>
        <w:t>Method</w:t>
      </w:r>
    </w:p>
    <w:p w14:paraId="2EFF1283" w14:textId="77777777"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Participants.  </w:t>
      </w:r>
      <w:r w:rsidRPr="00093979">
        <w:rPr>
          <w:rFonts w:ascii="Times New Roman" w:hAnsi="Times New Roman" w:cs="Times New Roman"/>
          <w:sz w:val="24"/>
          <w:szCs w:val="24"/>
        </w:rPr>
        <w:t>Participants with an overall accuracy below 90% percent (4 in total) were removed from all analyses, leaving a final sample size of 82 (</w:t>
      </w:r>
      <w:r w:rsidRPr="00093979">
        <w:rPr>
          <w:rFonts w:ascii="Times New Roman" w:hAnsi="Times New Roman" w:cs="Times New Roman"/>
          <w:i/>
          <w:sz w:val="24"/>
          <w:szCs w:val="24"/>
        </w:rPr>
        <w:t>M</w:t>
      </w:r>
      <w:r w:rsidRPr="00093979">
        <w:rPr>
          <w:rFonts w:ascii="Times New Roman" w:hAnsi="Times New Roman" w:cs="Times New Roman"/>
          <w:i/>
          <w:sz w:val="24"/>
          <w:szCs w:val="24"/>
          <w:vertAlign w:val="subscript"/>
        </w:rPr>
        <w:t>age</w:t>
      </w:r>
      <w:r w:rsidRPr="00093979">
        <w:rPr>
          <w:rFonts w:ascii="Times New Roman" w:hAnsi="Times New Roman" w:cs="Times New Roman"/>
          <w:sz w:val="24"/>
          <w:szCs w:val="24"/>
        </w:rPr>
        <w:t xml:space="preserve"> = 20, </w:t>
      </w:r>
      <w:proofErr w:type="spellStart"/>
      <w:r w:rsidRPr="00093979">
        <w:rPr>
          <w:rFonts w:ascii="Times New Roman" w:hAnsi="Times New Roman" w:cs="Times New Roman"/>
          <w:i/>
          <w:sz w:val="24"/>
          <w:szCs w:val="24"/>
        </w:rPr>
        <w:t>SD</w:t>
      </w:r>
      <w:r w:rsidRPr="00093979">
        <w:rPr>
          <w:rFonts w:ascii="Times New Roman" w:hAnsi="Times New Roman" w:cs="Times New Roman"/>
          <w:i/>
          <w:sz w:val="24"/>
          <w:szCs w:val="24"/>
          <w:vertAlign w:val="subscript"/>
        </w:rPr>
        <w:t>age</w:t>
      </w:r>
      <w:proofErr w:type="spellEnd"/>
      <w:r w:rsidRPr="00093979">
        <w:rPr>
          <w:rFonts w:ascii="Times New Roman" w:hAnsi="Times New Roman" w:cs="Times New Roman"/>
          <w:sz w:val="24"/>
          <w:szCs w:val="24"/>
        </w:rPr>
        <w:t xml:space="preserve"> = 2.2; 61 females).  </w:t>
      </w:r>
    </w:p>
    <w:p w14:paraId="0A760A01" w14:textId="76E06AC4" w:rsidR="00B158DB" w:rsidRPr="00093979" w:rsidRDefault="00B158DB" w:rsidP="00816B9D">
      <w:pPr>
        <w:spacing w:after="0" w:line="240" w:lineRule="auto"/>
        <w:ind w:firstLine="720"/>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Stimuli and Apparatus. </w:t>
      </w:r>
      <w:r w:rsidRPr="00093979">
        <w:rPr>
          <w:rFonts w:ascii="Times New Roman" w:hAnsi="Times New Roman" w:cs="Times New Roman"/>
          <w:sz w:val="24"/>
          <w:szCs w:val="24"/>
        </w:rPr>
        <w:t xml:space="preserve">The visual angle between the two facial stimuli presented in the cue display subtended a visual angle of 12°.  The images used in the cue display were taken from the International Affective Picture System (IAPS;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{"citationID":"Z3DRk5vZ","properties":{"formattedCitation":"(Lang, 2008, p. 200)","plainCitation":"(Lang, 2008, p. 200)","dontUpdate":true,"noteIndex":0},"citationItems":[{"id":2528,"uris":["http://zotero.org/users/3283490/items/NXA4YFDY"],"uri":["http://zotero.org/users/3283490/items/NXA4YFDY"],"itemData":{"id":2528,"type":"article-journal","container-title":"Technical Report","note":"publisher: University of Florida","source":"CiNii","title":"International affective picture system (IAPS) : affective ratings of pictures and instruction manual","title-short":"International affective picture system (IAPS)","URL":"https://ci.nii.ac.jp/naid/20001061266/","author":[{"family":"Lang","given":"PJ"}],"accessed":{"date-parts":[["2020",7,15]]},"issued":{"date-parts":[["2008"]]}},"locator":"200"}],"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Lang, 2008)</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10 threatening and 10 neutral images were used, and the cue display was shown for 500 ms. </w:t>
      </w:r>
    </w:p>
    <w:p w14:paraId="6D6A76BE" w14:textId="77777777" w:rsidR="00B158DB" w:rsidRPr="00093979" w:rsidRDefault="00B158DB" w:rsidP="00816B9D">
      <w:pPr>
        <w:spacing w:after="0" w:line="240" w:lineRule="auto"/>
        <w:contextualSpacing/>
        <w:rPr>
          <w:rFonts w:ascii="Times New Roman" w:hAnsi="Times New Roman" w:cs="Times New Roman"/>
          <w:b/>
          <w:bCs/>
          <w:i/>
          <w:iCs/>
          <w:sz w:val="24"/>
          <w:szCs w:val="24"/>
        </w:rPr>
      </w:pPr>
      <w:r w:rsidRPr="00093979">
        <w:rPr>
          <w:rFonts w:ascii="Times New Roman" w:hAnsi="Times New Roman" w:cs="Times New Roman"/>
          <w:b/>
          <w:bCs/>
          <w:i/>
          <w:iCs/>
          <w:sz w:val="24"/>
          <w:szCs w:val="24"/>
        </w:rPr>
        <w:t>Results</w:t>
      </w:r>
    </w:p>
    <w:p w14:paraId="29926345" w14:textId="22353C41" w:rsidR="00B158DB" w:rsidRPr="00093979" w:rsidRDefault="00B158DB" w:rsidP="00816B9D">
      <w:pPr>
        <w:pStyle w:val="BodyText2"/>
        <w:spacing w:line="240" w:lineRule="auto"/>
        <w:ind w:firstLine="720"/>
      </w:pPr>
      <w:r w:rsidRPr="00093979">
        <w:lastRenderedPageBreak/>
        <w:t>All trials with an incorrect response or a response time outside of 3 standard deviations from the group mean were removed from all RT analyses (0.5% of trials).  To test for carryover effects, we conducted the same 2 × 2 × 2 Generalized Linear Mixed Model on RTs as in Experiment 1.  There was a main effect of current trial type (</w:t>
      </w:r>
      <w:proofErr w:type="gramStart"/>
      <w:r w:rsidRPr="00093979">
        <w:rPr>
          <w:i/>
        </w:rPr>
        <w:t>F</w:t>
      </w:r>
      <w:r w:rsidRPr="00093979">
        <w:t>(</w:t>
      </w:r>
      <w:proofErr w:type="gramEnd"/>
      <w:r w:rsidRPr="00093979">
        <w:t xml:space="preserve">1, 15869) = 16.21, </w:t>
      </w:r>
      <w:r w:rsidRPr="00093979">
        <w:rPr>
          <w:i/>
        </w:rPr>
        <w:t xml:space="preserve">p </w:t>
      </w:r>
      <w:r w:rsidRPr="00093979">
        <w:t>&lt; .001) where RTs were faster for incongruent (</w:t>
      </w:r>
      <w:r w:rsidRPr="00093979">
        <w:rPr>
          <w:i/>
        </w:rPr>
        <w:t xml:space="preserve">M </w:t>
      </w:r>
      <w:r w:rsidRPr="00093979">
        <w:t xml:space="preserve">= 345 , </w:t>
      </w:r>
      <w:r w:rsidRPr="00093979">
        <w:rPr>
          <w:i/>
        </w:rPr>
        <w:t xml:space="preserve">SE </w:t>
      </w:r>
      <w:r w:rsidRPr="00093979">
        <w:t>= 4.06) relative to congruent trials (</w:t>
      </w:r>
      <w:r w:rsidRPr="00093979">
        <w:rPr>
          <w:i/>
        </w:rPr>
        <w:t xml:space="preserve">M </w:t>
      </w:r>
      <w:r w:rsidRPr="00093979">
        <w:t xml:space="preserve">= 349, </w:t>
      </w:r>
      <w:r w:rsidRPr="00093979">
        <w:rPr>
          <w:i/>
        </w:rPr>
        <w:t xml:space="preserve">SE </w:t>
      </w:r>
      <w:r w:rsidRPr="00093979">
        <w:t xml:space="preserve">= 4.11).  Note that this effect indicates attentional bias to neutral, not threatening images, (see Figure 2C) which also might indicate </w:t>
      </w:r>
      <w:proofErr w:type="spellStart"/>
      <w:r w:rsidRPr="00093979">
        <w:t>ance</w:t>
      </w:r>
      <w:proofErr w:type="spellEnd"/>
      <w:r w:rsidRPr="00093979">
        <w:t xml:space="preserve"> for threatening images. There was also a main effect of target location repetition </w:t>
      </w:r>
      <w:proofErr w:type="gramStart"/>
      <w:r w:rsidRPr="00093979">
        <w:rPr>
          <w:i/>
        </w:rPr>
        <w:t>F</w:t>
      </w:r>
      <w:r w:rsidRPr="00093979">
        <w:t>(</w:t>
      </w:r>
      <w:proofErr w:type="gramEnd"/>
      <w:r w:rsidRPr="00093979">
        <w:t xml:space="preserve">1, 15869 = 167.53, </w:t>
      </w:r>
      <w:r w:rsidRPr="00093979">
        <w:rPr>
          <w:i/>
        </w:rPr>
        <w:t xml:space="preserve">p </w:t>
      </w:r>
      <w:r w:rsidRPr="00093979">
        <w:t xml:space="preserve">&lt; .001) where RTs were faster </w:t>
      </w:r>
      <w:r w:rsidR="00F96435">
        <w:t xml:space="preserve">for trials with </w:t>
      </w:r>
      <w:r w:rsidRPr="00093979">
        <w:t>non-repeated</w:t>
      </w:r>
      <w:r w:rsidR="006354ED">
        <w:t xml:space="preserve"> target </w:t>
      </w:r>
      <w:r w:rsidRPr="00093979">
        <w:t>locations (</w:t>
      </w:r>
      <w:r w:rsidRPr="00093979">
        <w:rPr>
          <w:i/>
        </w:rPr>
        <w:t xml:space="preserve">M </w:t>
      </w:r>
      <w:r w:rsidRPr="00093979">
        <w:t xml:space="preserve">= 340, </w:t>
      </w:r>
      <w:r w:rsidRPr="00093979">
        <w:rPr>
          <w:i/>
        </w:rPr>
        <w:t xml:space="preserve">SE </w:t>
      </w:r>
      <w:r w:rsidRPr="00093979">
        <w:t>= 4.00) compared to repeated locations (</w:t>
      </w:r>
      <w:r w:rsidRPr="00093979">
        <w:rPr>
          <w:i/>
        </w:rPr>
        <w:t xml:space="preserve">M </w:t>
      </w:r>
      <w:r w:rsidRPr="00093979">
        <w:t xml:space="preserve">= 354, </w:t>
      </w:r>
      <w:r w:rsidRPr="00093979">
        <w:rPr>
          <w:i/>
        </w:rPr>
        <w:t xml:space="preserve">SE </w:t>
      </w:r>
      <w:r w:rsidRPr="00093979">
        <w:t>= 4.17).  However, as in Experiment 1, neither the 2-way interaction between current trial congruency and previous trial congruency (</w:t>
      </w:r>
      <w:proofErr w:type="gramStart"/>
      <w:r w:rsidRPr="00093979">
        <w:rPr>
          <w:i/>
        </w:rPr>
        <w:t>F</w:t>
      </w:r>
      <w:r w:rsidRPr="00093979">
        <w:t>(</w:t>
      </w:r>
      <w:proofErr w:type="gramEnd"/>
      <w:r w:rsidRPr="00093979">
        <w:t xml:space="preserve">1, 15869) = 0.53, </w:t>
      </w:r>
      <w:r w:rsidRPr="00093979">
        <w:rPr>
          <w:i/>
        </w:rPr>
        <w:t xml:space="preserve">p </w:t>
      </w:r>
      <w:r w:rsidRPr="00093979">
        <w:t>= .47) nor the 3-way interaction (</w:t>
      </w:r>
      <w:r w:rsidRPr="00093979">
        <w:rPr>
          <w:i/>
        </w:rPr>
        <w:t>F</w:t>
      </w:r>
      <w:r w:rsidRPr="00093979">
        <w:t xml:space="preserve">(1, 15869) = 0.01, </w:t>
      </w:r>
      <w:r w:rsidRPr="00093979">
        <w:rPr>
          <w:i/>
        </w:rPr>
        <w:t xml:space="preserve">p </w:t>
      </w:r>
      <w:r w:rsidRPr="00093979">
        <w:t xml:space="preserve">= .92) were significant. Thus, no carryover effects were observed. In addition, no other effects were significant. </w:t>
      </w:r>
      <w:r w:rsidRPr="00841367">
        <w:t>We again followed up the GLMM approach with the same Bayesian analysis; for Experiment 2, we found strong evidence for the null hypothesis (BF01 = 11.27) indicating that the null hypothesis is 11.27 times more likely than the hypothesized</w:t>
      </w:r>
      <w:r w:rsidR="00143C10">
        <w:t xml:space="preserve"> presence of a </w:t>
      </w:r>
      <w:r w:rsidRPr="00841367">
        <w:t>carryover effect</w:t>
      </w:r>
      <w:r w:rsidR="00143C10">
        <w:t xml:space="preserve"> for threat. </w:t>
      </w:r>
    </w:p>
    <w:p w14:paraId="6FF710C0" w14:textId="77777777" w:rsidR="00B158DB" w:rsidRPr="00093979" w:rsidRDefault="00B158DB" w:rsidP="00816B9D">
      <w:pPr>
        <w:pStyle w:val="BodyText2"/>
        <w:spacing w:line="240" w:lineRule="auto"/>
        <w:jc w:val="center"/>
      </w:pPr>
      <w:r w:rsidRPr="00093979">
        <w:rPr>
          <w:b/>
          <w:bCs/>
        </w:rPr>
        <w:t>[Insert Figure 2 Here]</w:t>
      </w:r>
    </w:p>
    <w:p w14:paraId="744A88E9" w14:textId="77777777" w:rsidR="00B158DB" w:rsidRPr="00093979" w:rsidRDefault="00B158DB" w:rsidP="00816B9D">
      <w:pPr>
        <w:spacing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t>General Discussion</w:t>
      </w:r>
    </w:p>
    <w:p w14:paraId="6A7359E3" w14:textId="2E19AC64" w:rsidR="00B158DB" w:rsidRPr="00093979"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In two dot-probe experiments, we assessed whether attentional bias to fearful faces (Experiment 1) or threatening images (Experiment 2) would be influenced by carry-over effects.  Seeing that threatening stimuli are especially salient, their potential trial-to-trial influence on attention is quite plausible.  However, the evidence supporting carryover effects for threat has been mixed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{"citationID":"JQXxG8Yz","properties":{"formattedCitation":"(Gladwin &amp; Figner, 2019; Hill &amp; Duval, 2016)","plainCitation":"(Gladwin &amp; Figner, 2019; Hill &amp; Duval, 2016)","noteIndex":0},"citationItems":[{"id":2473,"uris":["http://zotero.org/users/3283490/items/NQGTHVTJ"],"uri":["http://zotero.org/users/3283490/items/NQGTHVTJ"],"itemData":{"id":2473,"type":"article-journal","abstract":"Visual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szCs w:val="24"/>
        </w:rPr>
        <w:t>(Gladwin &amp; Figner, 2019; Hill &amp; Duval,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In Experiment 1, while we did observe a small sized congruency effect for fearful faces</w:t>
      </w:r>
      <w:r>
        <w:rPr>
          <w:rFonts w:ascii="Times New Roman" w:hAnsi="Times New Roman" w:cs="Times New Roman"/>
          <w:sz w:val="24"/>
          <w:szCs w:val="24"/>
        </w:rPr>
        <w:t xml:space="preserve">, we did not find an interaction between current trial </w:t>
      </w:r>
      <w:r w:rsidRPr="00093979">
        <w:rPr>
          <w:rFonts w:ascii="Times New Roman" w:hAnsi="Times New Roman" w:cs="Times New Roman"/>
          <w:sz w:val="24"/>
          <w:szCs w:val="24"/>
        </w:rPr>
        <w:t xml:space="preserve">congruency </w:t>
      </w:r>
      <w:r>
        <w:rPr>
          <w:rFonts w:ascii="Times New Roman" w:hAnsi="Times New Roman" w:cs="Times New Roman"/>
          <w:sz w:val="24"/>
          <w:szCs w:val="24"/>
        </w:rPr>
        <w:t xml:space="preserve">and previous trial congruency. </w:t>
      </w:r>
      <w:r w:rsidRPr="00093979">
        <w:rPr>
          <w:rFonts w:ascii="Times New Roman" w:hAnsi="Times New Roman" w:cs="Times New Roman"/>
          <w:sz w:val="24"/>
          <w:szCs w:val="24"/>
        </w:rPr>
        <w:t xml:space="preserve">Even for non-repeating target location trials (see Figure 1B), we still found no </w:t>
      </w:r>
      <w:r>
        <w:rPr>
          <w:rFonts w:ascii="Times New Roman" w:hAnsi="Times New Roman" w:cs="Times New Roman"/>
          <w:sz w:val="24"/>
          <w:szCs w:val="24"/>
        </w:rPr>
        <w:t xml:space="preserve">such </w:t>
      </w:r>
      <w:r w:rsidRPr="00093979">
        <w:rPr>
          <w:rFonts w:ascii="Times New Roman" w:hAnsi="Times New Roman" w:cs="Times New Roman"/>
          <w:sz w:val="24"/>
          <w:szCs w:val="24"/>
        </w:rPr>
        <w:t>interaction</w:t>
      </w:r>
      <w:r>
        <w:rPr>
          <w:rFonts w:ascii="Times New Roman" w:hAnsi="Times New Roman" w:cs="Times New Roman"/>
          <w:sz w:val="24"/>
          <w:szCs w:val="24"/>
        </w:rPr>
        <w:t xml:space="preserve">.  </w:t>
      </w:r>
      <w:r w:rsidRPr="00093979">
        <w:rPr>
          <w:rFonts w:ascii="Times New Roman" w:hAnsi="Times New Roman" w:cs="Times New Roman"/>
          <w:sz w:val="24"/>
          <w:szCs w:val="24"/>
        </w:rPr>
        <w:t>These non-significant carryover effects for threat were replicated in Experiment 2, see Figure 2D</w:t>
      </w:r>
      <w:r w:rsidRPr="00841367">
        <w:rPr>
          <w:rFonts w:ascii="Times New Roman" w:hAnsi="Times New Roman" w:cs="Times New Roman"/>
          <w:sz w:val="24"/>
          <w:szCs w:val="24"/>
        </w:rPr>
        <w:t>.  The results from our Bayesian analyses showed moderate to strong evidence for th</w:t>
      </w:r>
      <w:r w:rsidR="00A53E2E">
        <w:rPr>
          <w:rFonts w:ascii="Times New Roman" w:hAnsi="Times New Roman" w:cs="Times New Roman"/>
          <w:sz w:val="24"/>
          <w:szCs w:val="24"/>
        </w:rPr>
        <w:t>is</w:t>
      </w:r>
      <w:r w:rsidRPr="00841367">
        <w:rPr>
          <w:rFonts w:ascii="Times New Roman" w:hAnsi="Times New Roman" w:cs="Times New Roman"/>
          <w:sz w:val="24"/>
          <w:szCs w:val="24"/>
        </w:rPr>
        <w:t xml:space="preserve"> null </w:t>
      </w:r>
      <w:r w:rsidR="00B96F4B">
        <w:rPr>
          <w:rFonts w:ascii="Times New Roman" w:hAnsi="Times New Roman" w:cs="Times New Roman"/>
          <w:sz w:val="24"/>
          <w:szCs w:val="24"/>
        </w:rPr>
        <w:t xml:space="preserve">result. </w:t>
      </w:r>
    </w:p>
    <w:p w14:paraId="664C546C" w14:textId="0FF1E1A7" w:rsidR="00B158DB"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 xml:space="preserve">Our lack of carryover effects are consistent with previous dot-probe studies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{"citationID":"doobWFh7","properties":{"formattedCitation":"(Gladwin, 2017a; Hill &amp; Duval, 2016)","plainCitation":"(Gladwin, 2017a; Hill &amp; Duval, 2016)","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separate"/>
      </w:r>
      <w:r w:rsidR="002528AF" w:rsidRPr="002528AF">
        <w:rPr>
          <w:rFonts w:ascii="Times New Roman" w:hAnsi="Times New Roman" w:cs="Times New Roman"/>
          <w:sz w:val="24"/>
        </w:rPr>
        <w:t>(Gladwin, 2017a; Hill &amp; Duval,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{"citationID":"b2za37ew","properties":{"formattedCitation":"(Hill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These previous studies, when combined with the current findings, strongly suggest that attentional bias for threat (congruent – incongruent) is unlikely to be moderated by carryover effects.  Our study improved upon </w:t>
      </w:r>
      <w:r>
        <w:rPr>
          <w:rFonts w:ascii="Times New Roman" w:hAnsi="Times New Roman" w:cs="Times New Roman"/>
          <w:sz w:val="24"/>
          <w:szCs w:val="24"/>
        </w:rPr>
        <w:t xml:space="preserve">the </w:t>
      </w:r>
      <w:r w:rsidRPr="00093979">
        <w:rPr>
          <w:rFonts w:ascii="Times New Roman" w:hAnsi="Times New Roman" w:cs="Times New Roman"/>
          <w:sz w:val="24"/>
          <w:szCs w:val="24"/>
        </w:rPr>
        <w:t xml:space="preserve">limitations of these previous studies; here we utilized very large samples sizes, and we did not administer any prior-experimental manipulations (like attentional training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{"citationID":"U3fBllM8","properties":{"formattedCitation":"(Hill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Hill &amp; Duval, 2016)</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Previous studies and future research involving the dot-probe task do not need to consider whether congruency effects are influenced by carryover effects.</w:t>
      </w:r>
    </w:p>
    <w:p w14:paraId="33D5C176" w14:textId="6FF05311" w:rsidR="00CF24D2" w:rsidRDefault="00CF24D2" w:rsidP="00816B9D">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C</w:t>
      </w:r>
      <w:r w:rsidRPr="00093979">
        <w:rPr>
          <w:rFonts w:ascii="Times New Roman" w:hAnsi="Times New Roman" w:cs="Times New Roman"/>
          <w:sz w:val="24"/>
          <w:szCs w:val="24"/>
        </w:rPr>
        <w:t xml:space="preserve">arryover effects are structurally analogous to the congruency sequence effect commonly observed in the flanker, Simon, and Stroop tasks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{"citationID":"U0c7rAYi","properties":{"formattedCitation":"(Duthoo et al., 2014)","plainCitation":"(Duthoo et al., 2014)","noteIndex":0},"citationItems":[{"id":99863,"uris":["http://zotero.org/users/3283490/items/3E98HTXZ"],"uri":["http://zotero.org/users/3283490/items/3E98HTXZ"],"itemData":{"id":99863,"type":"article-journal","container-title":"Frontiers in Psychology","DOI":"10.3389/fpsyg.2014.01001","ISSN":"1664-1078","journalAbbreviation":"Front. Psychol.","source":"DOI.org (Crossref)","title":"The heterogeneous world of congruency sequence effects: an update","title-short":"The heterogeneous world of congruency sequence effects","URL":"http://journal.frontiersin.org/article/10.3389/fpsyg.2014.01001/abstract","volume":"5","author":[{"family":"Duthoo","given":"Wout"},{"family":"Abrahamse","given":"Elger L."},{"family":"Braem","given":"Senne"},{"family":"Boehler","given":"Carsten N."},{"family":"Notebaert","given":"Wim"}],"accessed":{"date-parts":[["2021",5,1]]},"issued":{"date-parts":[["2014",9,9]]}}}],"schema":"https://github.com/citation-style-language/schema/raw/master/csl-citation.json"}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(Duthoo et al., 2014)</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One difference between the dot-probe task and these traditional conflict tasks is that the distractor stimulus does not directly conflict with the target. For example, in the Stroop task, the font color of the word stimulus can be incongruent with the meaning of the word, which creates conflict when the goal is to indicate the word color. Similarly, in the arrow flanker task, the central arrow and the flanker arrows can be incongruent (i.e., &lt; &lt; &gt; &lt; &lt;), which creates conflict. However, in the dot-probe task</w:t>
      </w:r>
      <w:r w:rsidR="00C952B7">
        <w:rPr>
          <w:rFonts w:ascii="Times New Roman" w:hAnsi="Times New Roman" w:cs="Times New Roman"/>
          <w:sz w:val="24"/>
          <w:szCs w:val="24"/>
        </w:rPr>
        <w:t>,</w:t>
      </w:r>
      <w:r w:rsidRPr="00093979">
        <w:rPr>
          <w:rFonts w:ascii="Times New Roman" w:hAnsi="Times New Roman" w:cs="Times New Roman"/>
          <w:sz w:val="24"/>
          <w:szCs w:val="24"/>
        </w:rPr>
        <w:t xml:space="preserve"> the target is not only shown at a different time but is also conceptually distinct from the cue because each are distinct categories of objects.  Therefore, </w:t>
      </w:r>
      <w:r w:rsidR="00CD4113">
        <w:rPr>
          <w:rFonts w:ascii="Times New Roman" w:hAnsi="Times New Roman" w:cs="Times New Roman"/>
          <w:sz w:val="24"/>
          <w:szCs w:val="24"/>
        </w:rPr>
        <w:t xml:space="preserve">current trial </w:t>
      </w:r>
      <w:r w:rsidRPr="00093979">
        <w:rPr>
          <w:rFonts w:ascii="Times New Roman" w:hAnsi="Times New Roman" w:cs="Times New Roman"/>
          <w:sz w:val="24"/>
          <w:szCs w:val="24"/>
        </w:rPr>
        <w:t>congruency effects in the dot-probe task may stem from relatively low stimulus conflict</w:t>
      </w:r>
      <w:r w:rsidR="00CD4113">
        <w:rPr>
          <w:rFonts w:ascii="Times New Roman" w:hAnsi="Times New Roman" w:cs="Times New Roman"/>
          <w:sz w:val="24"/>
          <w:szCs w:val="24"/>
        </w:rPr>
        <w:t xml:space="preserve"> and </w:t>
      </w:r>
      <w:r w:rsidR="00C952B7">
        <w:rPr>
          <w:rFonts w:ascii="Times New Roman" w:hAnsi="Times New Roman" w:cs="Times New Roman"/>
          <w:sz w:val="24"/>
          <w:szCs w:val="24"/>
        </w:rPr>
        <w:t>therefore are</w:t>
      </w:r>
      <w:r w:rsidR="00CD4113">
        <w:rPr>
          <w:rFonts w:ascii="Times New Roman" w:hAnsi="Times New Roman" w:cs="Times New Roman"/>
          <w:sz w:val="24"/>
          <w:szCs w:val="24"/>
        </w:rPr>
        <w:t xml:space="preserve"> </w:t>
      </w:r>
      <w:r w:rsidR="00CD4113">
        <w:rPr>
          <w:rFonts w:ascii="Times New Roman" w:hAnsi="Times New Roman" w:cs="Times New Roman"/>
          <w:sz w:val="24"/>
          <w:szCs w:val="24"/>
        </w:rPr>
        <w:lastRenderedPageBreak/>
        <w:t xml:space="preserve">unaffected by </w:t>
      </w:r>
      <w:r>
        <w:rPr>
          <w:rFonts w:ascii="Times New Roman" w:hAnsi="Times New Roman" w:cs="Times New Roman"/>
          <w:sz w:val="24"/>
          <w:szCs w:val="24"/>
        </w:rPr>
        <w:t>previous trial congruency.  In summary, carryover effects, or congruency sequence effects</w:t>
      </w:r>
      <w:r w:rsidR="00C952B7">
        <w:rPr>
          <w:rFonts w:ascii="Times New Roman" w:hAnsi="Times New Roman" w:cs="Times New Roman"/>
          <w:sz w:val="24"/>
          <w:szCs w:val="24"/>
        </w:rPr>
        <w:t xml:space="preserve">, </w:t>
      </w:r>
      <w:r>
        <w:rPr>
          <w:rFonts w:ascii="Times New Roman" w:hAnsi="Times New Roman" w:cs="Times New Roman"/>
          <w:sz w:val="24"/>
          <w:szCs w:val="24"/>
        </w:rPr>
        <w:t>may only arise</w:t>
      </w:r>
      <w:r w:rsidR="00C952B7">
        <w:rPr>
          <w:rFonts w:ascii="Times New Roman" w:hAnsi="Times New Roman" w:cs="Times New Roman"/>
          <w:sz w:val="24"/>
          <w:szCs w:val="24"/>
        </w:rPr>
        <w:t xml:space="preserve"> for specific types of stimuli conflict.</w:t>
      </w:r>
    </w:p>
    <w:p w14:paraId="1C4E3ECB" w14:textId="0899B572" w:rsidR="00B158DB" w:rsidRPr="00093979" w:rsidRDefault="00B158DB" w:rsidP="00816B9D">
      <w:pPr>
        <w:spacing w:line="240" w:lineRule="auto"/>
        <w:ind w:firstLine="720"/>
        <w:contextualSpacing/>
        <w:rPr>
          <w:rFonts w:ascii="Times New Roman" w:hAnsi="Times New Roman" w:cs="Times New Roman"/>
          <w:sz w:val="24"/>
          <w:szCs w:val="24"/>
        </w:rPr>
      </w:pPr>
      <w:r w:rsidRPr="00093979">
        <w:rPr>
          <w:rFonts w:ascii="Times New Roman" w:hAnsi="Times New Roman" w:cs="Times New Roman"/>
          <w:sz w:val="24"/>
          <w:szCs w:val="24"/>
        </w:rPr>
        <w:t>There are some notable procedural differences between the standard dot-probe task (as used here) and other studies that used a similar spatial cueing task</w:t>
      </w:r>
      <w:r>
        <w:rPr>
          <w:rFonts w:ascii="Times New Roman" w:hAnsi="Times New Roman" w:cs="Times New Roman"/>
          <w:sz w:val="24"/>
          <w:szCs w:val="24"/>
        </w:rPr>
        <w:t xml:space="preserve">, </w:t>
      </w:r>
      <w:r w:rsidRPr="00093979">
        <w:rPr>
          <w:rFonts w:ascii="Times New Roman" w:hAnsi="Times New Roman" w:cs="Times New Roman"/>
          <w:sz w:val="24"/>
          <w:szCs w:val="24"/>
        </w:rPr>
        <w:t xml:space="preserve">but did observe carryover effects.  For example, Gladwin et al., (2019, 2020) presented their cues until the participants made a response, whereas we only presented our cues for 100 ms (Experiment 1) or 500 ms (Experiment 2).  Presenting cues until a response is made increases the possibility of attentional dwelling or delayed disengagement from the cue, as opposed to the initial orienting of attention towards the cue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{"citationID":"7fB7wA58","properties":{"formattedCitation":"(Fox et al., 2001)","plainCitation":"(Fox et al., 2001)","noteIndex":0},"citationItems":[{"id":92657,"uris":["http://zotero.org/users/3283490/items/YP62XMLK"],"uri":["http://zotero.org/users/3283490/items/YP62XMLK"],"itemData":{"id":92657,"type":"article-journal","container-title":"Journal of Experimental Psychology: General","DOI":"10.1037/0096-3445.130.4.681","ISSN":"1939-2222, 0096-3445","issue":"4","journalAbbreviation":"Journal of Experimental Psychology: General","language":"en","page":"681-700","source":"DOI.org (Crossref)","title":"Do threatening stimuli draw or hold visual attention in subclinical anxiety?","volume":"130","author":[{"family":"Fox","given":"Elaine"},{"family":"Russo","given":"Riccardo"},{"family":"Bowles","given":"Robert"},{"family":"Dutton","given":"Kevin"}],"issued":{"date-parts":[["2001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(Fox et al., 2001)</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xml:space="preserve">.  Another key difference is that Gladwin et al. (2019, 2020) presented a distractor (non-target object) in their search display, whereas in the classic dot-probe task, the target appears alone </w:t>
      </w:r>
      <w:r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{"citationID":"iP4HrdTI","properties":{"formattedCitation":"(Mogg &amp; Bradley, 1998)","plainCitation":"(Mogg &amp; Bradley, 1998)","noteIndex":0},"citationItems":[{"id":1172,"uris":["http://zotero.org/users/3283490/items/RUZXRUM5"],"uri":["http://zotero.org/users/3283490/items/RUZXRUM5"],"itemData":{"id":1172,"type":"article-journal","abstract":"Evidence of preattentive and attentional biases in anxiety is evaluated from a cognitive-motivational perspective. According to this analysis, vulnerability to anxiety stems mainly from a lower threshold for appraising threat, rather than a bias in the direction of attention deployment. Thus, relatively innocuous stimuli are evaluated as having higher subjective threat value by high than low trait anxious individuals, and it is further assumed that everyone orients to stimuli that are judged to be significantly threatening. This account is contrasted with other recent cognitive models of anxiety, and implications for the etiology, maintenance and treatment of anxiety disorders are discussed.","container-title":"Behaviour Research and Therapy","DOI":"10.1016/S0005-7967(98)00063-1","ISSN":"0005-7967","issue":"9","journalAbbreviation":"Behaviour Research and Therapy","page":"809-848","source":"ScienceDirect","title":"A cognitive-motivational analysis of anxiety","volume":"36","author":[{"family":"Mogg","given":"Karin"},{"family":"Bradley","given":"Brendan P."}],"issued":{"date-parts":[["1998",9,1]]}}}],"schema":"https://github.com/citation-style-language/schema/raw/master/csl-citation.json"} </w:instrText>
      </w:r>
      <w:r w:rsidRPr="00093979">
        <w:rPr>
          <w:rFonts w:ascii="Times New Roman" w:hAnsi="Times New Roman" w:cs="Times New Roman"/>
          <w:sz w:val="24"/>
          <w:szCs w:val="24"/>
        </w:rPr>
        <w:fldChar w:fldCharType="separate"/>
      </w:r>
      <w:r w:rsidRPr="00093979">
        <w:rPr>
          <w:rFonts w:ascii="Times New Roman" w:hAnsi="Times New Roman" w:cs="Times New Roman"/>
          <w:sz w:val="24"/>
        </w:rPr>
        <w:t>(Mogg &amp; Bradley, 1998)</w:t>
      </w:r>
      <w:r w:rsidRPr="00093979">
        <w:rPr>
          <w:rFonts w:ascii="Times New Roman" w:hAnsi="Times New Roman" w:cs="Times New Roman"/>
          <w:sz w:val="24"/>
          <w:szCs w:val="24"/>
        </w:rPr>
        <w:fldChar w:fldCharType="end"/>
      </w:r>
      <w:r w:rsidRPr="00093979">
        <w:rPr>
          <w:rFonts w:ascii="Times New Roman" w:hAnsi="Times New Roman" w:cs="Times New Roman"/>
          <w:sz w:val="24"/>
          <w:szCs w:val="24"/>
        </w:rPr>
        <w:t>.  Inhibition of the cue that appears in the previous non-target location might explain carryover effects for the cue (Gladwin et al., 2020). The presence of the non-target distractor might facilitate such inhibition, thereby creating a carryover effect (</w:t>
      </w:r>
      <w:proofErr w:type="spellStart"/>
      <w:r w:rsidRPr="00093979">
        <w:rPr>
          <w:rFonts w:ascii="Times New Roman" w:hAnsi="Times New Roman" w:cs="Times New Roman"/>
          <w:sz w:val="24"/>
          <w:szCs w:val="24"/>
        </w:rPr>
        <w:t>Gillich</w:t>
      </w:r>
      <w:proofErr w:type="spellEnd"/>
      <w:r w:rsidRPr="00093979">
        <w:rPr>
          <w:rFonts w:ascii="Times New Roman" w:hAnsi="Times New Roman" w:cs="Times New Roman"/>
          <w:sz w:val="24"/>
          <w:szCs w:val="24"/>
        </w:rPr>
        <w:t xml:space="preserve">, Jacobsen, </w:t>
      </w:r>
      <w:proofErr w:type="spellStart"/>
      <w:r w:rsidRPr="00093979">
        <w:rPr>
          <w:rFonts w:ascii="Times New Roman" w:hAnsi="Times New Roman" w:cs="Times New Roman"/>
          <w:sz w:val="24"/>
          <w:szCs w:val="24"/>
        </w:rPr>
        <w:t>Tomat</w:t>
      </w:r>
      <w:proofErr w:type="spellEnd"/>
      <w:r w:rsidRPr="00093979">
        <w:rPr>
          <w:rFonts w:ascii="Times New Roman" w:hAnsi="Times New Roman" w:cs="Times New Roman"/>
          <w:sz w:val="24"/>
          <w:szCs w:val="24"/>
        </w:rPr>
        <w:t xml:space="preserve">, &amp; Wendt, 2019; van </w:t>
      </w:r>
      <w:proofErr w:type="spellStart"/>
      <w:r w:rsidRPr="00093979">
        <w:rPr>
          <w:rFonts w:ascii="Times New Roman" w:hAnsi="Times New Roman" w:cs="Times New Roman"/>
          <w:sz w:val="24"/>
          <w:szCs w:val="24"/>
        </w:rPr>
        <w:t>Moorselaar</w:t>
      </w:r>
      <w:proofErr w:type="spellEnd"/>
      <w:r w:rsidRPr="00093979">
        <w:rPr>
          <w:rFonts w:ascii="Times New Roman" w:hAnsi="Times New Roman" w:cs="Times New Roman"/>
          <w:sz w:val="24"/>
          <w:szCs w:val="24"/>
        </w:rPr>
        <w:t xml:space="preserve"> &amp; </w:t>
      </w:r>
      <w:proofErr w:type="spellStart"/>
      <w:r w:rsidRPr="00093979">
        <w:rPr>
          <w:rFonts w:ascii="Times New Roman" w:hAnsi="Times New Roman" w:cs="Times New Roman"/>
          <w:sz w:val="24"/>
          <w:szCs w:val="24"/>
        </w:rPr>
        <w:t>Slagter</w:t>
      </w:r>
      <w:proofErr w:type="spellEnd"/>
      <w:r w:rsidRPr="00093979">
        <w:rPr>
          <w:rFonts w:ascii="Times New Roman" w:hAnsi="Times New Roman" w:cs="Times New Roman"/>
          <w:sz w:val="24"/>
          <w:szCs w:val="24"/>
        </w:rPr>
        <w:t>, 2019). Future studies on carryover effects should carefully consider the</w:t>
      </w:r>
      <w:r w:rsidR="00C952B7">
        <w:rPr>
          <w:rFonts w:ascii="Times New Roman" w:hAnsi="Times New Roman" w:cs="Times New Roman"/>
          <w:sz w:val="24"/>
          <w:szCs w:val="24"/>
        </w:rPr>
        <w:t>ir task design</w:t>
      </w:r>
      <w:r w:rsidRPr="00093979">
        <w:rPr>
          <w:rFonts w:ascii="Times New Roman" w:hAnsi="Times New Roman" w:cs="Times New Roman"/>
          <w:sz w:val="24"/>
          <w:szCs w:val="24"/>
        </w:rPr>
        <w:t xml:space="preserve"> procedure</w:t>
      </w:r>
      <w:r w:rsidR="00C952B7">
        <w:rPr>
          <w:rFonts w:ascii="Times New Roman" w:hAnsi="Times New Roman" w:cs="Times New Roman"/>
          <w:sz w:val="24"/>
          <w:szCs w:val="24"/>
        </w:rPr>
        <w:t xml:space="preserve">.  </w:t>
      </w:r>
    </w:p>
    <w:p w14:paraId="1FA26C7A" w14:textId="77777777" w:rsidR="00B158DB" w:rsidRPr="00093979" w:rsidRDefault="00B158DB" w:rsidP="00816B9D">
      <w:pPr>
        <w:spacing w:line="240" w:lineRule="auto"/>
        <w:contextualSpacing/>
        <w:rPr>
          <w:rFonts w:ascii="Times New Roman" w:hAnsi="Times New Roman" w:cs="Times New Roman"/>
          <w:b/>
          <w:bCs/>
          <w:sz w:val="24"/>
          <w:szCs w:val="24"/>
        </w:rPr>
      </w:pPr>
      <w:r w:rsidRPr="00093979">
        <w:rPr>
          <w:rFonts w:ascii="Times New Roman" w:hAnsi="Times New Roman" w:cs="Times New Roman"/>
          <w:b/>
          <w:bCs/>
          <w:sz w:val="24"/>
          <w:szCs w:val="24"/>
        </w:rPr>
        <w:t>Conclusion</w:t>
      </w:r>
    </w:p>
    <w:p w14:paraId="352840DD" w14:textId="504D44E9" w:rsidR="00B158DB" w:rsidRPr="00093979" w:rsidRDefault="00B158DB" w:rsidP="00816B9D">
      <w:pPr>
        <w:spacing w:line="240" w:lineRule="auto"/>
        <w:ind w:firstLine="720"/>
        <w:contextualSpacing/>
        <w:rPr>
          <w:rFonts w:ascii="Times New Roman" w:hAnsi="Times New Roman" w:cs="Times New Roman"/>
          <w:sz w:val="24"/>
          <w:szCs w:val="24"/>
        </w:rPr>
      </w:pPr>
      <w:r w:rsidRPr="00063E71">
        <w:rPr>
          <w:rFonts w:ascii="Times New Roman" w:hAnsi="Times New Roman" w:cs="Times New Roman"/>
          <w:sz w:val="24"/>
          <w:szCs w:val="24"/>
        </w:rPr>
        <w:t xml:space="preserve">Researchers should carefully select their study designs when examining </w:t>
      </w:r>
      <w:r>
        <w:rPr>
          <w:rFonts w:ascii="Times New Roman" w:hAnsi="Times New Roman" w:cs="Times New Roman"/>
          <w:sz w:val="24"/>
          <w:szCs w:val="24"/>
        </w:rPr>
        <w:t xml:space="preserve">congruency effects.  But for studies involving the </w:t>
      </w:r>
      <w:r w:rsidRPr="00063E71">
        <w:rPr>
          <w:rFonts w:ascii="Times New Roman" w:hAnsi="Times New Roman" w:cs="Times New Roman"/>
          <w:sz w:val="24"/>
          <w:szCs w:val="24"/>
        </w:rPr>
        <w:t xml:space="preserve">dot-probe </w:t>
      </w:r>
      <w:r>
        <w:rPr>
          <w:rFonts w:ascii="Times New Roman" w:hAnsi="Times New Roman" w:cs="Times New Roman"/>
          <w:sz w:val="24"/>
          <w:szCs w:val="24"/>
        </w:rPr>
        <w:t xml:space="preserve">task, carryover effects </w:t>
      </w:r>
      <w:r w:rsidR="00960346">
        <w:rPr>
          <w:rFonts w:ascii="Times New Roman" w:hAnsi="Times New Roman" w:cs="Times New Roman"/>
          <w:sz w:val="24"/>
          <w:szCs w:val="24"/>
        </w:rPr>
        <w:t xml:space="preserve">do </w:t>
      </w:r>
      <w:r>
        <w:rPr>
          <w:rFonts w:ascii="Times New Roman" w:hAnsi="Times New Roman" w:cs="Times New Roman"/>
          <w:sz w:val="24"/>
          <w:szCs w:val="24"/>
        </w:rPr>
        <w:t xml:space="preserve">not </w:t>
      </w:r>
      <w:r w:rsidR="00960346">
        <w:rPr>
          <w:rFonts w:ascii="Times New Roman" w:hAnsi="Times New Roman" w:cs="Times New Roman"/>
          <w:sz w:val="24"/>
          <w:szCs w:val="24"/>
        </w:rPr>
        <w:t xml:space="preserve">appear to be </w:t>
      </w:r>
      <w:r>
        <w:rPr>
          <w:rFonts w:ascii="Times New Roman" w:hAnsi="Times New Roman" w:cs="Times New Roman"/>
          <w:sz w:val="24"/>
          <w:szCs w:val="24"/>
        </w:rPr>
        <w:t xml:space="preserve">a concern.  The highly controlled and simple design of the </w:t>
      </w:r>
      <w:r w:rsidR="006C68B9">
        <w:rPr>
          <w:rFonts w:ascii="Times New Roman" w:hAnsi="Times New Roman" w:cs="Times New Roman"/>
          <w:sz w:val="24"/>
          <w:szCs w:val="24"/>
        </w:rPr>
        <w:t>dot-probe</w:t>
      </w:r>
      <w:r>
        <w:rPr>
          <w:rFonts w:ascii="Times New Roman" w:hAnsi="Times New Roman" w:cs="Times New Roman"/>
          <w:sz w:val="24"/>
          <w:szCs w:val="24"/>
        </w:rPr>
        <w:t xml:space="preserve"> task adequately controls for sources of variance such as carryover effects.  While threatening cues may bias attention to a greater extent than affect-less cues, their residual influence on attention is limited when assessed with the </w:t>
      </w:r>
      <w:r w:rsidR="006C68B9">
        <w:rPr>
          <w:rFonts w:ascii="Times New Roman" w:hAnsi="Times New Roman" w:cs="Times New Roman"/>
          <w:sz w:val="24"/>
          <w:szCs w:val="24"/>
        </w:rPr>
        <w:t>dot-probe</w:t>
      </w:r>
      <w:r>
        <w:rPr>
          <w:rFonts w:ascii="Times New Roman" w:hAnsi="Times New Roman" w:cs="Times New Roman"/>
          <w:sz w:val="24"/>
          <w:szCs w:val="24"/>
        </w:rPr>
        <w:t xml:space="preserve"> task.  </w:t>
      </w:r>
    </w:p>
    <w:p w14:paraId="5F1A5A3F" w14:textId="395065BC" w:rsidR="0066552E" w:rsidRPr="00093979" w:rsidRDefault="00B158DB" w:rsidP="00816B9D">
      <w:pPr>
        <w:spacing w:line="240" w:lineRule="auto"/>
        <w:contextualSpacing/>
        <w:rPr>
          <w:rFonts w:ascii="Times New Roman" w:hAnsi="Times New Roman" w:cs="Times New Roman"/>
          <w:sz w:val="24"/>
          <w:szCs w:val="24"/>
        </w:rPr>
      </w:pPr>
      <w:r w:rsidRPr="00093979">
        <w:rPr>
          <w:rFonts w:ascii="Times New Roman" w:hAnsi="Times New Roman" w:cs="Times New Roman"/>
          <w:b/>
          <w:bCs/>
          <w:i/>
          <w:iCs/>
          <w:sz w:val="24"/>
          <w:szCs w:val="24"/>
        </w:rPr>
        <w:t>Data Availability Statement:</w:t>
      </w:r>
      <w:r w:rsidRPr="00093979">
        <w:rPr>
          <w:rFonts w:ascii="Times New Roman" w:hAnsi="Times New Roman" w:cs="Times New Roman"/>
          <w:i/>
          <w:iCs/>
          <w:sz w:val="24"/>
          <w:szCs w:val="24"/>
        </w:rPr>
        <w:t xml:space="preserve"> </w:t>
      </w:r>
      <w:r w:rsidRPr="00093979">
        <w:rPr>
          <w:rFonts w:ascii="Times New Roman" w:hAnsi="Times New Roman" w:cs="Times New Roman"/>
          <w:sz w:val="24"/>
          <w:szCs w:val="24"/>
        </w:rPr>
        <w:t>Datasets are available here:</w:t>
      </w:r>
      <w:r w:rsidR="00C77824">
        <w:t xml:space="preserve"> </w:t>
      </w:r>
      <w:r w:rsidR="00C77824" w:rsidRPr="00F40B30">
        <w:rPr>
          <w:rFonts w:ascii="Times New Roman" w:hAnsi="Times New Roman" w:cs="Times New Roman"/>
          <w:sz w:val="24"/>
          <w:szCs w:val="24"/>
        </w:rPr>
        <w:t xml:space="preserve">LINK HIDDEN DUE TO BLIND REVIEW PROCESS </w:t>
      </w:r>
      <w:r w:rsidR="0066552E" w:rsidRPr="00093979">
        <w:rPr>
          <w:rFonts w:ascii="Times New Roman" w:hAnsi="Times New Roman" w:cs="Times New Roman"/>
          <w:sz w:val="24"/>
          <w:szCs w:val="24"/>
        </w:rPr>
        <w:br w:type="page"/>
      </w:r>
    </w:p>
    <w:p w14:paraId="73830F02" w14:textId="17BAEA4C" w:rsidR="00303AFB" w:rsidRPr="00093979" w:rsidRDefault="00303AFB" w:rsidP="00816B9D">
      <w:pPr>
        <w:spacing w:line="240" w:lineRule="auto"/>
        <w:contextualSpacing/>
        <w:rPr>
          <w:rFonts w:ascii="Times New Roman" w:hAnsi="Times New Roman" w:cs="Times New Roman"/>
          <w:sz w:val="24"/>
          <w:szCs w:val="24"/>
        </w:rPr>
      </w:pPr>
    </w:p>
    <w:p w14:paraId="78BB1C4E" w14:textId="57053E42" w:rsidR="0066552E" w:rsidRPr="00093979" w:rsidRDefault="00F0793D" w:rsidP="00816B9D">
      <w:pPr>
        <w:spacing w:line="240" w:lineRule="auto"/>
        <w:contextualSpacing/>
        <w:rPr>
          <w:rFonts w:ascii="Times New Roman" w:hAnsi="Times New Roman" w:cs="Times New Roman"/>
          <w:sz w:val="24"/>
          <w:szCs w:val="24"/>
        </w:rPr>
      </w:pPr>
      <w:r w:rsidRPr="00093979">
        <w:rPr>
          <w:rFonts w:ascii="Times New Roman" w:hAnsi="Times New Roman" w:cs="Times New Roman"/>
          <w:noProof/>
          <w:sz w:val="24"/>
          <w:szCs w:val="24"/>
        </w:rPr>
        <w:drawing>
          <wp:inline distT="0" distB="0" distL="0" distR="0" wp14:anchorId="4A0D03FD" wp14:editId="7E76F986">
            <wp:extent cx="5943600" cy="488823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943600" cy="4888230"/>
                    </a:xfrm>
                    <a:prstGeom prst="rect">
                      <a:avLst/>
                    </a:prstGeom>
                  </pic:spPr>
                </pic:pic>
              </a:graphicData>
            </a:graphic>
          </wp:inline>
        </w:drawing>
      </w:r>
    </w:p>
    <w:p w14:paraId="0A435E71" w14:textId="25090938" w:rsidR="00283C3E" w:rsidRPr="00093979" w:rsidRDefault="00813C6F" w:rsidP="00816B9D">
      <w:pPr>
        <w:spacing w:line="240" w:lineRule="auto"/>
        <w:contextualSpacing/>
        <w:rPr>
          <w:rFonts w:ascii="Times New Roman" w:hAnsi="Times New Roman" w:cs="Times New Roman"/>
          <w:sz w:val="24"/>
          <w:szCs w:val="24"/>
        </w:rPr>
      </w:pPr>
      <w:r w:rsidRPr="00093979">
        <w:rPr>
          <w:rFonts w:ascii="Times New Roman" w:hAnsi="Times New Roman" w:cs="Times New Roman"/>
          <w:i/>
          <w:iCs/>
          <w:sz w:val="24"/>
          <w:szCs w:val="24"/>
        </w:rPr>
        <w:t>Figure 1</w:t>
      </w:r>
      <w:r w:rsidR="00582CA1" w:rsidRPr="00093979">
        <w:rPr>
          <w:rFonts w:ascii="Times New Roman" w:hAnsi="Times New Roman" w:cs="Times New Roman"/>
          <w:i/>
          <w:iCs/>
          <w:sz w:val="24"/>
          <w:szCs w:val="24"/>
        </w:rPr>
        <w:t xml:space="preserve">. </w:t>
      </w:r>
      <w:r w:rsidR="00696F35" w:rsidRPr="00093979">
        <w:rPr>
          <w:rFonts w:ascii="Times New Roman" w:hAnsi="Times New Roman" w:cs="Times New Roman"/>
          <w:sz w:val="24"/>
          <w:szCs w:val="24"/>
        </w:rPr>
        <w:t>(A)</w:t>
      </w:r>
      <w:r w:rsidR="00DB03CC" w:rsidRPr="00093979">
        <w:rPr>
          <w:rFonts w:ascii="Times New Roman" w:hAnsi="Times New Roman" w:cs="Times New Roman"/>
          <w:sz w:val="24"/>
          <w:szCs w:val="24"/>
        </w:rPr>
        <w:t xml:space="preserve"> Examples of congruent and incongruent trial</w:t>
      </w:r>
      <w:r w:rsidR="005F606F" w:rsidRPr="00093979">
        <w:rPr>
          <w:rFonts w:ascii="Times New Roman" w:hAnsi="Times New Roman" w:cs="Times New Roman"/>
          <w:sz w:val="24"/>
          <w:szCs w:val="24"/>
        </w:rPr>
        <w:t>s</w:t>
      </w:r>
      <w:r w:rsidR="00571C43" w:rsidRPr="00093979">
        <w:rPr>
          <w:rFonts w:ascii="Times New Roman" w:hAnsi="Times New Roman" w:cs="Times New Roman"/>
          <w:sz w:val="24"/>
          <w:szCs w:val="24"/>
        </w:rPr>
        <w:t xml:space="preserve"> </w:t>
      </w:r>
      <w:r w:rsidR="00007829" w:rsidRPr="00093979">
        <w:rPr>
          <w:rFonts w:ascii="Times New Roman" w:hAnsi="Times New Roman" w:cs="Times New Roman"/>
          <w:sz w:val="24"/>
          <w:szCs w:val="24"/>
        </w:rPr>
        <w:t>in</w:t>
      </w:r>
      <w:r w:rsidR="00571C43" w:rsidRPr="00093979">
        <w:rPr>
          <w:rFonts w:ascii="Times New Roman" w:hAnsi="Times New Roman" w:cs="Times New Roman"/>
          <w:sz w:val="24"/>
          <w:szCs w:val="24"/>
        </w:rPr>
        <w:t xml:space="preserve"> Experiment 1</w:t>
      </w:r>
      <w:r w:rsidR="00DB03CC" w:rsidRPr="00093979">
        <w:rPr>
          <w:rFonts w:ascii="Times New Roman" w:hAnsi="Times New Roman" w:cs="Times New Roman"/>
          <w:sz w:val="24"/>
          <w:szCs w:val="24"/>
        </w:rPr>
        <w:t xml:space="preserve">.  (B) </w:t>
      </w:r>
      <w:r w:rsidR="00FD364F" w:rsidRPr="00093979">
        <w:rPr>
          <w:rFonts w:ascii="Times New Roman" w:hAnsi="Times New Roman" w:cs="Times New Roman"/>
          <w:sz w:val="24"/>
          <w:szCs w:val="24"/>
        </w:rPr>
        <w:t xml:space="preserve">what two trials where </w:t>
      </w:r>
      <w:r w:rsidR="00124139" w:rsidRPr="00093979">
        <w:rPr>
          <w:rFonts w:ascii="Times New Roman" w:hAnsi="Times New Roman" w:cs="Times New Roman"/>
          <w:sz w:val="24"/>
          <w:szCs w:val="24"/>
        </w:rPr>
        <w:t>congrue</w:t>
      </w:r>
      <w:r w:rsidR="009639EC" w:rsidRPr="00093979">
        <w:rPr>
          <w:rFonts w:ascii="Times New Roman" w:hAnsi="Times New Roman" w:cs="Times New Roman"/>
          <w:sz w:val="24"/>
          <w:szCs w:val="24"/>
        </w:rPr>
        <w:t>ncy</w:t>
      </w:r>
      <w:r w:rsidR="00DC19DD" w:rsidRPr="00093979">
        <w:rPr>
          <w:rFonts w:ascii="Times New Roman" w:hAnsi="Times New Roman" w:cs="Times New Roman"/>
          <w:sz w:val="24"/>
          <w:szCs w:val="24"/>
        </w:rPr>
        <w:t xml:space="preserve"> (left) and</w:t>
      </w:r>
      <w:r w:rsidR="003F1B44" w:rsidRPr="00093979">
        <w:rPr>
          <w:rFonts w:ascii="Times New Roman" w:hAnsi="Times New Roman" w:cs="Times New Roman"/>
          <w:sz w:val="24"/>
          <w:szCs w:val="24"/>
        </w:rPr>
        <w:t xml:space="preserve"> </w:t>
      </w:r>
      <w:r w:rsidR="009639EC" w:rsidRPr="00093979">
        <w:rPr>
          <w:rFonts w:ascii="Times New Roman" w:hAnsi="Times New Roman" w:cs="Times New Roman"/>
          <w:sz w:val="24"/>
          <w:szCs w:val="24"/>
        </w:rPr>
        <w:t>target location</w:t>
      </w:r>
      <w:r w:rsidR="00DC19DD" w:rsidRPr="00093979">
        <w:rPr>
          <w:rFonts w:ascii="Times New Roman" w:hAnsi="Times New Roman" w:cs="Times New Roman"/>
          <w:sz w:val="24"/>
          <w:szCs w:val="24"/>
        </w:rPr>
        <w:t xml:space="preserve"> (right</w:t>
      </w:r>
      <w:r w:rsidR="003F1B44" w:rsidRPr="00093979">
        <w:rPr>
          <w:rFonts w:ascii="Times New Roman" w:hAnsi="Times New Roman" w:cs="Times New Roman"/>
          <w:sz w:val="24"/>
          <w:szCs w:val="24"/>
        </w:rPr>
        <w:t>).</w:t>
      </w:r>
      <w:r w:rsidR="000D70E4" w:rsidRPr="00093979">
        <w:rPr>
          <w:rFonts w:ascii="Times New Roman" w:hAnsi="Times New Roman" w:cs="Times New Roman"/>
          <w:sz w:val="24"/>
          <w:szCs w:val="24"/>
        </w:rPr>
        <w:t xml:space="preserve"> </w:t>
      </w:r>
    </w:p>
    <w:p w14:paraId="38B2A29F" w14:textId="381589B3" w:rsidR="004B3CE3" w:rsidRPr="00093979" w:rsidRDefault="004B3CE3" w:rsidP="00816B9D">
      <w:pPr>
        <w:spacing w:line="240" w:lineRule="auto"/>
        <w:contextualSpacing/>
        <w:rPr>
          <w:rFonts w:ascii="Times New Roman" w:hAnsi="Times New Roman" w:cs="Times New Roman"/>
          <w:sz w:val="24"/>
          <w:szCs w:val="24"/>
        </w:rPr>
      </w:pPr>
    </w:p>
    <w:p w14:paraId="3042A02B" w14:textId="6E9C9FC0" w:rsidR="00192EA6" w:rsidRPr="00093979" w:rsidRDefault="00007829" w:rsidP="00816B9D">
      <w:pPr>
        <w:spacing w:line="240" w:lineRule="auto"/>
        <w:contextualSpacing/>
        <w:rPr>
          <w:rFonts w:ascii="Times New Roman" w:hAnsi="Times New Roman" w:cs="Times New Roman"/>
          <w:b/>
          <w:bCs/>
          <w:sz w:val="24"/>
          <w:szCs w:val="24"/>
        </w:rPr>
      </w:pPr>
      <w:r w:rsidRPr="00093979">
        <w:rPr>
          <w:rFonts w:ascii="Times New Roman" w:hAnsi="Times New Roman" w:cs="Times New Roman"/>
          <w:b/>
          <w:bCs/>
          <w:noProof/>
          <w:sz w:val="24"/>
          <w:szCs w:val="24"/>
        </w:rPr>
        <w:lastRenderedPageBreak/>
        <w:drawing>
          <wp:inline distT="0" distB="0" distL="0" distR="0" wp14:anchorId="781CD9A2" wp14:editId="4AD1D31B">
            <wp:extent cx="5943600" cy="6490970"/>
            <wp:effectExtent l="0" t="0" r="0" b="5080"/>
            <wp:docPr id="4"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 schematic&#10;&#10;Description automatically generated"/>
                    <pic:cNvPicPr/>
                  </pic:nvPicPr>
                  <pic:blipFill>
                    <a:blip r:embed="rId9">
                      <a:extLst>
                        <a:ext uri="{28A0092B-C50C-407E-A947-70E740481C1C}">
                          <a14:useLocalDpi xmlns:a14="http://schemas.microsoft.com/office/drawing/2010/main"/>
                        </a:ext>
                      </a:extLst>
                    </a:blip>
                    <a:stretch>
                      <a:fillRect/>
                    </a:stretch>
                  </pic:blipFill>
                  <pic:spPr>
                    <a:xfrm>
                      <a:off x="0" y="0"/>
                      <a:ext cx="5943600" cy="6490970"/>
                    </a:xfrm>
                    <a:prstGeom prst="rect">
                      <a:avLst/>
                    </a:prstGeom>
                  </pic:spPr>
                </pic:pic>
              </a:graphicData>
            </a:graphic>
          </wp:inline>
        </w:drawing>
      </w:r>
    </w:p>
    <w:p w14:paraId="6682847C" w14:textId="2896DF3A" w:rsidR="00930EE5" w:rsidRPr="00093979" w:rsidRDefault="004B3CE3" w:rsidP="00816B9D">
      <w:pPr>
        <w:spacing w:line="240" w:lineRule="auto"/>
        <w:contextualSpacing/>
        <w:rPr>
          <w:rFonts w:ascii="Times New Roman" w:hAnsi="Times New Roman" w:cs="Times New Roman"/>
          <w:sz w:val="24"/>
          <w:szCs w:val="24"/>
        </w:rPr>
      </w:pPr>
      <w:r w:rsidRPr="00093979">
        <w:rPr>
          <w:rFonts w:ascii="Times New Roman" w:hAnsi="Times New Roman" w:cs="Times New Roman"/>
          <w:i/>
          <w:iCs/>
          <w:sz w:val="24"/>
          <w:szCs w:val="24"/>
        </w:rPr>
        <w:t xml:space="preserve">Figure 2. </w:t>
      </w:r>
      <w:r w:rsidR="00E23C2A" w:rsidRPr="00093979">
        <w:rPr>
          <w:rFonts w:ascii="Times New Roman" w:hAnsi="Times New Roman" w:cs="Times New Roman"/>
          <w:sz w:val="24"/>
          <w:szCs w:val="24"/>
        </w:rPr>
        <w:t xml:space="preserve">Results from Experiment 1 </w:t>
      </w:r>
      <w:r w:rsidR="00112C90" w:rsidRPr="00093979">
        <w:rPr>
          <w:rFonts w:ascii="Times New Roman" w:hAnsi="Times New Roman" w:cs="Times New Roman"/>
          <w:sz w:val="24"/>
          <w:szCs w:val="24"/>
        </w:rPr>
        <w:t xml:space="preserve">are </w:t>
      </w:r>
      <w:r w:rsidR="00E23C2A" w:rsidRPr="00093979">
        <w:rPr>
          <w:rFonts w:ascii="Times New Roman" w:hAnsi="Times New Roman" w:cs="Times New Roman"/>
          <w:sz w:val="24"/>
          <w:szCs w:val="24"/>
        </w:rPr>
        <w:t xml:space="preserve">shown in A and B, Experiment 2 in C and D.  </w:t>
      </w:r>
      <w:r w:rsidR="00E4451B" w:rsidRPr="00093979">
        <w:rPr>
          <w:rFonts w:ascii="Times New Roman" w:hAnsi="Times New Roman" w:cs="Times New Roman"/>
          <w:sz w:val="24"/>
          <w:szCs w:val="24"/>
        </w:rPr>
        <w:t xml:space="preserve">A and C </w:t>
      </w:r>
      <w:r w:rsidR="00E767D5" w:rsidRPr="00093979">
        <w:rPr>
          <w:rFonts w:ascii="Times New Roman" w:hAnsi="Times New Roman" w:cs="Times New Roman"/>
          <w:sz w:val="24"/>
          <w:szCs w:val="24"/>
        </w:rPr>
        <w:t>show</w:t>
      </w:r>
      <w:r w:rsidR="00E4451B" w:rsidRPr="00093979">
        <w:rPr>
          <w:rFonts w:ascii="Times New Roman" w:hAnsi="Times New Roman" w:cs="Times New Roman"/>
          <w:sz w:val="24"/>
          <w:szCs w:val="24"/>
        </w:rPr>
        <w:t xml:space="preserve"> </w:t>
      </w:r>
      <w:r w:rsidR="00B17C8F" w:rsidRPr="00093979">
        <w:rPr>
          <w:rFonts w:ascii="Times New Roman" w:hAnsi="Times New Roman" w:cs="Times New Roman"/>
          <w:sz w:val="24"/>
          <w:szCs w:val="24"/>
        </w:rPr>
        <w:t xml:space="preserve">congruent and incongruent </w:t>
      </w:r>
      <w:r w:rsidR="00430251" w:rsidRPr="00093979">
        <w:rPr>
          <w:rFonts w:ascii="Times New Roman" w:hAnsi="Times New Roman" w:cs="Times New Roman"/>
          <w:sz w:val="24"/>
          <w:szCs w:val="24"/>
        </w:rPr>
        <w:t>RTs</w:t>
      </w:r>
      <w:r w:rsidR="00B17C8F" w:rsidRPr="00093979">
        <w:rPr>
          <w:rFonts w:ascii="Times New Roman" w:hAnsi="Times New Roman" w:cs="Times New Roman"/>
          <w:sz w:val="24"/>
          <w:szCs w:val="24"/>
        </w:rPr>
        <w:t xml:space="preserve"> </w:t>
      </w:r>
      <w:r w:rsidR="00E767D5" w:rsidRPr="00093979">
        <w:rPr>
          <w:rFonts w:ascii="Times New Roman" w:hAnsi="Times New Roman" w:cs="Times New Roman"/>
          <w:sz w:val="24"/>
          <w:szCs w:val="24"/>
        </w:rPr>
        <w:t xml:space="preserve">(left) </w:t>
      </w:r>
      <w:r w:rsidR="00B17C8F" w:rsidRPr="00093979">
        <w:rPr>
          <w:rFonts w:ascii="Times New Roman" w:hAnsi="Times New Roman" w:cs="Times New Roman"/>
          <w:sz w:val="24"/>
          <w:szCs w:val="24"/>
        </w:rPr>
        <w:t xml:space="preserve">and </w:t>
      </w:r>
      <w:r w:rsidR="003F1CB4" w:rsidRPr="00093979">
        <w:rPr>
          <w:rFonts w:ascii="Times New Roman" w:hAnsi="Times New Roman" w:cs="Times New Roman"/>
          <w:sz w:val="24"/>
          <w:szCs w:val="24"/>
        </w:rPr>
        <w:t>the overall</w:t>
      </w:r>
      <w:r w:rsidR="00190067" w:rsidRPr="00093979">
        <w:rPr>
          <w:rFonts w:ascii="Times New Roman" w:hAnsi="Times New Roman" w:cs="Times New Roman"/>
          <w:sz w:val="24"/>
          <w:szCs w:val="24"/>
        </w:rPr>
        <w:t xml:space="preserve"> congruency effects </w:t>
      </w:r>
      <w:r w:rsidR="00E13F91" w:rsidRPr="00093979">
        <w:rPr>
          <w:rFonts w:ascii="Times New Roman" w:hAnsi="Times New Roman" w:cs="Times New Roman"/>
          <w:sz w:val="24"/>
          <w:szCs w:val="24"/>
        </w:rPr>
        <w:t xml:space="preserve">(otherwise known as </w:t>
      </w:r>
      <w:r w:rsidR="00F94FE8">
        <w:rPr>
          <w:rFonts w:ascii="Times New Roman" w:hAnsi="Times New Roman" w:cs="Times New Roman"/>
          <w:sz w:val="24"/>
          <w:szCs w:val="24"/>
        </w:rPr>
        <w:t xml:space="preserve">the </w:t>
      </w:r>
      <w:r w:rsidR="005729C3" w:rsidRPr="00093979">
        <w:rPr>
          <w:rFonts w:ascii="Times New Roman" w:hAnsi="Times New Roman" w:cs="Times New Roman"/>
          <w:sz w:val="24"/>
          <w:szCs w:val="24"/>
        </w:rPr>
        <w:t>capt</w:t>
      </w:r>
      <w:r w:rsidR="00FF2CA2">
        <w:rPr>
          <w:rFonts w:ascii="Times New Roman" w:hAnsi="Times New Roman" w:cs="Times New Roman"/>
          <w:sz w:val="24"/>
          <w:szCs w:val="24"/>
        </w:rPr>
        <w:t>ur</w:t>
      </w:r>
      <w:r w:rsidR="00656DAC">
        <w:rPr>
          <w:rFonts w:ascii="Times New Roman" w:hAnsi="Times New Roman" w:cs="Times New Roman"/>
          <w:sz w:val="24"/>
          <w:szCs w:val="24"/>
        </w:rPr>
        <w:t xml:space="preserve">ing </w:t>
      </w:r>
      <w:r w:rsidR="00FF2CA2">
        <w:rPr>
          <w:rFonts w:ascii="Times New Roman" w:hAnsi="Times New Roman" w:cs="Times New Roman"/>
          <w:sz w:val="24"/>
          <w:szCs w:val="24"/>
        </w:rPr>
        <w:t>of a</w:t>
      </w:r>
      <w:r w:rsidR="00190067" w:rsidRPr="00093979">
        <w:rPr>
          <w:rFonts w:ascii="Times New Roman" w:hAnsi="Times New Roman" w:cs="Times New Roman"/>
          <w:sz w:val="24"/>
          <w:szCs w:val="24"/>
        </w:rPr>
        <w:t>ttention</w:t>
      </w:r>
      <w:r w:rsidR="00FF2CA2">
        <w:rPr>
          <w:rFonts w:ascii="Times New Roman" w:hAnsi="Times New Roman" w:cs="Times New Roman"/>
          <w:sz w:val="24"/>
          <w:szCs w:val="24"/>
        </w:rPr>
        <w:t xml:space="preserve">, </w:t>
      </w:r>
      <w:r w:rsidR="00190067" w:rsidRPr="00093979">
        <w:rPr>
          <w:rFonts w:ascii="Times New Roman" w:hAnsi="Times New Roman" w:cs="Times New Roman"/>
          <w:sz w:val="24"/>
          <w:szCs w:val="24"/>
        </w:rPr>
        <w:t>or attention bias)</w:t>
      </w:r>
      <w:r w:rsidR="00E4451B" w:rsidRPr="00093979">
        <w:rPr>
          <w:rFonts w:ascii="Times New Roman" w:hAnsi="Times New Roman" w:cs="Times New Roman"/>
          <w:sz w:val="24"/>
          <w:szCs w:val="24"/>
        </w:rPr>
        <w:t xml:space="preserve">.  </w:t>
      </w:r>
      <w:r w:rsidR="00D904BF" w:rsidRPr="00093979">
        <w:rPr>
          <w:rFonts w:ascii="Times New Roman" w:hAnsi="Times New Roman" w:cs="Times New Roman"/>
          <w:sz w:val="24"/>
          <w:szCs w:val="24"/>
        </w:rPr>
        <w:t xml:space="preserve">The top row of </w:t>
      </w:r>
      <w:r w:rsidR="00E4451B" w:rsidRPr="00093979">
        <w:rPr>
          <w:rFonts w:ascii="Times New Roman" w:hAnsi="Times New Roman" w:cs="Times New Roman"/>
          <w:sz w:val="24"/>
          <w:szCs w:val="24"/>
        </w:rPr>
        <w:t xml:space="preserve">B and D show </w:t>
      </w:r>
      <w:r w:rsidR="0068087E" w:rsidRPr="00093979">
        <w:rPr>
          <w:rFonts w:ascii="Times New Roman" w:hAnsi="Times New Roman" w:cs="Times New Roman"/>
          <w:sz w:val="24"/>
          <w:szCs w:val="24"/>
        </w:rPr>
        <w:t>congruency</w:t>
      </w:r>
      <w:r w:rsidR="00B17C8F" w:rsidRPr="00093979">
        <w:rPr>
          <w:rFonts w:ascii="Times New Roman" w:hAnsi="Times New Roman" w:cs="Times New Roman"/>
          <w:sz w:val="24"/>
          <w:szCs w:val="24"/>
        </w:rPr>
        <w:t xml:space="preserve"> effects</w:t>
      </w:r>
      <w:r w:rsidR="00824137" w:rsidRPr="00093979">
        <w:rPr>
          <w:rFonts w:ascii="Times New Roman" w:hAnsi="Times New Roman" w:cs="Times New Roman"/>
          <w:sz w:val="24"/>
          <w:szCs w:val="24"/>
        </w:rPr>
        <w:t xml:space="preserve"> </w:t>
      </w:r>
      <w:r w:rsidR="00B17C8F" w:rsidRPr="00093979">
        <w:rPr>
          <w:rFonts w:ascii="Times New Roman" w:hAnsi="Times New Roman" w:cs="Times New Roman"/>
          <w:sz w:val="24"/>
          <w:szCs w:val="24"/>
        </w:rPr>
        <w:t xml:space="preserve">by previous trial </w:t>
      </w:r>
      <w:r w:rsidR="00B9695F" w:rsidRPr="00093979">
        <w:rPr>
          <w:rFonts w:ascii="Times New Roman" w:hAnsi="Times New Roman" w:cs="Times New Roman"/>
          <w:sz w:val="24"/>
          <w:szCs w:val="24"/>
        </w:rPr>
        <w:t>congruency</w:t>
      </w:r>
      <w:r w:rsidR="00B17C8F" w:rsidRPr="00093979">
        <w:rPr>
          <w:rFonts w:ascii="Times New Roman" w:hAnsi="Times New Roman" w:cs="Times New Roman"/>
          <w:sz w:val="24"/>
          <w:szCs w:val="24"/>
        </w:rPr>
        <w:t xml:space="preserve"> and target repetition</w:t>
      </w:r>
      <w:r w:rsidR="003F1CB4" w:rsidRPr="00093979">
        <w:rPr>
          <w:rFonts w:ascii="Times New Roman" w:hAnsi="Times New Roman" w:cs="Times New Roman"/>
          <w:sz w:val="24"/>
          <w:szCs w:val="24"/>
        </w:rPr>
        <w:t>.</w:t>
      </w:r>
      <w:r w:rsidR="009873B5" w:rsidRPr="00093979">
        <w:rPr>
          <w:rFonts w:ascii="Times New Roman" w:hAnsi="Times New Roman" w:cs="Times New Roman"/>
          <w:sz w:val="24"/>
          <w:szCs w:val="24"/>
        </w:rPr>
        <w:t xml:space="preserve">  </w:t>
      </w:r>
      <w:r w:rsidR="00D904BF" w:rsidRPr="00093979">
        <w:rPr>
          <w:rFonts w:ascii="Times New Roman" w:hAnsi="Times New Roman" w:cs="Times New Roman"/>
          <w:sz w:val="24"/>
          <w:szCs w:val="24"/>
        </w:rPr>
        <w:t xml:space="preserve">The bottom row shows </w:t>
      </w:r>
      <w:r w:rsidR="0068087E" w:rsidRPr="00093979">
        <w:rPr>
          <w:rFonts w:ascii="Times New Roman" w:hAnsi="Times New Roman" w:cs="Times New Roman"/>
          <w:sz w:val="24"/>
          <w:szCs w:val="24"/>
        </w:rPr>
        <w:t>congruency</w:t>
      </w:r>
      <w:r w:rsidR="00D904BF" w:rsidRPr="00093979">
        <w:rPr>
          <w:rFonts w:ascii="Times New Roman" w:hAnsi="Times New Roman" w:cs="Times New Roman"/>
          <w:sz w:val="24"/>
          <w:szCs w:val="24"/>
        </w:rPr>
        <w:t xml:space="preserve"> effects </w:t>
      </w:r>
      <w:r w:rsidR="005661C7" w:rsidRPr="00093979">
        <w:rPr>
          <w:rFonts w:ascii="Times New Roman" w:hAnsi="Times New Roman" w:cs="Times New Roman"/>
          <w:sz w:val="24"/>
          <w:szCs w:val="24"/>
        </w:rPr>
        <w:t>by previous trial congruency (</w:t>
      </w:r>
      <w:r w:rsidR="009873B5" w:rsidRPr="00093979">
        <w:rPr>
          <w:rFonts w:ascii="Times New Roman" w:hAnsi="Times New Roman" w:cs="Times New Roman"/>
          <w:sz w:val="24"/>
          <w:szCs w:val="24"/>
        </w:rPr>
        <w:t>incongruent minus congruent</w:t>
      </w:r>
      <w:r w:rsidR="005661C7" w:rsidRPr="00093979">
        <w:rPr>
          <w:rFonts w:ascii="Times New Roman" w:hAnsi="Times New Roman" w:cs="Times New Roman"/>
          <w:sz w:val="24"/>
          <w:szCs w:val="24"/>
        </w:rPr>
        <w:t>)</w:t>
      </w:r>
      <w:r w:rsidR="00D904BF" w:rsidRPr="00093979">
        <w:rPr>
          <w:rFonts w:ascii="Times New Roman" w:hAnsi="Times New Roman" w:cs="Times New Roman"/>
          <w:sz w:val="24"/>
          <w:szCs w:val="24"/>
        </w:rPr>
        <w:t xml:space="preserve">, separated by </w:t>
      </w:r>
      <w:r w:rsidR="00584AC7" w:rsidRPr="00093979">
        <w:rPr>
          <w:rFonts w:ascii="Times New Roman" w:hAnsi="Times New Roman" w:cs="Times New Roman"/>
          <w:sz w:val="24"/>
          <w:szCs w:val="24"/>
        </w:rPr>
        <w:t xml:space="preserve">target location </w:t>
      </w:r>
      <w:r w:rsidR="00D904BF" w:rsidRPr="00093979">
        <w:rPr>
          <w:rFonts w:ascii="Times New Roman" w:hAnsi="Times New Roman" w:cs="Times New Roman"/>
          <w:sz w:val="24"/>
          <w:szCs w:val="24"/>
        </w:rPr>
        <w:t>repetition</w:t>
      </w:r>
      <w:r w:rsidR="009873B5" w:rsidRPr="00093979">
        <w:rPr>
          <w:rFonts w:ascii="Times New Roman" w:hAnsi="Times New Roman" w:cs="Times New Roman"/>
          <w:sz w:val="24"/>
          <w:szCs w:val="24"/>
        </w:rPr>
        <w:t xml:space="preserve">. </w:t>
      </w:r>
      <w:r w:rsidR="00B17C8F" w:rsidRPr="00093979">
        <w:rPr>
          <w:rFonts w:ascii="Times New Roman" w:hAnsi="Times New Roman" w:cs="Times New Roman"/>
          <w:sz w:val="24"/>
          <w:szCs w:val="24"/>
        </w:rPr>
        <w:t xml:space="preserve">Black error bars represent ± standard </w:t>
      </w:r>
      <w:r w:rsidR="00961C0A" w:rsidRPr="00093979">
        <w:rPr>
          <w:rFonts w:ascii="Times New Roman" w:hAnsi="Times New Roman" w:cs="Times New Roman"/>
          <w:sz w:val="24"/>
          <w:szCs w:val="24"/>
        </w:rPr>
        <w:t xml:space="preserve">deviation </w:t>
      </w:r>
      <w:r w:rsidR="00B17C8F" w:rsidRPr="00093979">
        <w:rPr>
          <w:rFonts w:ascii="Times New Roman" w:hAnsi="Times New Roman" w:cs="Times New Roman"/>
          <w:sz w:val="24"/>
          <w:szCs w:val="24"/>
        </w:rPr>
        <w:t>of the mean.</w:t>
      </w:r>
      <w:r w:rsidR="00F45EA6" w:rsidRPr="00093979">
        <w:rPr>
          <w:rFonts w:ascii="Times New Roman" w:hAnsi="Times New Roman" w:cs="Times New Roman"/>
          <w:sz w:val="24"/>
          <w:szCs w:val="24"/>
        </w:rPr>
        <w:t xml:space="preserve">  </w:t>
      </w:r>
      <w:r w:rsidR="00112A73" w:rsidRPr="00093979">
        <w:rPr>
          <w:rFonts w:ascii="Times New Roman" w:hAnsi="Times New Roman" w:cs="Times New Roman"/>
          <w:sz w:val="24"/>
          <w:szCs w:val="24"/>
        </w:rPr>
        <w:t xml:space="preserve">Gray distributions </w:t>
      </w:r>
      <w:r w:rsidR="008B0F60" w:rsidRPr="00093979">
        <w:rPr>
          <w:rFonts w:ascii="Times New Roman" w:hAnsi="Times New Roman" w:cs="Times New Roman"/>
          <w:sz w:val="24"/>
          <w:szCs w:val="24"/>
        </w:rPr>
        <w:t xml:space="preserve">represent </w:t>
      </w:r>
      <w:r w:rsidR="00112A73" w:rsidRPr="00093979">
        <w:rPr>
          <w:rFonts w:ascii="Times New Roman" w:hAnsi="Times New Roman" w:cs="Times New Roman"/>
          <w:sz w:val="24"/>
          <w:szCs w:val="24"/>
        </w:rPr>
        <w:t xml:space="preserve">95% confidence intervals </w:t>
      </w:r>
      <w:r w:rsidR="00B279AC" w:rsidRPr="00093979">
        <w:rPr>
          <w:rFonts w:ascii="Times New Roman" w:hAnsi="Times New Roman" w:cs="Times New Roman"/>
          <w:sz w:val="24"/>
          <w:szCs w:val="24"/>
        </w:rPr>
        <w:fldChar w:fldCharType="begin"/>
      </w:r>
      <w:r w:rsidR="002528AF">
        <w:rPr>
          <w:rFonts w:ascii="Times New Roman" w:hAnsi="Times New Roman" w:cs="Times New Roman"/>
          <w:sz w:val="24"/>
          <w:szCs w:val="24"/>
        </w:rPr>
        <w:instrText xml:space="preserve"> ADDIN ZOTERO_ITEM CSL_CITATION {"citationID":"bcQUSCqS","properties":{"formattedCitation":"(Ho et al., 2019)","plainCitation":"(Ho et al., 2019)","noteIndex":0},"citationItems":[{"id":98796,"uris":["http://zotero.org/users/3283490/items/MLD3DTCJ"],"uri":["http://zotero.org/users/3283490/items/MLD3DTCJ"],"itemData":{"id":98796,"type":"article-journal","container-title":"Nature Methods","DOI":"10.1038/s41592-019-0470-3","ISSN":"1548-7091, 1548-7105","issue":"7","journalAbbreviation":"Nat Methods","language":"en","page":"565-566","source":"DOI.org (Crossref)","title":"Moving beyond P values: data analysis with estimation graphics","title-short":"Moving beyond P values","volume":"16","author":[{"family":"Ho","given":"Joses"},{"family":"Tumkaya","given":"Tayfun"},{"family":"Aryal","given":"Sameer"},{"family":"Choi","given":"Hyungwon"},{"family":"Claridge-Chang","given":"Adam"}],"issued":{"date-parts":[["2019",7]]}}}],"schema":"https://github.com/citation-style-language/schema/raw/master/csl-citation.json"} </w:instrText>
      </w:r>
      <w:r w:rsidR="00B279AC" w:rsidRPr="00093979">
        <w:rPr>
          <w:rFonts w:ascii="Times New Roman" w:hAnsi="Times New Roman" w:cs="Times New Roman"/>
          <w:sz w:val="24"/>
          <w:szCs w:val="24"/>
        </w:rPr>
        <w:fldChar w:fldCharType="separate"/>
      </w:r>
      <w:r w:rsidR="00B279AC" w:rsidRPr="00093979">
        <w:rPr>
          <w:rFonts w:ascii="Times New Roman" w:hAnsi="Times New Roman" w:cs="Times New Roman"/>
          <w:sz w:val="24"/>
        </w:rPr>
        <w:t>(Ho et al., 2019)</w:t>
      </w:r>
      <w:r w:rsidR="00B279AC" w:rsidRPr="00093979">
        <w:rPr>
          <w:rFonts w:ascii="Times New Roman" w:hAnsi="Times New Roman" w:cs="Times New Roman"/>
          <w:sz w:val="24"/>
          <w:szCs w:val="24"/>
        </w:rPr>
        <w:fldChar w:fldCharType="end"/>
      </w:r>
      <w:r w:rsidR="00B279AC" w:rsidRPr="00093979">
        <w:rPr>
          <w:rFonts w:ascii="Times New Roman" w:hAnsi="Times New Roman" w:cs="Times New Roman"/>
          <w:sz w:val="24"/>
          <w:szCs w:val="24"/>
        </w:rPr>
        <w:t>.</w:t>
      </w:r>
      <w:r w:rsidR="0020010D" w:rsidRPr="00093979">
        <w:rPr>
          <w:rFonts w:ascii="Times New Roman" w:hAnsi="Times New Roman" w:cs="Times New Roman"/>
          <w:sz w:val="24"/>
          <w:szCs w:val="24"/>
        </w:rPr>
        <w:t xml:space="preserve">  </w:t>
      </w:r>
    </w:p>
    <w:p w14:paraId="03381BDD" w14:textId="5EA07839" w:rsidR="00930EE5" w:rsidRPr="00093979" w:rsidRDefault="00930EE5" w:rsidP="00816B9D">
      <w:pPr>
        <w:spacing w:line="240" w:lineRule="auto"/>
        <w:contextualSpacing/>
        <w:rPr>
          <w:rFonts w:ascii="Times New Roman" w:hAnsi="Times New Roman" w:cs="Times New Roman"/>
          <w:sz w:val="24"/>
          <w:szCs w:val="24"/>
        </w:rPr>
      </w:pPr>
      <w:r w:rsidRPr="00093979">
        <w:rPr>
          <w:rFonts w:ascii="Times New Roman" w:hAnsi="Times New Roman" w:cs="Times New Roman"/>
          <w:sz w:val="24"/>
          <w:szCs w:val="24"/>
        </w:rPr>
        <w:br w:type="page"/>
      </w:r>
    </w:p>
    <w:p w14:paraId="64288431" w14:textId="57499606" w:rsidR="007C7D8A" w:rsidRPr="00093979" w:rsidRDefault="007C7D8A" w:rsidP="00816B9D">
      <w:pPr>
        <w:spacing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lastRenderedPageBreak/>
        <w:t>References</w:t>
      </w:r>
    </w:p>
    <w:p w14:paraId="4570532E" w14:textId="77777777" w:rsidR="00816B9D" w:rsidRPr="009F0283" w:rsidRDefault="00816B9D" w:rsidP="00816B9D">
      <w:pPr>
        <w:pStyle w:val="Bibliography"/>
        <w:spacing w:line="240" w:lineRule="auto"/>
        <w:contextualSpacing/>
        <w:rPr>
          <w:rFonts w:ascii="Times New Roman" w:hAnsi="Times New Roman" w:cs="Times New Roman"/>
          <w:sz w:val="24"/>
        </w:rPr>
      </w:pPr>
      <w:r>
        <w:rPr>
          <w:rFonts w:ascii="Times New Roman" w:hAnsi="Times New Roman" w:cs="Times New Roman"/>
          <w:sz w:val="24"/>
        </w:rPr>
        <w:t>AUTHOR</w:t>
      </w:r>
      <w:r w:rsidRPr="009F0283">
        <w:rPr>
          <w:rFonts w:ascii="Times New Roman" w:hAnsi="Times New Roman" w:cs="Times New Roman"/>
          <w:sz w:val="24"/>
        </w:rPr>
        <w:t xml:space="preserve"> (2020). </w:t>
      </w:r>
    </w:p>
    <w:p w14:paraId="76FC3AFF" w14:textId="42AEBBD0" w:rsidR="00816B9D" w:rsidRPr="00816B9D" w:rsidRDefault="00816B9D" w:rsidP="00816B9D">
      <w:pPr>
        <w:pStyle w:val="Bibliography"/>
        <w:spacing w:line="240" w:lineRule="auto"/>
        <w:contextualSpacing/>
        <w:rPr>
          <w:rFonts w:ascii="Times New Roman" w:hAnsi="Times New Roman" w:cs="Times New Roman"/>
          <w:sz w:val="24"/>
        </w:rPr>
      </w:pPr>
      <w:r>
        <w:rPr>
          <w:rFonts w:ascii="Times New Roman" w:hAnsi="Times New Roman" w:cs="Times New Roman"/>
          <w:sz w:val="24"/>
        </w:rPr>
        <w:t>AUTHOR</w:t>
      </w:r>
      <w:r w:rsidRPr="009F0283">
        <w:rPr>
          <w:rFonts w:ascii="Times New Roman" w:hAnsi="Times New Roman" w:cs="Times New Roman"/>
          <w:sz w:val="24"/>
        </w:rPr>
        <w:t xml:space="preserve"> (2014). </w:t>
      </w:r>
    </w:p>
    <w:p w14:paraId="0A65F11F" w14:textId="4078D7D1" w:rsidR="009F0283" w:rsidRPr="009F0283" w:rsidRDefault="0013608A" w:rsidP="00816B9D">
      <w:pPr>
        <w:pStyle w:val="Bibliography"/>
        <w:spacing w:line="240" w:lineRule="auto"/>
        <w:contextualSpacing/>
        <w:rPr>
          <w:rFonts w:ascii="Times New Roman" w:hAnsi="Times New Roman" w:cs="Times New Roman"/>
          <w:sz w:val="24"/>
        </w:rPr>
      </w:pPr>
      <w:r w:rsidRPr="00093979">
        <w:rPr>
          <w:b/>
          <w:bCs/>
        </w:rPr>
        <w:fldChar w:fldCharType="begin"/>
      </w:r>
      <w:r w:rsidR="009F0283">
        <w:rPr>
          <w:b/>
          <w:bCs/>
        </w:rPr>
        <w:instrText xml:space="preserve"> ADDIN ZOTERO_BIBL {"uncited":[],"omitted":[],"custom":[]} CSL_BIBLIOGRAPHY </w:instrText>
      </w:r>
      <w:r w:rsidRPr="00093979">
        <w:rPr>
          <w:b/>
          <w:bCs/>
        </w:rPr>
        <w:fldChar w:fldCharType="separate"/>
      </w:r>
      <w:r w:rsidR="009F0283" w:rsidRPr="009F0283">
        <w:rPr>
          <w:rFonts w:ascii="Times New Roman" w:hAnsi="Times New Roman" w:cs="Times New Roman"/>
          <w:sz w:val="24"/>
        </w:rPr>
        <w:t xml:space="preserve">Anderson, B. A., &amp; Britton, M. K. (2019). On the automaticity of attentional orienting to threatening stimuli. </w:t>
      </w:r>
      <w:r w:rsidR="009F0283" w:rsidRPr="009F0283">
        <w:rPr>
          <w:rFonts w:ascii="Times New Roman" w:hAnsi="Times New Roman" w:cs="Times New Roman"/>
          <w:i/>
          <w:iCs/>
          <w:sz w:val="24"/>
        </w:rPr>
        <w:t>Emotion</w:t>
      </w:r>
      <w:r w:rsidR="009F0283" w:rsidRPr="009F0283">
        <w:rPr>
          <w:rFonts w:ascii="Times New Roman" w:hAnsi="Times New Roman" w:cs="Times New Roman"/>
          <w:sz w:val="24"/>
        </w:rPr>
        <w:t>. https://doi.org/10.1037/emo0000596</w:t>
      </w:r>
    </w:p>
    <w:p w14:paraId="03DFED9C"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Becker, S. I., Dutt, N., Vromen, J. M. G., &amp; Horstmann, G. (2017). The capture of attention and gaze in the search for emotional photographic faces. </w:t>
      </w:r>
      <w:r w:rsidRPr="009F0283">
        <w:rPr>
          <w:rFonts w:ascii="Times New Roman" w:hAnsi="Times New Roman" w:cs="Times New Roman"/>
          <w:i/>
          <w:iCs/>
          <w:sz w:val="24"/>
        </w:rPr>
        <w:t>Visual Cognition</w:t>
      </w:r>
      <w:r w:rsidRPr="009F0283">
        <w:rPr>
          <w:rFonts w:ascii="Times New Roman" w:hAnsi="Times New Roman" w:cs="Times New Roman"/>
          <w:sz w:val="24"/>
        </w:rPr>
        <w:t xml:space="preserve">, </w:t>
      </w:r>
      <w:r w:rsidRPr="009F0283">
        <w:rPr>
          <w:rFonts w:ascii="Times New Roman" w:hAnsi="Times New Roman" w:cs="Times New Roman"/>
          <w:i/>
          <w:iCs/>
          <w:sz w:val="24"/>
        </w:rPr>
        <w:t>25</w:t>
      </w:r>
      <w:r w:rsidRPr="009F0283">
        <w:rPr>
          <w:rFonts w:ascii="Times New Roman" w:hAnsi="Times New Roman" w:cs="Times New Roman"/>
          <w:sz w:val="24"/>
        </w:rPr>
        <w:t>(1–3), 241–261. https://doi.org/10.1080/13506285.2017.1333182</w:t>
      </w:r>
    </w:p>
    <w:p w14:paraId="40AB27C1"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Cane, J., Sharma, D., &amp; Albery, I. (2009). The addiction Stroop task: Examining the fast and slow effects of smoking and marijuana-related cues. </w:t>
      </w:r>
      <w:r w:rsidRPr="009F0283">
        <w:rPr>
          <w:rFonts w:ascii="Times New Roman" w:hAnsi="Times New Roman" w:cs="Times New Roman"/>
          <w:i/>
          <w:iCs/>
          <w:sz w:val="24"/>
        </w:rPr>
        <w:t>Journal of Psychopharmacology</w:t>
      </w:r>
      <w:r w:rsidRPr="009F0283">
        <w:rPr>
          <w:rFonts w:ascii="Times New Roman" w:hAnsi="Times New Roman" w:cs="Times New Roman"/>
          <w:sz w:val="24"/>
        </w:rPr>
        <w:t xml:space="preserve">, </w:t>
      </w:r>
      <w:r w:rsidRPr="009F0283">
        <w:rPr>
          <w:rFonts w:ascii="Times New Roman" w:hAnsi="Times New Roman" w:cs="Times New Roman"/>
          <w:i/>
          <w:iCs/>
          <w:sz w:val="24"/>
        </w:rPr>
        <w:t>23</w:t>
      </w:r>
      <w:r w:rsidRPr="009F0283">
        <w:rPr>
          <w:rFonts w:ascii="Times New Roman" w:hAnsi="Times New Roman" w:cs="Times New Roman"/>
          <w:sz w:val="24"/>
        </w:rPr>
        <w:t>(5), 510–519. https://doi.org/10.1177/0269881108091253</w:t>
      </w:r>
    </w:p>
    <w:p w14:paraId="65A63EBE" w14:textId="77777777" w:rsidR="009F0283" w:rsidRPr="009F0283" w:rsidRDefault="009F0283" w:rsidP="00816B9D">
      <w:pPr>
        <w:pStyle w:val="Bibliography"/>
        <w:spacing w:line="240" w:lineRule="auto"/>
        <w:contextualSpacing/>
        <w:rPr>
          <w:rFonts w:ascii="Times New Roman" w:hAnsi="Times New Roman" w:cs="Times New Roman"/>
          <w:sz w:val="24"/>
        </w:rPr>
      </w:pPr>
      <w:proofErr w:type="spellStart"/>
      <w:r w:rsidRPr="009F0283">
        <w:rPr>
          <w:rFonts w:ascii="Times New Roman" w:hAnsi="Times New Roman" w:cs="Times New Roman"/>
          <w:sz w:val="24"/>
        </w:rPr>
        <w:t>Carretié</w:t>
      </w:r>
      <w:proofErr w:type="spellEnd"/>
      <w:r w:rsidRPr="009F0283">
        <w:rPr>
          <w:rFonts w:ascii="Times New Roman" w:hAnsi="Times New Roman" w:cs="Times New Roman"/>
          <w:sz w:val="24"/>
        </w:rPr>
        <w:t xml:space="preserve">, L. (2014). Exogenous (automatic) attention to emotional stimuli: A review. </w:t>
      </w:r>
      <w:r w:rsidRPr="009F0283">
        <w:rPr>
          <w:rFonts w:ascii="Times New Roman" w:hAnsi="Times New Roman" w:cs="Times New Roman"/>
          <w:i/>
          <w:iCs/>
          <w:sz w:val="24"/>
        </w:rPr>
        <w:t>Cognitive, Affective, &amp; Behavioral Neuroscience</w:t>
      </w:r>
      <w:r w:rsidRPr="009F0283">
        <w:rPr>
          <w:rFonts w:ascii="Times New Roman" w:hAnsi="Times New Roman" w:cs="Times New Roman"/>
          <w:sz w:val="24"/>
        </w:rPr>
        <w:t xml:space="preserve">, </w:t>
      </w:r>
      <w:r w:rsidRPr="009F0283">
        <w:rPr>
          <w:rFonts w:ascii="Times New Roman" w:hAnsi="Times New Roman" w:cs="Times New Roman"/>
          <w:i/>
          <w:iCs/>
          <w:sz w:val="24"/>
        </w:rPr>
        <w:t>14</w:t>
      </w:r>
      <w:r w:rsidRPr="009F0283">
        <w:rPr>
          <w:rFonts w:ascii="Times New Roman" w:hAnsi="Times New Roman" w:cs="Times New Roman"/>
          <w:sz w:val="24"/>
        </w:rPr>
        <w:t>(4), 1228–1258. https://doi.org/10.3758/s13415-014-0270-2</w:t>
      </w:r>
    </w:p>
    <w:p w14:paraId="35C1ED9E"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Clarke, S. P., Sharma, D., &amp; Salter, D. (2015). Examining fast and slow effects for alcohol and negative emotion in problem and social drinkers. </w:t>
      </w:r>
      <w:r w:rsidRPr="009F0283">
        <w:rPr>
          <w:rFonts w:ascii="Times New Roman" w:hAnsi="Times New Roman" w:cs="Times New Roman"/>
          <w:i/>
          <w:iCs/>
          <w:sz w:val="24"/>
        </w:rPr>
        <w:t>Addiction Research &amp; Theory</w:t>
      </w:r>
      <w:r w:rsidRPr="009F0283">
        <w:rPr>
          <w:rFonts w:ascii="Times New Roman" w:hAnsi="Times New Roman" w:cs="Times New Roman"/>
          <w:sz w:val="24"/>
        </w:rPr>
        <w:t xml:space="preserve">, </w:t>
      </w:r>
      <w:r w:rsidRPr="009F0283">
        <w:rPr>
          <w:rFonts w:ascii="Times New Roman" w:hAnsi="Times New Roman" w:cs="Times New Roman"/>
          <w:i/>
          <w:iCs/>
          <w:sz w:val="24"/>
        </w:rPr>
        <w:t>23</w:t>
      </w:r>
      <w:r w:rsidRPr="009F0283">
        <w:rPr>
          <w:rFonts w:ascii="Times New Roman" w:hAnsi="Times New Roman" w:cs="Times New Roman"/>
          <w:sz w:val="24"/>
        </w:rPr>
        <w:t>(1), 24–33. https://doi.org/10.3109/16066359.2014.922961</w:t>
      </w:r>
    </w:p>
    <w:p w14:paraId="6BC5A422"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Desimone, R., &amp; Duncan, J. (1995). </w:t>
      </w:r>
      <w:r w:rsidRPr="009F0283">
        <w:rPr>
          <w:rFonts w:ascii="Times New Roman" w:hAnsi="Times New Roman" w:cs="Times New Roman"/>
          <w:i/>
          <w:iCs/>
          <w:sz w:val="24"/>
        </w:rPr>
        <w:t>Neural Mechanisms of Selective Visual Attention</w:t>
      </w:r>
      <w:r w:rsidRPr="009F0283">
        <w:rPr>
          <w:rFonts w:ascii="Times New Roman" w:hAnsi="Times New Roman" w:cs="Times New Roman"/>
          <w:sz w:val="24"/>
        </w:rPr>
        <w:t>. 30.</w:t>
      </w:r>
    </w:p>
    <w:p w14:paraId="18368F1C"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Duthoo, W., Abrahamse, E. L., Braem, S., Boehler, C. N., &amp; Notebaert, W. (2014). The heterogeneous world of congruency sequence effects: An update. </w:t>
      </w:r>
      <w:r w:rsidRPr="009F0283">
        <w:rPr>
          <w:rFonts w:ascii="Times New Roman" w:hAnsi="Times New Roman" w:cs="Times New Roman"/>
          <w:i/>
          <w:iCs/>
          <w:sz w:val="24"/>
        </w:rPr>
        <w:t>Frontiers in Psychology</w:t>
      </w:r>
      <w:r w:rsidRPr="009F0283">
        <w:rPr>
          <w:rFonts w:ascii="Times New Roman" w:hAnsi="Times New Roman" w:cs="Times New Roman"/>
          <w:sz w:val="24"/>
        </w:rPr>
        <w:t xml:space="preserve">, </w:t>
      </w:r>
      <w:r w:rsidRPr="009F0283">
        <w:rPr>
          <w:rFonts w:ascii="Times New Roman" w:hAnsi="Times New Roman" w:cs="Times New Roman"/>
          <w:i/>
          <w:iCs/>
          <w:sz w:val="24"/>
        </w:rPr>
        <w:t>5</w:t>
      </w:r>
      <w:r w:rsidRPr="009F0283">
        <w:rPr>
          <w:rFonts w:ascii="Times New Roman" w:hAnsi="Times New Roman" w:cs="Times New Roman"/>
          <w:sz w:val="24"/>
        </w:rPr>
        <w:t>. https://doi.org/10.3389/fpsyg.2014.01001</w:t>
      </w:r>
    </w:p>
    <w:p w14:paraId="001CE83D"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Fox, E., Russo, R., Bowles, R., &amp; Dutton, K. (2001). Do threatening stimuli draw or hold visual attention in subclinical anxiety? </w:t>
      </w:r>
      <w:r w:rsidRPr="009F0283">
        <w:rPr>
          <w:rFonts w:ascii="Times New Roman" w:hAnsi="Times New Roman" w:cs="Times New Roman"/>
          <w:i/>
          <w:iCs/>
          <w:sz w:val="24"/>
        </w:rPr>
        <w:t>Journal of Experimental Psychology: General</w:t>
      </w:r>
      <w:r w:rsidRPr="009F0283">
        <w:rPr>
          <w:rFonts w:ascii="Times New Roman" w:hAnsi="Times New Roman" w:cs="Times New Roman"/>
          <w:sz w:val="24"/>
        </w:rPr>
        <w:t xml:space="preserve">, </w:t>
      </w:r>
      <w:r w:rsidRPr="009F0283">
        <w:rPr>
          <w:rFonts w:ascii="Times New Roman" w:hAnsi="Times New Roman" w:cs="Times New Roman"/>
          <w:i/>
          <w:iCs/>
          <w:sz w:val="24"/>
        </w:rPr>
        <w:t>130</w:t>
      </w:r>
      <w:r w:rsidRPr="009F0283">
        <w:rPr>
          <w:rFonts w:ascii="Times New Roman" w:hAnsi="Times New Roman" w:cs="Times New Roman"/>
          <w:sz w:val="24"/>
        </w:rPr>
        <w:t>(4), 681–700. https://doi.org/10.1037/0096-3445.130.4.681</w:t>
      </w:r>
    </w:p>
    <w:p w14:paraId="70060F13"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Gladwin, T. E. (2017a). Carryover effects in spatial attentional bias tasks and their relationship to subclinical PTSD symptoms. </w:t>
      </w:r>
      <w:r w:rsidRPr="009F0283">
        <w:rPr>
          <w:rFonts w:ascii="Times New Roman" w:hAnsi="Times New Roman" w:cs="Times New Roman"/>
          <w:i/>
          <w:iCs/>
          <w:sz w:val="24"/>
        </w:rPr>
        <w:t>Traumatology</w:t>
      </w:r>
      <w:r w:rsidRPr="009F0283">
        <w:rPr>
          <w:rFonts w:ascii="Times New Roman" w:hAnsi="Times New Roman" w:cs="Times New Roman"/>
          <w:sz w:val="24"/>
        </w:rPr>
        <w:t xml:space="preserve">, </w:t>
      </w:r>
      <w:r w:rsidRPr="009F0283">
        <w:rPr>
          <w:rFonts w:ascii="Times New Roman" w:hAnsi="Times New Roman" w:cs="Times New Roman"/>
          <w:i/>
          <w:iCs/>
          <w:sz w:val="24"/>
        </w:rPr>
        <w:t>23</w:t>
      </w:r>
      <w:r w:rsidRPr="009F0283">
        <w:rPr>
          <w:rFonts w:ascii="Times New Roman" w:hAnsi="Times New Roman" w:cs="Times New Roman"/>
          <w:sz w:val="24"/>
        </w:rPr>
        <w:t>(4), 303. https://doi.org/10.1037/trm0000121</w:t>
      </w:r>
    </w:p>
    <w:p w14:paraId="337D3E78"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Gladwin, T. E. (2017b). Carryover effects in spatial attentional bias tasks and their relationship to subclinical PTSD symptoms. </w:t>
      </w:r>
      <w:r w:rsidRPr="009F0283">
        <w:rPr>
          <w:rFonts w:ascii="Times New Roman" w:hAnsi="Times New Roman" w:cs="Times New Roman"/>
          <w:i/>
          <w:iCs/>
          <w:sz w:val="24"/>
        </w:rPr>
        <w:t>Traumatology</w:t>
      </w:r>
      <w:r w:rsidRPr="009F0283">
        <w:rPr>
          <w:rFonts w:ascii="Times New Roman" w:hAnsi="Times New Roman" w:cs="Times New Roman"/>
          <w:sz w:val="24"/>
        </w:rPr>
        <w:t xml:space="preserve">, </w:t>
      </w:r>
      <w:r w:rsidRPr="009F0283">
        <w:rPr>
          <w:rFonts w:ascii="Times New Roman" w:hAnsi="Times New Roman" w:cs="Times New Roman"/>
          <w:i/>
          <w:iCs/>
          <w:sz w:val="24"/>
        </w:rPr>
        <w:t>23</w:t>
      </w:r>
      <w:r w:rsidRPr="009F0283">
        <w:rPr>
          <w:rFonts w:ascii="Times New Roman" w:hAnsi="Times New Roman" w:cs="Times New Roman"/>
          <w:sz w:val="24"/>
        </w:rPr>
        <w:t>(4), 303–308. psyh. https://doi.org/10.1037/trm0000121</w:t>
      </w:r>
    </w:p>
    <w:p w14:paraId="66D25F7A"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Gladwin, T. E., &amp; Figner, B. (2019). Trial-to-trial carryover effects on spatial attentional bias. </w:t>
      </w:r>
      <w:r w:rsidRPr="009F0283">
        <w:rPr>
          <w:rFonts w:ascii="Times New Roman" w:hAnsi="Times New Roman" w:cs="Times New Roman"/>
          <w:i/>
          <w:iCs/>
          <w:sz w:val="24"/>
        </w:rPr>
        <w:t>Acta Psychologica</w:t>
      </w:r>
      <w:r w:rsidRPr="009F0283">
        <w:rPr>
          <w:rFonts w:ascii="Times New Roman" w:hAnsi="Times New Roman" w:cs="Times New Roman"/>
          <w:sz w:val="24"/>
        </w:rPr>
        <w:t xml:space="preserve">, </w:t>
      </w:r>
      <w:r w:rsidRPr="009F0283">
        <w:rPr>
          <w:rFonts w:ascii="Times New Roman" w:hAnsi="Times New Roman" w:cs="Times New Roman"/>
          <w:i/>
          <w:iCs/>
          <w:sz w:val="24"/>
        </w:rPr>
        <w:t>196</w:t>
      </w:r>
      <w:r w:rsidRPr="009F0283">
        <w:rPr>
          <w:rFonts w:ascii="Times New Roman" w:hAnsi="Times New Roman" w:cs="Times New Roman"/>
          <w:sz w:val="24"/>
        </w:rPr>
        <w:t>, 51–55. https://doi.org/10.1016/j.actpsy.2019.04.006</w:t>
      </w:r>
    </w:p>
    <w:p w14:paraId="2FA5BC04"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Gladwin, T. E., Figner, B., &amp; Vink, M. (2019). Anticipation-specific reliability and trial-to-trial carryover of anticipatory attentional bias for threat. </w:t>
      </w:r>
      <w:r w:rsidRPr="009F0283">
        <w:rPr>
          <w:rFonts w:ascii="Times New Roman" w:hAnsi="Times New Roman" w:cs="Times New Roman"/>
          <w:i/>
          <w:iCs/>
          <w:sz w:val="24"/>
        </w:rPr>
        <w:t>Journal of Cognitive Psychology</w:t>
      </w:r>
      <w:r w:rsidRPr="009F0283">
        <w:rPr>
          <w:rFonts w:ascii="Times New Roman" w:hAnsi="Times New Roman" w:cs="Times New Roman"/>
          <w:sz w:val="24"/>
        </w:rPr>
        <w:t xml:space="preserve">, </w:t>
      </w:r>
      <w:r w:rsidRPr="009F0283">
        <w:rPr>
          <w:rFonts w:ascii="Times New Roman" w:hAnsi="Times New Roman" w:cs="Times New Roman"/>
          <w:i/>
          <w:iCs/>
          <w:sz w:val="24"/>
        </w:rPr>
        <w:t>31</w:t>
      </w:r>
      <w:r w:rsidRPr="009F0283">
        <w:rPr>
          <w:rFonts w:ascii="Times New Roman" w:hAnsi="Times New Roman" w:cs="Times New Roman"/>
          <w:sz w:val="24"/>
        </w:rPr>
        <w:t>(7), 750–759. https://doi.org/10.1080/20445911.2019.1659801</w:t>
      </w:r>
    </w:p>
    <w:p w14:paraId="042AA020"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Gladwin, T. E., Jewiss, M., &amp; Vink, M. (2020). Attentional bias for negative expressions depends on previous target location: Replicable effect but unreliable measures. </w:t>
      </w:r>
      <w:r w:rsidRPr="009F0283">
        <w:rPr>
          <w:rFonts w:ascii="Times New Roman" w:hAnsi="Times New Roman" w:cs="Times New Roman"/>
          <w:i/>
          <w:iCs/>
          <w:sz w:val="24"/>
        </w:rPr>
        <w:t>Journal of Cognitive Psychology</w:t>
      </w:r>
      <w:r w:rsidRPr="009F0283">
        <w:rPr>
          <w:rFonts w:ascii="Times New Roman" w:hAnsi="Times New Roman" w:cs="Times New Roman"/>
          <w:sz w:val="24"/>
        </w:rPr>
        <w:t>, 1–11. https://doi.org/10.1080/20445911.2020.1805453</w:t>
      </w:r>
    </w:p>
    <w:p w14:paraId="724DA7B7"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Gur, R. C., Sara, R., Hagendoorn, M., Marom, O., Hughett, P., Macy, L., Turner, T., Bajcsy, R., Posner, A., &amp; Gur, R. E. (2002). A method for obtaining 3-dimensional facial expressions and its standardization for use in neurocognitive studies. </w:t>
      </w:r>
      <w:r w:rsidRPr="009F0283">
        <w:rPr>
          <w:rFonts w:ascii="Times New Roman" w:hAnsi="Times New Roman" w:cs="Times New Roman"/>
          <w:i/>
          <w:iCs/>
          <w:sz w:val="24"/>
        </w:rPr>
        <w:t>Journal of Neuroscience Methods</w:t>
      </w:r>
      <w:r w:rsidRPr="009F0283">
        <w:rPr>
          <w:rFonts w:ascii="Times New Roman" w:hAnsi="Times New Roman" w:cs="Times New Roman"/>
          <w:sz w:val="24"/>
        </w:rPr>
        <w:t xml:space="preserve">, </w:t>
      </w:r>
      <w:r w:rsidRPr="009F0283">
        <w:rPr>
          <w:rFonts w:ascii="Times New Roman" w:hAnsi="Times New Roman" w:cs="Times New Roman"/>
          <w:i/>
          <w:iCs/>
          <w:sz w:val="24"/>
        </w:rPr>
        <w:t>115</w:t>
      </w:r>
      <w:r w:rsidRPr="009F0283">
        <w:rPr>
          <w:rFonts w:ascii="Times New Roman" w:hAnsi="Times New Roman" w:cs="Times New Roman"/>
          <w:sz w:val="24"/>
        </w:rPr>
        <w:t>(2), 137–143. https://doi.org/10.1016/S0165-0270(02)00006-7</w:t>
      </w:r>
    </w:p>
    <w:p w14:paraId="28280B3F"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Hedge, C., Powell, G., &amp; Sumner, P. (2018). The reliability paradox: Why robust cognitive tasks do not produce reliable individual differences. </w:t>
      </w:r>
      <w:r w:rsidRPr="009F0283">
        <w:rPr>
          <w:rFonts w:ascii="Times New Roman" w:hAnsi="Times New Roman" w:cs="Times New Roman"/>
          <w:i/>
          <w:iCs/>
          <w:sz w:val="24"/>
        </w:rPr>
        <w:t>Behavior Research Methods</w:t>
      </w:r>
      <w:r w:rsidRPr="009F0283">
        <w:rPr>
          <w:rFonts w:ascii="Times New Roman" w:hAnsi="Times New Roman" w:cs="Times New Roman"/>
          <w:sz w:val="24"/>
        </w:rPr>
        <w:t xml:space="preserve">, </w:t>
      </w:r>
      <w:r w:rsidRPr="009F0283">
        <w:rPr>
          <w:rFonts w:ascii="Times New Roman" w:hAnsi="Times New Roman" w:cs="Times New Roman"/>
          <w:i/>
          <w:iCs/>
          <w:sz w:val="24"/>
        </w:rPr>
        <w:t>50</w:t>
      </w:r>
      <w:r w:rsidRPr="009F0283">
        <w:rPr>
          <w:rFonts w:ascii="Times New Roman" w:hAnsi="Times New Roman" w:cs="Times New Roman"/>
          <w:sz w:val="24"/>
        </w:rPr>
        <w:t>(3), 1166–1186. https://doi.org/10.3758/s13428-017-0935-1</w:t>
      </w:r>
    </w:p>
    <w:p w14:paraId="23443BCB"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lastRenderedPageBreak/>
        <w:t xml:space="preserve">Hill, M., &amp; Duval, E. (2016). </w:t>
      </w:r>
      <w:r w:rsidRPr="009F0283">
        <w:rPr>
          <w:rFonts w:ascii="Times New Roman" w:hAnsi="Times New Roman" w:cs="Times New Roman"/>
          <w:i/>
          <w:iCs/>
          <w:sz w:val="24"/>
        </w:rPr>
        <w:t>Exploring Carry-Over Effects to Elucidate Attention Bias Modification’s Mixed Results</w:t>
      </w:r>
      <w:r w:rsidRPr="009F0283">
        <w:rPr>
          <w:rFonts w:ascii="Times New Roman" w:hAnsi="Times New Roman" w:cs="Times New Roman"/>
          <w:sz w:val="24"/>
        </w:rPr>
        <w:t>. Journal of Young Investigators. https://doi.org/10.22186/jyi.31.3.9-14</w:t>
      </w:r>
    </w:p>
    <w:p w14:paraId="0BB68E4D"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Ho, J., Tumkaya, T., Aryal, S., Choi, H., &amp; Claridge-Chang, A. (2019). Moving beyond P values: Data analysis with estimation graphics. </w:t>
      </w:r>
      <w:r w:rsidRPr="009F0283">
        <w:rPr>
          <w:rFonts w:ascii="Times New Roman" w:hAnsi="Times New Roman" w:cs="Times New Roman"/>
          <w:i/>
          <w:iCs/>
          <w:sz w:val="24"/>
        </w:rPr>
        <w:t>Nature Methods</w:t>
      </w:r>
      <w:r w:rsidRPr="009F0283">
        <w:rPr>
          <w:rFonts w:ascii="Times New Roman" w:hAnsi="Times New Roman" w:cs="Times New Roman"/>
          <w:sz w:val="24"/>
        </w:rPr>
        <w:t xml:space="preserve">, </w:t>
      </w:r>
      <w:r w:rsidRPr="009F0283">
        <w:rPr>
          <w:rFonts w:ascii="Times New Roman" w:hAnsi="Times New Roman" w:cs="Times New Roman"/>
          <w:i/>
          <w:iCs/>
          <w:sz w:val="24"/>
        </w:rPr>
        <w:t>16</w:t>
      </w:r>
      <w:r w:rsidRPr="009F0283">
        <w:rPr>
          <w:rFonts w:ascii="Times New Roman" w:hAnsi="Times New Roman" w:cs="Times New Roman"/>
          <w:sz w:val="24"/>
        </w:rPr>
        <w:t>(7), 565–566. https://doi.org/10.1038/s41592-019-0470-3</w:t>
      </w:r>
    </w:p>
    <w:p w14:paraId="757DD23F"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Imhoff, R., Lange, J., &amp; Germar, M. (2019). Identification and location tasks rely on different mental processes: A diffusion model account of validity effects in spatial cueing paradigms with emotional stimuli. </w:t>
      </w:r>
      <w:r w:rsidRPr="009F0283">
        <w:rPr>
          <w:rFonts w:ascii="Times New Roman" w:hAnsi="Times New Roman" w:cs="Times New Roman"/>
          <w:i/>
          <w:iCs/>
          <w:sz w:val="24"/>
        </w:rPr>
        <w:t>Cognition and Emotion</w:t>
      </w:r>
      <w:r w:rsidRPr="009F0283">
        <w:rPr>
          <w:rFonts w:ascii="Times New Roman" w:hAnsi="Times New Roman" w:cs="Times New Roman"/>
          <w:sz w:val="24"/>
        </w:rPr>
        <w:t xml:space="preserve">, </w:t>
      </w:r>
      <w:r w:rsidRPr="009F0283">
        <w:rPr>
          <w:rFonts w:ascii="Times New Roman" w:hAnsi="Times New Roman" w:cs="Times New Roman"/>
          <w:i/>
          <w:iCs/>
          <w:sz w:val="24"/>
        </w:rPr>
        <w:t>33</w:t>
      </w:r>
      <w:r w:rsidRPr="009F0283">
        <w:rPr>
          <w:rFonts w:ascii="Times New Roman" w:hAnsi="Times New Roman" w:cs="Times New Roman"/>
          <w:sz w:val="24"/>
        </w:rPr>
        <w:t>(2), 231–244. https://doi.org/10.1080/02699931.2018.1443433</w:t>
      </w:r>
    </w:p>
    <w:p w14:paraId="76F7B684"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Kruijt, A.-W., Field, A. P., &amp; Fox, E. (2016). Capturing Dynamics of Biased Attention: Are New Attention Variability Measures the Way Forward? </w:t>
      </w:r>
      <w:r w:rsidRPr="009F0283">
        <w:rPr>
          <w:rFonts w:ascii="Times New Roman" w:hAnsi="Times New Roman" w:cs="Times New Roman"/>
          <w:i/>
          <w:iCs/>
          <w:sz w:val="24"/>
        </w:rPr>
        <w:t>PLOS ONE</w:t>
      </w:r>
      <w:r w:rsidRPr="009F0283">
        <w:rPr>
          <w:rFonts w:ascii="Times New Roman" w:hAnsi="Times New Roman" w:cs="Times New Roman"/>
          <w:sz w:val="24"/>
        </w:rPr>
        <w:t xml:space="preserve">, </w:t>
      </w:r>
      <w:r w:rsidRPr="009F0283">
        <w:rPr>
          <w:rFonts w:ascii="Times New Roman" w:hAnsi="Times New Roman" w:cs="Times New Roman"/>
          <w:i/>
          <w:iCs/>
          <w:sz w:val="24"/>
        </w:rPr>
        <w:t>11</w:t>
      </w:r>
      <w:r w:rsidRPr="009F0283">
        <w:rPr>
          <w:rFonts w:ascii="Times New Roman" w:hAnsi="Times New Roman" w:cs="Times New Roman"/>
          <w:sz w:val="24"/>
        </w:rPr>
        <w:t>(11), e0166600. https://doi.org/10.1371/journal.pone.0166600</w:t>
      </w:r>
    </w:p>
    <w:p w14:paraId="1821DB12"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Kruijt, A.-W., Parsons, S., &amp; Fox, E. (2018). A Meta-Analysis of Bias at Baseline in RCTs of Attention Bias Modification: No Evidence for Dot-Probe Bias Towards Threat in Clinical Anxiety and PTSD. </w:t>
      </w:r>
      <w:r w:rsidRPr="009F0283">
        <w:rPr>
          <w:rFonts w:ascii="Times New Roman" w:hAnsi="Times New Roman" w:cs="Times New Roman"/>
          <w:i/>
          <w:iCs/>
          <w:sz w:val="24"/>
        </w:rPr>
        <w:t>Journal of Abnormal Psychology</w:t>
      </w:r>
      <w:r w:rsidRPr="009F0283">
        <w:rPr>
          <w:rFonts w:ascii="Times New Roman" w:hAnsi="Times New Roman" w:cs="Times New Roman"/>
          <w:sz w:val="24"/>
        </w:rPr>
        <w:t>, 11.</w:t>
      </w:r>
    </w:p>
    <w:p w14:paraId="65DDF16B"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Lang, P. (2008). International affective picture system (IAPS): Affective ratings of pictures and instruction manual. </w:t>
      </w:r>
      <w:r w:rsidRPr="009F0283">
        <w:rPr>
          <w:rFonts w:ascii="Times New Roman" w:hAnsi="Times New Roman" w:cs="Times New Roman"/>
          <w:i/>
          <w:iCs/>
          <w:sz w:val="24"/>
        </w:rPr>
        <w:t>Technical Report</w:t>
      </w:r>
      <w:r w:rsidRPr="009F0283">
        <w:rPr>
          <w:rFonts w:ascii="Times New Roman" w:hAnsi="Times New Roman" w:cs="Times New Roman"/>
          <w:sz w:val="24"/>
        </w:rPr>
        <w:t>. https://ci.nii.ac.jp/naid/20001061266/</w:t>
      </w:r>
    </w:p>
    <w:p w14:paraId="0E837256"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Lundqvist, Flykt, A., &amp; Ohman, A. (1998). </w:t>
      </w:r>
      <w:r w:rsidRPr="009F0283">
        <w:rPr>
          <w:rFonts w:ascii="Times New Roman" w:hAnsi="Times New Roman" w:cs="Times New Roman"/>
          <w:i/>
          <w:iCs/>
          <w:sz w:val="24"/>
        </w:rPr>
        <w:t>The Karolinska Directed Emotional Faces (KDEF)</w:t>
      </w:r>
      <w:r w:rsidRPr="009F0283">
        <w:rPr>
          <w:rFonts w:ascii="Times New Roman" w:hAnsi="Times New Roman" w:cs="Times New Roman"/>
          <w:sz w:val="24"/>
        </w:rPr>
        <w:t>. Stockholm : Department of Neurosciences Karolinska Hospital.</w:t>
      </w:r>
    </w:p>
    <w:p w14:paraId="63C60643"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MacLeod, C., Mathews, A., &amp; Tata, P. (1986). Attentional bias in emotional disorders. </w:t>
      </w:r>
      <w:r w:rsidRPr="009F0283">
        <w:rPr>
          <w:rFonts w:ascii="Times New Roman" w:hAnsi="Times New Roman" w:cs="Times New Roman"/>
          <w:i/>
          <w:iCs/>
          <w:sz w:val="24"/>
        </w:rPr>
        <w:t>Journal of Abnormal Psychology</w:t>
      </w:r>
      <w:r w:rsidRPr="009F0283">
        <w:rPr>
          <w:rFonts w:ascii="Times New Roman" w:hAnsi="Times New Roman" w:cs="Times New Roman"/>
          <w:sz w:val="24"/>
        </w:rPr>
        <w:t xml:space="preserve">, </w:t>
      </w:r>
      <w:r w:rsidRPr="009F0283">
        <w:rPr>
          <w:rFonts w:ascii="Times New Roman" w:hAnsi="Times New Roman" w:cs="Times New Roman"/>
          <w:i/>
          <w:iCs/>
          <w:sz w:val="24"/>
        </w:rPr>
        <w:t>95</w:t>
      </w:r>
      <w:r w:rsidRPr="009F0283">
        <w:rPr>
          <w:rFonts w:ascii="Times New Roman" w:hAnsi="Times New Roman" w:cs="Times New Roman"/>
          <w:sz w:val="24"/>
        </w:rPr>
        <w:t>(1), 15–20. https://doi.org/10.1037/0021-843X.95.1.15</w:t>
      </w:r>
    </w:p>
    <w:p w14:paraId="3EEB1AF2"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Mogg, K., &amp; Bradley, B. P. (1998). A cognitive-motivational analysis of anxiety. </w:t>
      </w:r>
      <w:r w:rsidRPr="009F0283">
        <w:rPr>
          <w:rFonts w:ascii="Times New Roman" w:hAnsi="Times New Roman" w:cs="Times New Roman"/>
          <w:i/>
          <w:iCs/>
          <w:sz w:val="24"/>
        </w:rPr>
        <w:t>Behaviour Research and Therapy</w:t>
      </w:r>
      <w:r w:rsidRPr="009F0283">
        <w:rPr>
          <w:rFonts w:ascii="Times New Roman" w:hAnsi="Times New Roman" w:cs="Times New Roman"/>
          <w:sz w:val="24"/>
        </w:rPr>
        <w:t xml:space="preserve">, </w:t>
      </w:r>
      <w:r w:rsidRPr="009F0283">
        <w:rPr>
          <w:rFonts w:ascii="Times New Roman" w:hAnsi="Times New Roman" w:cs="Times New Roman"/>
          <w:i/>
          <w:iCs/>
          <w:sz w:val="24"/>
        </w:rPr>
        <w:t>36</w:t>
      </w:r>
      <w:r w:rsidRPr="009F0283">
        <w:rPr>
          <w:rFonts w:ascii="Times New Roman" w:hAnsi="Times New Roman" w:cs="Times New Roman"/>
          <w:sz w:val="24"/>
        </w:rPr>
        <w:t>(9), 809–848. https://doi.org/10.1016/S0005-7967(98)00063-1</w:t>
      </w:r>
    </w:p>
    <w:p w14:paraId="5C759140"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Mogg, K., Waters, A. M., &amp; Bradley, B. P. (2017). Attention Bias Modification (ABM): Review of Effects of Multisession ABM Training on Anxiety and Threat-Related Attention in High-Anxious Individuals. </w:t>
      </w:r>
      <w:r w:rsidRPr="009F0283">
        <w:rPr>
          <w:rFonts w:ascii="Times New Roman" w:hAnsi="Times New Roman" w:cs="Times New Roman"/>
          <w:i/>
          <w:iCs/>
          <w:sz w:val="24"/>
        </w:rPr>
        <w:t>Clinical Psychological Science</w:t>
      </w:r>
      <w:r w:rsidRPr="009F0283">
        <w:rPr>
          <w:rFonts w:ascii="Times New Roman" w:hAnsi="Times New Roman" w:cs="Times New Roman"/>
          <w:sz w:val="24"/>
        </w:rPr>
        <w:t xml:space="preserve">, </w:t>
      </w:r>
      <w:r w:rsidRPr="009F0283">
        <w:rPr>
          <w:rFonts w:ascii="Times New Roman" w:hAnsi="Times New Roman" w:cs="Times New Roman"/>
          <w:i/>
          <w:iCs/>
          <w:sz w:val="24"/>
        </w:rPr>
        <w:t>5</w:t>
      </w:r>
      <w:r w:rsidRPr="009F0283">
        <w:rPr>
          <w:rFonts w:ascii="Times New Roman" w:hAnsi="Times New Roman" w:cs="Times New Roman"/>
          <w:sz w:val="24"/>
        </w:rPr>
        <w:t>(4), 698–717. https://doi.org/10.1177/2167702617696359</w:t>
      </w:r>
    </w:p>
    <w:p w14:paraId="25522E33"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Panksepp, J., &amp; Watt, D. (2011). What is Basic about Basic Emotions? Lasting Lessons from Affective Neuroscience. </w:t>
      </w:r>
      <w:r w:rsidRPr="009F0283">
        <w:rPr>
          <w:rFonts w:ascii="Times New Roman" w:hAnsi="Times New Roman" w:cs="Times New Roman"/>
          <w:i/>
          <w:iCs/>
          <w:sz w:val="24"/>
        </w:rPr>
        <w:t>Emotion Review</w:t>
      </w:r>
      <w:r w:rsidRPr="009F0283">
        <w:rPr>
          <w:rFonts w:ascii="Times New Roman" w:hAnsi="Times New Roman" w:cs="Times New Roman"/>
          <w:sz w:val="24"/>
        </w:rPr>
        <w:t xml:space="preserve">, </w:t>
      </w:r>
      <w:r w:rsidRPr="009F0283">
        <w:rPr>
          <w:rFonts w:ascii="Times New Roman" w:hAnsi="Times New Roman" w:cs="Times New Roman"/>
          <w:i/>
          <w:iCs/>
          <w:sz w:val="24"/>
        </w:rPr>
        <w:t>3</w:t>
      </w:r>
      <w:r w:rsidRPr="009F0283">
        <w:rPr>
          <w:rFonts w:ascii="Times New Roman" w:hAnsi="Times New Roman" w:cs="Times New Roman"/>
          <w:sz w:val="24"/>
        </w:rPr>
        <w:t>(4), 387–396. https://doi.org/10.1177/1754073911410741</w:t>
      </w:r>
    </w:p>
    <w:p w14:paraId="5CC32E39"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Schmukle, S. C. (2005). Unreliability of the dot probe task. </w:t>
      </w:r>
      <w:r w:rsidRPr="009F0283">
        <w:rPr>
          <w:rFonts w:ascii="Times New Roman" w:hAnsi="Times New Roman" w:cs="Times New Roman"/>
          <w:i/>
          <w:iCs/>
          <w:sz w:val="24"/>
        </w:rPr>
        <w:t>European Journal of Personality</w:t>
      </w:r>
      <w:r w:rsidRPr="009F0283">
        <w:rPr>
          <w:rFonts w:ascii="Times New Roman" w:hAnsi="Times New Roman" w:cs="Times New Roman"/>
          <w:sz w:val="24"/>
        </w:rPr>
        <w:t xml:space="preserve">, </w:t>
      </w:r>
      <w:r w:rsidRPr="009F0283">
        <w:rPr>
          <w:rFonts w:ascii="Times New Roman" w:hAnsi="Times New Roman" w:cs="Times New Roman"/>
          <w:i/>
          <w:iCs/>
          <w:sz w:val="24"/>
        </w:rPr>
        <w:t>19</w:t>
      </w:r>
      <w:r w:rsidRPr="009F0283">
        <w:rPr>
          <w:rFonts w:ascii="Times New Roman" w:hAnsi="Times New Roman" w:cs="Times New Roman"/>
          <w:sz w:val="24"/>
        </w:rPr>
        <w:t>(7), 595–605. https://doi.org/10.1002/per.554</w:t>
      </w:r>
    </w:p>
    <w:p w14:paraId="46D1166D"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Schubö, A., Gendolla, G. H. E., Meinecke, C., &amp; Abele, A. E. (2006). Detecting emotional faces and features in a visual search paradigm: Are faces special? </w:t>
      </w:r>
      <w:r w:rsidRPr="009F0283">
        <w:rPr>
          <w:rFonts w:ascii="Times New Roman" w:hAnsi="Times New Roman" w:cs="Times New Roman"/>
          <w:i/>
          <w:iCs/>
          <w:sz w:val="24"/>
        </w:rPr>
        <w:t>Emotion</w:t>
      </w:r>
      <w:r w:rsidRPr="009F0283">
        <w:rPr>
          <w:rFonts w:ascii="Times New Roman" w:hAnsi="Times New Roman" w:cs="Times New Roman"/>
          <w:sz w:val="24"/>
        </w:rPr>
        <w:t xml:space="preserve">, </w:t>
      </w:r>
      <w:r w:rsidRPr="009F0283">
        <w:rPr>
          <w:rFonts w:ascii="Times New Roman" w:hAnsi="Times New Roman" w:cs="Times New Roman"/>
          <w:i/>
          <w:iCs/>
          <w:sz w:val="24"/>
        </w:rPr>
        <w:t>6</w:t>
      </w:r>
      <w:r w:rsidRPr="009F0283">
        <w:rPr>
          <w:rFonts w:ascii="Times New Roman" w:hAnsi="Times New Roman" w:cs="Times New Roman"/>
          <w:sz w:val="24"/>
        </w:rPr>
        <w:t>(2), 246–256. https://doi.org/10.1037/1528-3542.6.2.246</w:t>
      </w:r>
    </w:p>
    <w:p w14:paraId="5E5625A5"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Staugaard, S. R. (2009). Reliability of two versions of the dot-probe task using photographic faces. </w:t>
      </w:r>
      <w:r w:rsidRPr="009F0283">
        <w:rPr>
          <w:rFonts w:ascii="Times New Roman" w:hAnsi="Times New Roman" w:cs="Times New Roman"/>
          <w:i/>
          <w:iCs/>
          <w:sz w:val="24"/>
        </w:rPr>
        <w:t>Psychological Science Quarterly</w:t>
      </w:r>
      <w:r w:rsidRPr="009F0283">
        <w:rPr>
          <w:rFonts w:ascii="Times New Roman" w:hAnsi="Times New Roman" w:cs="Times New Roman"/>
          <w:sz w:val="24"/>
        </w:rPr>
        <w:t xml:space="preserve">, </w:t>
      </w:r>
      <w:r w:rsidRPr="009F0283">
        <w:rPr>
          <w:rFonts w:ascii="Times New Roman" w:hAnsi="Times New Roman" w:cs="Times New Roman"/>
          <w:i/>
          <w:iCs/>
          <w:sz w:val="24"/>
        </w:rPr>
        <w:t>51</w:t>
      </w:r>
      <w:r w:rsidRPr="009F0283">
        <w:rPr>
          <w:rFonts w:ascii="Times New Roman" w:hAnsi="Times New Roman" w:cs="Times New Roman"/>
          <w:sz w:val="24"/>
        </w:rPr>
        <w:t>(3), 339–350.</w:t>
      </w:r>
    </w:p>
    <w:p w14:paraId="29EF00D0"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Waters, A. J., Sayette, M. A., Franken, I. H. A., &amp; Schwartz, J. E. (2005). Generalizability of carry-over effects in the emotional Stroop task. </w:t>
      </w:r>
      <w:r w:rsidRPr="009F0283">
        <w:rPr>
          <w:rFonts w:ascii="Times New Roman" w:hAnsi="Times New Roman" w:cs="Times New Roman"/>
          <w:i/>
          <w:iCs/>
          <w:sz w:val="24"/>
        </w:rPr>
        <w:t>Behaviour Research and Therapy</w:t>
      </w:r>
      <w:r w:rsidRPr="009F0283">
        <w:rPr>
          <w:rFonts w:ascii="Times New Roman" w:hAnsi="Times New Roman" w:cs="Times New Roman"/>
          <w:sz w:val="24"/>
        </w:rPr>
        <w:t xml:space="preserve">, </w:t>
      </w:r>
      <w:r w:rsidRPr="009F0283">
        <w:rPr>
          <w:rFonts w:ascii="Times New Roman" w:hAnsi="Times New Roman" w:cs="Times New Roman"/>
          <w:i/>
          <w:iCs/>
          <w:sz w:val="24"/>
        </w:rPr>
        <w:t>43</w:t>
      </w:r>
      <w:r w:rsidRPr="009F0283">
        <w:rPr>
          <w:rFonts w:ascii="Times New Roman" w:hAnsi="Times New Roman" w:cs="Times New Roman"/>
          <w:sz w:val="24"/>
        </w:rPr>
        <w:t>(6), 715–732. https://doi.org/10.1016/j.brat.2004.06.003</w:t>
      </w:r>
    </w:p>
    <w:p w14:paraId="50FEE52F"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t xml:space="preserve">Wilson, S. J., Sayette, M. A., Fiez, J. A., &amp; Brough, E. (2007). Carry-over effects of smoking cue exposure on working memory performance. </w:t>
      </w:r>
      <w:r w:rsidRPr="009F0283">
        <w:rPr>
          <w:rFonts w:ascii="Times New Roman" w:hAnsi="Times New Roman" w:cs="Times New Roman"/>
          <w:i/>
          <w:iCs/>
          <w:sz w:val="24"/>
        </w:rPr>
        <w:t>Nicotine &amp; Tobacco Research</w:t>
      </w:r>
      <w:r w:rsidRPr="009F0283">
        <w:rPr>
          <w:rFonts w:ascii="Times New Roman" w:hAnsi="Times New Roman" w:cs="Times New Roman"/>
          <w:sz w:val="24"/>
        </w:rPr>
        <w:t xml:space="preserve">, </w:t>
      </w:r>
      <w:r w:rsidRPr="009F0283">
        <w:rPr>
          <w:rFonts w:ascii="Times New Roman" w:hAnsi="Times New Roman" w:cs="Times New Roman"/>
          <w:i/>
          <w:iCs/>
          <w:sz w:val="24"/>
        </w:rPr>
        <w:t>9</w:t>
      </w:r>
      <w:r w:rsidRPr="009F0283">
        <w:rPr>
          <w:rFonts w:ascii="Times New Roman" w:hAnsi="Times New Roman" w:cs="Times New Roman"/>
          <w:sz w:val="24"/>
        </w:rPr>
        <w:t>(5), 613–619. https://doi.org/10.1080/14622200701243144</w:t>
      </w:r>
    </w:p>
    <w:p w14:paraId="5DAB09B3" w14:textId="77777777" w:rsidR="009F0283" w:rsidRPr="009F0283" w:rsidRDefault="009F0283" w:rsidP="00816B9D">
      <w:pPr>
        <w:pStyle w:val="Bibliography"/>
        <w:spacing w:line="240" w:lineRule="auto"/>
        <w:contextualSpacing/>
        <w:rPr>
          <w:rFonts w:ascii="Times New Roman" w:hAnsi="Times New Roman" w:cs="Times New Roman"/>
          <w:sz w:val="24"/>
        </w:rPr>
      </w:pPr>
      <w:r w:rsidRPr="009F0283">
        <w:rPr>
          <w:rFonts w:ascii="Times New Roman" w:hAnsi="Times New Roman" w:cs="Times New Roman"/>
          <w:sz w:val="24"/>
        </w:rPr>
        <w:lastRenderedPageBreak/>
        <w:t xml:space="preserve">Zvielli, A., Bernstein, A., &amp; Koster, E. H. W. (2015). Temporal Dynamics of Attentional Bias. </w:t>
      </w:r>
      <w:r w:rsidRPr="009F0283">
        <w:rPr>
          <w:rFonts w:ascii="Times New Roman" w:hAnsi="Times New Roman" w:cs="Times New Roman"/>
          <w:i/>
          <w:iCs/>
          <w:sz w:val="24"/>
        </w:rPr>
        <w:t>Clinical Psychological Science</w:t>
      </w:r>
      <w:r w:rsidRPr="009F0283">
        <w:rPr>
          <w:rFonts w:ascii="Times New Roman" w:hAnsi="Times New Roman" w:cs="Times New Roman"/>
          <w:sz w:val="24"/>
        </w:rPr>
        <w:t xml:space="preserve">, </w:t>
      </w:r>
      <w:r w:rsidRPr="009F0283">
        <w:rPr>
          <w:rFonts w:ascii="Times New Roman" w:hAnsi="Times New Roman" w:cs="Times New Roman"/>
          <w:i/>
          <w:iCs/>
          <w:sz w:val="24"/>
        </w:rPr>
        <w:t>3</w:t>
      </w:r>
      <w:r w:rsidRPr="009F0283">
        <w:rPr>
          <w:rFonts w:ascii="Times New Roman" w:hAnsi="Times New Roman" w:cs="Times New Roman"/>
          <w:sz w:val="24"/>
        </w:rPr>
        <w:t>(5), 772–788. https://doi.org/10.1177/2167702614551572</w:t>
      </w:r>
    </w:p>
    <w:p w14:paraId="309678E0" w14:textId="6517176C" w:rsidR="00837AB8" w:rsidRPr="00093979" w:rsidRDefault="0013608A" w:rsidP="00816B9D">
      <w:pPr>
        <w:spacing w:line="240" w:lineRule="auto"/>
        <w:contextualSpacing/>
        <w:jc w:val="center"/>
        <w:rPr>
          <w:rFonts w:ascii="Times New Roman" w:hAnsi="Times New Roman" w:cs="Times New Roman"/>
          <w:b/>
          <w:bCs/>
          <w:sz w:val="24"/>
          <w:szCs w:val="24"/>
        </w:rPr>
      </w:pPr>
      <w:r w:rsidRPr="00093979">
        <w:rPr>
          <w:rFonts w:ascii="Times New Roman" w:hAnsi="Times New Roman" w:cs="Times New Roman"/>
          <w:b/>
          <w:bCs/>
          <w:sz w:val="24"/>
          <w:szCs w:val="24"/>
        </w:rPr>
        <w:fldChar w:fldCharType="end"/>
      </w:r>
    </w:p>
    <w:sectPr w:rsidR="00837AB8" w:rsidRPr="00093979" w:rsidSect="00330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67B58" w14:textId="77777777" w:rsidR="006F504D" w:rsidRDefault="006F504D" w:rsidP="00BC66BA">
      <w:pPr>
        <w:spacing w:after="0" w:line="240" w:lineRule="auto"/>
      </w:pPr>
      <w:r>
        <w:separator/>
      </w:r>
    </w:p>
  </w:endnote>
  <w:endnote w:type="continuationSeparator" w:id="0">
    <w:p w14:paraId="13E600C7" w14:textId="77777777" w:rsidR="006F504D" w:rsidRDefault="006F504D" w:rsidP="00BC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AC655" w14:textId="77777777" w:rsidR="006F504D" w:rsidRDefault="006F504D" w:rsidP="00BC66BA">
      <w:pPr>
        <w:spacing w:after="0" w:line="240" w:lineRule="auto"/>
      </w:pPr>
      <w:r>
        <w:separator/>
      </w:r>
    </w:p>
  </w:footnote>
  <w:footnote w:type="continuationSeparator" w:id="0">
    <w:p w14:paraId="661A38A6" w14:textId="77777777" w:rsidR="006F504D" w:rsidRDefault="006F504D" w:rsidP="00BC6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5D1A"/>
    <w:multiLevelType w:val="hybridMultilevel"/>
    <w:tmpl w:val="CBDAE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16DBB"/>
    <w:multiLevelType w:val="hybridMultilevel"/>
    <w:tmpl w:val="BC94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24B51"/>
    <w:multiLevelType w:val="hybridMultilevel"/>
    <w:tmpl w:val="720A5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B43DD"/>
    <w:multiLevelType w:val="hybridMultilevel"/>
    <w:tmpl w:val="8172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522BB"/>
    <w:multiLevelType w:val="hybridMultilevel"/>
    <w:tmpl w:val="6324E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B82C1D"/>
    <w:multiLevelType w:val="multilevel"/>
    <w:tmpl w:val="42E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584099"/>
    <w:multiLevelType w:val="hybridMultilevel"/>
    <w:tmpl w:val="D17A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F252E"/>
    <w:multiLevelType w:val="hybridMultilevel"/>
    <w:tmpl w:val="397A7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D2E51"/>
    <w:multiLevelType w:val="hybridMultilevel"/>
    <w:tmpl w:val="45CE3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6326E6"/>
    <w:multiLevelType w:val="hybridMultilevel"/>
    <w:tmpl w:val="1AD2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E65456"/>
    <w:multiLevelType w:val="multilevel"/>
    <w:tmpl w:val="42E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8"/>
  </w:num>
  <w:num w:numId="5">
    <w:abstractNumId w:val="7"/>
  </w:num>
  <w:num w:numId="6">
    <w:abstractNumId w:val="0"/>
  </w:num>
  <w:num w:numId="7">
    <w:abstractNumId w:val="2"/>
  </w:num>
  <w:num w:numId="8">
    <w:abstractNumId w:val="1"/>
  </w:num>
  <w:num w:numId="9">
    <w:abstractNumId w:val="10"/>
    <w:lvlOverride w:ilvl="0">
      <w:startOverride w:val="2"/>
    </w:lvlOverride>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tw9eeada0tabede5wvrts0wp5dv09wxd2d&quot;&gt;joshs ib-Converted&lt;record-ids&gt;&lt;item&gt;1094&lt;/item&gt;&lt;/record-ids&gt;&lt;/item&gt;&lt;/Libraries&gt;"/>
  </w:docVars>
  <w:rsids>
    <w:rsidRoot w:val="00CC444F"/>
    <w:rsid w:val="00000225"/>
    <w:rsid w:val="00001250"/>
    <w:rsid w:val="000017FB"/>
    <w:rsid w:val="00001EDD"/>
    <w:rsid w:val="00002718"/>
    <w:rsid w:val="00002EE5"/>
    <w:rsid w:val="00003BBD"/>
    <w:rsid w:val="00003EA2"/>
    <w:rsid w:val="00004814"/>
    <w:rsid w:val="00004E87"/>
    <w:rsid w:val="000050FA"/>
    <w:rsid w:val="00005CD4"/>
    <w:rsid w:val="00007829"/>
    <w:rsid w:val="00010A89"/>
    <w:rsid w:val="00011857"/>
    <w:rsid w:val="000123FB"/>
    <w:rsid w:val="000141AD"/>
    <w:rsid w:val="0001505C"/>
    <w:rsid w:val="000157B9"/>
    <w:rsid w:val="00017506"/>
    <w:rsid w:val="0002002B"/>
    <w:rsid w:val="00021E4D"/>
    <w:rsid w:val="00021FE6"/>
    <w:rsid w:val="00022FBD"/>
    <w:rsid w:val="00024077"/>
    <w:rsid w:val="00024134"/>
    <w:rsid w:val="00024B35"/>
    <w:rsid w:val="0002513F"/>
    <w:rsid w:val="0002527A"/>
    <w:rsid w:val="000259FB"/>
    <w:rsid w:val="00025A38"/>
    <w:rsid w:val="00025CB9"/>
    <w:rsid w:val="0002730E"/>
    <w:rsid w:val="00027C02"/>
    <w:rsid w:val="00030ADB"/>
    <w:rsid w:val="00031203"/>
    <w:rsid w:val="000313C4"/>
    <w:rsid w:val="0003148A"/>
    <w:rsid w:val="000361F1"/>
    <w:rsid w:val="000363D1"/>
    <w:rsid w:val="0003657A"/>
    <w:rsid w:val="00036925"/>
    <w:rsid w:val="000375C6"/>
    <w:rsid w:val="0004010D"/>
    <w:rsid w:val="000402A0"/>
    <w:rsid w:val="0004107A"/>
    <w:rsid w:val="00041F07"/>
    <w:rsid w:val="0004231E"/>
    <w:rsid w:val="00042F0B"/>
    <w:rsid w:val="00045E5F"/>
    <w:rsid w:val="00046AFE"/>
    <w:rsid w:val="0004798A"/>
    <w:rsid w:val="00047A1B"/>
    <w:rsid w:val="000502BB"/>
    <w:rsid w:val="00053BCC"/>
    <w:rsid w:val="00053F51"/>
    <w:rsid w:val="0005487D"/>
    <w:rsid w:val="00054CB2"/>
    <w:rsid w:val="0005502D"/>
    <w:rsid w:val="00060993"/>
    <w:rsid w:val="00061028"/>
    <w:rsid w:val="000627CB"/>
    <w:rsid w:val="00062D94"/>
    <w:rsid w:val="00063E71"/>
    <w:rsid w:val="0006484B"/>
    <w:rsid w:val="0006496B"/>
    <w:rsid w:val="00065372"/>
    <w:rsid w:val="0006633E"/>
    <w:rsid w:val="00066900"/>
    <w:rsid w:val="00067994"/>
    <w:rsid w:val="00067EC3"/>
    <w:rsid w:val="000707D4"/>
    <w:rsid w:val="00071739"/>
    <w:rsid w:val="000719FE"/>
    <w:rsid w:val="000722B1"/>
    <w:rsid w:val="00072ABF"/>
    <w:rsid w:val="00072B46"/>
    <w:rsid w:val="000749DB"/>
    <w:rsid w:val="00075504"/>
    <w:rsid w:val="00076F68"/>
    <w:rsid w:val="00077905"/>
    <w:rsid w:val="00080420"/>
    <w:rsid w:val="00081BAC"/>
    <w:rsid w:val="00084AF3"/>
    <w:rsid w:val="000912F0"/>
    <w:rsid w:val="00093979"/>
    <w:rsid w:val="000951A4"/>
    <w:rsid w:val="00095213"/>
    <w:rsid w:val="000A0E44"/>
    <w:rsid w:val="000A1CC0"/>
    <w:rsid w:val="000A287B"/>
    <w:rsid w:val="000A289B"/>
    <w:rsid w:val="000A42CF"/>
    <w:rsid w:val="000A557D"/>
    <w:rsid w:val="000A5A27"/>
    <w:rsid w:val="000A5E67"/>
    <w:rsid w:val="000B02CD"/>
    <w:rsid w:val="000B0AD5"/>
    <w:rsid w:val="000B0D0C"/>
    <w:rsid w:val="000B299D"/>
    <w:rsid w:val="000B499C"/>
    <w:rsid w:val="000B5211"/>
    <w:rsid w:val="000B5607"/>
    <w:rsid w:val="000B5848"/>
    <w:rsid w:val="000B648C"/>
    <w:rsid w:val="000B7D7C"/>
    <w:rsid w:val="000C4066"/>
    <w:rsid w:val="000C42EA"/>
    <w:rsid w:val="000C43F8"/>
    <w:rsid w:val="000C4486"/>
    <w:rsid w:val="000C4500"/>
    <w:rsid w:val="000C563D"/>
    <w:rsid w:val="000C626A"/>
    <w:rsid w:val="000C660A"/>
    <w:rsid w:val="000C6D62"/>
    <w:rsid w:val="000D1499"/>
    <w:rsid w:val="000D1669"/>
    <w:rsid w:val="000D2231"/>
    <w:rsid w:val="000D2A20"/>
    <w:rsid w:val="000D2F3A"/>
    <w:rsid w:val="000D397C"/>
    <w:rsid w:val="000D411B"/>
    <w:rsid w:val="000D4545"/>
    <w:rsid w:val="000D70E4"/>
    <w:rsid w:val="000D759A"/>
    <w:rsid w:val="000E1813"/>
    <w:rsid w:val="000E45DD"/>
    <w:rsid w:val="000E4B70"/>
    <w:rsid w:val="000E4BBB"/>
    <w:rsid w:val="000E5942"/>
    <w:rsid w:val="000E66C0"/>
    <w:rsid w:val="000F045D"/>
    <w:rsid w:val="000F05A4"/>
    <w:rsid w:val="000F1351"/>
    <w:rsid w:val="000F15F4"/>
    <w:rsid w:val="000F267A"/>
    <w:rsid w:val="000F2F0F"/>
    <w:rsid w:val="000F6268"/>
    <w:rsid w:val="000F7009"/>
    <w:rsid w:val="000F7AFA"/>
    <w:rsid w:val="001010C4"/>
    <w:rsid w:val="00103236"/>
    <w:rsid w:val="00106535"/>
    <w:rsid w:val="00106E0D"/>
    <w:rsid w:val="001076E5"/>
    <w:rsid w:val="00110532"/>
    <w:rsid w:val="00110AD5"/>
    <w:rsid w:val="00110D41"/>
    <w:rsid w:val="00110DD6"/>
    <w:rsid w:val="00112A73"/>
    <w:rsid w:val="00112AD9"/>
    <w:rsid w:val="00112C90"/>
    <w:rsid w:val="0011365F"/>
    <w:rsid w:val="00114723"/>
    <w:rsid w:val="00114DF2"/>
    <w:rsid w:val="00116107"/>
    <w:rsid w:val="0011736D"/>
    <w:rsid w:val="001173AC"/>
    <w:rsid w:val="00117623"/>
    <w:rsid w:val="00120B5B"/>
    <w:rsid w:val="00120CF7"/>
    <w:rsid w:val="00122D38"/>
    <w:rsid w:val="00122D3B"/>
    <w:rsid w:val="00124139"/>
    <w:rsid w:val="001244A8"/>
    <w:rsid w:val="001254A1"/>
    <w:rsid w:val="001255BC"/>
    <w:rsid w:val="00126674"/>
    <w:rsid w:val="00127A4F"/>
    <w:rsid w:val="00127BF1"/>
    <w:rsid w:val="00127D3B"/>
    <w:rsid w:val="001303E4"/>
    <w:rsid w:val="0013608A"/>
    <w:rsid w:val="00136576"/>
    <w:rsid w:val="001368C0"/>
    <w:rsid w:val="001400D5"/>
    <w:rsid w:val="00140535"/>
    <w:rsid w:val="001409A3"/>
    <w:rsid w:val="001415C6"/>
    <w:rsid w:val="0014167E"/>
    <w:rsid w:val="00142403"/>
    <w:rsid w:val="00143C10"/>
    <w:rsid w:val="001447F7"/>
    <w:rsid w:val="0014568B"/>
    <w:rsid w:val="00145C48"/>
    <w:rsid w:val="00145D89"/>
    <w:rsid w:val="001510F0"/>
    <w:rsid w:val="00151553"/>
    <w:rsid w:val="00155B43"/>
    <w:rsid w:val="00156107"/>
    <w:rsid w:val="001576C6"/>
    <w:rsid w:val="00162F54"/>
    <w:rsid w:val="00165A73"/>
    <w:rsid w:val="00166AD1"/>
    <w:rsid w:val="0016771C"/>
    <w:rsid w:val="0016783F"/>
    <w:rsid w:val="00167BBE"/>
    <w:rsid w:val="00170B87"/>
    <w:rsid w:val="00172150"/>
    <w:rsid w:val="00172CAB"/>
    <w:rsid w:val="001742FF"/>
    <w:rsid w:val="00174FBB"/>
    <w:rsid w:val="001762BB"/>
    <w:rsid w:val="00176BFC"/>
    <w:rsid w:val="00181AD2"/>
    <w:rsid w:val="00182C74"/>
    <w:rsid w:val="00182E5F"/>
    <w:rsid w:val="00186152"/>
    <w:rsid w:val="00186B40"/>
    <w:rsid w:val="00186C1B"/>
    <w:rsid w:val="00187951"/>
    <w:rsid w:val="00190067"/>
    <w:rsid w:val="00190281"/>
    <w:rsid w:val="00191374"/>
    <w:rsid w:val="00192611"/>
    <w:rsid w:val="00192EA6"/>
    <w:rsid w:val="00192F5B"/>
    <w:rsid w:val="001931D0"/>
    <w:rsid w:val="00195478"/>
    <w:rsid w:val="00195B6D"/>
    <w:rsid w:val="00195BAE"/>
    <w:rsid w:val="0019752E"/>
    <w:rsid w:val="001A0582"/>
    <w:rsid w:val="001A05E8"/>
    <w:rsid w:val="001A06E2"/>
    <w:rsid w:val="001A19AB"/>
    <w:rsid w:val="001A2E80"/>
    <w:rsid w:val="001A303A"/>
    <w:rsid w:val="001A3C86"/>
    <w:rsid w:val="001A4520"/>
    <w:rsid w:val="001A5437"/>
    <w:rsid w:val="001A5E65"/>
    <w:rsid w:val="001B0C05"/>
    <w:rsid w:val="001B0DB7"/>
    <w:rsid w:val="001B3355"/>
    <w:rsid w:val="001B3E3C"/>
    <w:rsid w:val="001B6125"/>
    <w:rsid w:val="001B7905"/>
    <w:rsid w:val="001C12E0"/>
    <w:rsid w:val="001C13D0"/>
    <w:rsid w:val="001C3687"/>
    <w:rsid w:val="001C384B"/>
    <w:rsid w:val="001C40C2"/>
    <w:rsid w:val="001C5F88"/>
    <w:rsid w:val="001C6453"/>
    <w:rsid w:val="001C6E25"/>
    <w:rsid w:val="001C7509"/>
    <w:rsid w:val="001C7D0E"/>
    <w:rsid w:val="001D0790"/>
    <w:rsid w:val="001D0A8B"/>
    <w:rsid w:val="001D0F13"/>
    <w:rsid w:val="001D2FA7"/>
    <w:rsid w:val="001D393F"/>
    <w:rsid w:val="001D4EF1"/>
    <w:rsid w:val="001D5935"/>
    <w:rsid w:val="001D6BF0"/>
    <w:rsid w:val="001E024D"/>
    <w:rsid w:val="001E22DA"/>
    <w:rsid w:val="001E32A0"/>
    <w:rsid w:val="001E7233"/>
    <w:rsid w:val="001F0AC6"/>
    <w:rsid w:val="001F15B5"/>
    <w:rsid w:val="001F28C6"/>
    <w:rsid w:val="001F33BF"/>
    <w:rsid w:val="001F3468"/>
    <w:rsid w:val="001F52AB"/>
    <w:rsid w:val="001F552F"/>
    <w:rsid w:val="001F5CA9"/>
    <w:rsid w:val="001F6A97"/>
    <w:rsid w:val="001F7050"/>
    <w:rsid w:val="001F7091"/>
    <w:rsid w:val="0020010D"/>
    <w:rsid w:val="002004DC"/>
    <w:rsid w:val="002007DF"/>
    <w:rsid w:val="002023F3"/>
    <w:rsid w:val="002024F2"/>
    <w:rsid w:val="00203629"/>
    <w:rsid w:val="00203C49"/>
    <w:rsid w:val="00205CEA"/>
    <w:rsid w:val="00206271"/>
    <w:rsid w:val="00206484"/>
    <w:rsid w:val="002126C5"/>
    <w:rsid w:val="002133A8"/>
    <w:rsid w:val="00214817"/>
    <w:rsid w:val="0022077B"/>
    <w:rsid w:val="00220A9A"/>
    <w:rsid w:val="00220D27"/>
    <w:rsid w:val="00221E71"/>
    <w:rsid w:val="00221F72"/>
    <w:rsid w:val="0022201E"/>
    <w:rsid w:val="002223D3"/>
    <w:rsid w:val="00224894"/>
    <w:rsid w:val="00224C0B"/>
    <w:rsid w:val="00224F38"/>
    <w:rsid w:val="002302A7"/>
    <w:rsid w:val="00230DE9"/>
    <w:rsid w:val="00231DBE"/>
    <w:rsid w:val="00232126"/>
    <w:rsid w:val="0023223E"/>
    <w:rsid w:val="00232FE8"/>
    <w:rsid w:val="002333A3"/>
    <w:rsid w:val="002336FD"/>
    <w:rsid w:val="00233826"/>
    <w:rsid w:val="00233830"/>
    <w:rsid w:val="00233D0F"/>
    <w:rsid w:val="002355A7"/>
    <w:rsid w:val="0023584D"/>
    <w:rsid w:val="002365E1"/>
    <w:rsid w:val="00236A13"/>
    <w:rsid w:val="00236D30"/>
    <w:rsid w:val="00237637"/>
    <w:rsid w:val="00240065"/>
    <w:rsid w:val="0024018F"/>
    <w:rsid w:val="0024093A"/>
    <w:rsid w:val="00240A57"/>
    <w:rsid w:val="002418DF"/>
    <w:rsid w:val="00244A90"/>
    <w:rsid w:val="00244CEC"/>
    <w:rsid w:val="00245603"/>
    <w:rsid w:val="00245956"/>
    <w:rsid w:val="0024754E"/>
    <w:rsid w:val="0024778D"/>
    <w:rsid w:val="00247BAB"/>
    <w:rsid w:val="00250FBE"/>
    <w:rsid w:val="002528AF"/>
    <w:rsid w:val="00253BF9"/>
    <w:rsid w:val="00255B96"/>
    <w:rsid w:val="00256A7E"/>
    <w:rsid w:val="00260177"/>
    <w:rsid w:val="00260335"/>
    <w:rsid w:val="002604F6"/>
    <w:rsid w:val="002611FC"/>
    <w:rsid w:val="00263416"/>
    <w:rsid w:val="002637FC"/>
    <w:rsid w:val="00265EBF"/>
    <w:rsid w:val="00266BEA"/>
    <w:rsid w:val="0026763E"/>
    <w:rsid w:val="002701A0"/>
    <w:rsid w:val="00270A22"/>
    <w:rsid w:val="00271A7C"/>
    <w:rsid w:val="0027200C"/>
    <w:rsid w:val="0027397B"/>
    <w:rsid w:val="00275247"/>
    <w:rsid w:val="0027636D"/>
    <w:rsid w:val="002763BC"/>
    <w:rsid w:val="00280E6A"/>
    <w:rsid w:val="002821BB"/>
    <w:rsid w:val="00283C3E"/>
    <w:rsid w:val="00284430"/>
    <w:rsid w:val="0028586E"/>
    <w:rsid w:val="00290470"/>
    <w:rsid w:val="00290B14"/>
    <w:rsid w:val="00292472"/>
    <w:rsid w:val="00293281"/>
    <w:rsid w:val="00293CB1"/>
    <w:rsid w:val="00293D57"/>
    <w:rsid w:val="00296831"/>
    <w:rsid w:val="002970A3"/>
    <w:rsid w:val="002A026A"/>
    <w:rsid w:val="002A0CA5"/>
    <w:rsid w:val="002A0D0D"/>
    <w:rsid w:val="002A2B97"/>
    <w:rsid w:val="002A3F89"/>
    <w:rsid w:val="002A5420"/>
    <w:rsid w:val="002A58BF"/>
    <w:rsid w:val="002A5F52"/>
    <w:rsid w:val="002A7013"/>
    <w:rsid w:val="002A7A25"/>
    <w:rsid w:val="002B2772"/>
    <w:rsid w:val="002B2867"/>
    <w:rsid w:val="002B4D4B"/>
    <w:rsid w:val="002B66CA"/>
    <w:rsid w:val="002B66EE"/>
    <w:rsid w:val="002B772B"/>
    <w:rsid w:val="002B7E05"/>
    <w:rsid w:val="002C0A8C"/>
    <w:rsid w:val="002C1374"/>
    <w:rsid w:val="002C301D"/>
    <w:rsid w:val="002C3699"/>
    <w:rsid w:val="002C3F3E"/>
    <w:rsid w:val="002C463C"/>
    <w:rsid w:val="002C5687"/>
    <w:rsid w:val="002D0BFB"/>
    <w:rsid w:val="002D13A8"/>
    <w:rsid w:val="002D1513"/>
    <w:rsid w:val="002D2773"/>
    <w:rsid w:val="002D3C55"/>
    <w:rsid w:val="002D497C"/>
    <w:rsid w:val="002D4C5E"/>
    <w:rsid w:val="002D53A9"/>
    <w:rsid w:val="002D54D0"/>
    <w:rsid w:val="002D5788"/>
    <w:rsid w:val="002D709B"/>
    <w:rsid w:val="002D72D6"/>
    <w:rsid w:val="002D733F"/>
    <w:rsid w:val="002E1002"/>
    <w:rsid w:val="002E1312"/>
    <w:rsid w:val="002E1E4F"/>
    <w:rsid w:val="002E2E5E"/>
    <w:rsid w:val="002E3087"/>
    <w:rsid w:val="002E39FD"/>
    <w:rsid w:val="002E3E4E"/>
    <w:rsid w:val="002E467C"/>
    <w:rsid w:val="002E4BBD"/>
    <w:rsid w:val="002E5377"/>
    <w:rsid w:val="002E5AB2"/>
    <w:rsid w:val="002E5F6E"/>
    <w:rsid w:val="002E5FFC"/>
    <w:rsid w:val="002E62BD"/>
    <w:rsid w:val="002E7A14"/>
    <w:rsid w:val="002F119C"/>
    <w:rsid w:val="002F1E49"/>
    <w:rsid w:val="002F32D8"/>
    <w:rsid w:val="002F40A7"/>
    <w:rsid w:val="002F4A07"/>
    <w:rsid w:val="002F4D04"/>
    <w:rsid w:val="002F5DF7"/>
    <w:rsid w:val="002F63F8"/>
    <w:rsid w:val="002F7E02"/>
    <w:rsid w:val="00303AFB"/>
    <w:rsid w:val="00303B46"/>
    <w:rsid w:val="003041D9"/>
    <w:rsid w:val="003076EF"/>
    <w:rsid w:val="003079E9"/>
    <w:rsid w:val="00307B80"/>
    <w:rsid w:val="003112C9"/>
    <w:rsid w:val="00311F25"/>
    <w:rsid w:val="003127A5"/>
    <w:rsid w:val="00313AEB"/>
    <w:rsid w:val="00313BA5"/>
    <w:rsid w:val="00313CE6"/>
    <w:rsid w:val="0031609E"/>
    <w:rsid w:val="003161EA"/>
    <w:rsid w:val="00316896"/>
    <w:rsid w:val="00316FF4"/>
    <w:rsid w:val="003208F7"/>
    <w:rsid w:val="00321ABC"/>
    <w:rsid w:val="00324169"/>
    <w:rsid w:val="00324866"/>
    <w:rsid w:val="00324B8D"/>
    <w:rsid w:val="00324CFB"/>
    <w:rsid w:val="003254CD"/>
    <w:rsid w:val="00330B38"/>
    <w:rsid w:val="00330D60"/>
    <w:rsid w:val="003311EE"/>
    <w:rsid w:val="00331861"/>
    <w:rsid w:val="00333015"/>
    <w:rsid w:val="00333BF6"/>
    <w:rsid w:val="00334301"/>
    <w:rsid w:val="00334915"/>
    <w:rsid w:val="003354B8"/>
    <w:rsid w:val="00336B99"/>
    <w:rsid w:val="00337032"/>
    <w:rsid w:val="0033785B"/>
    <w:rsid w:val="00340300"/>
    <w:rsid w:val="00341F63"/>
    <w:rsid w:val="00342545"/>
    <w:rsid w:val="0034282A"/>
    <w:rsid w:val="00343252"/>
    <w:rsid w:val="00347B27"/>
    <w:rsid w:val="00350622"/>
    <w:rsid w:val="00350E05"/>
    <w:rsid w:val="00352A13"/>
    <w:rsid w:val="00352F36"/>
    <w:rsid w:val="003538C4"/>
    <w:rsid w:val="00353BAD"/>
    <w:rsid w:val="00353EFB"/>
    <w:rsid w:val="0035420D"/>
    <w:rsid w:val="003549D5"/>
    <w:rsid w:val="00354C48"/>
    <w:rsid w:val="00356EE1"/>
    <w:rsid w:val="00357BBC"/>
    <w:rsid w:val="00360F4F"/>
    <w:rsid w:val="00363306"/>
    <w:rsid w:val="00371BE0"/>
    <w:rsid w:val="00371E4F"/>
    <w:rsid w:val="00372124"/>
    <w:rsid w:val="0037317C"/>
    <w:rsid w:val="00373379"/>
    <w:rsid w:val="00373CB0"/>
    <w:rsid w:val="00374717"/>
    <w:rsid w:val="00374F83"/>
    <w:rsid w:val="003751CD"/>
    <w:rsid w:val="0038064E"/>
    <w:rsid w:val="0038228E"/>
    <w:rsid w:val="0038300F"/>
    <w:rsid w:val="00383E0D"/>
    <w:rsid w:val="003842DC"/>
    <w:rsid w:val="00384763"/>
    <w:rsid w:val="0038653A"/>
    <w:rsid w:val="00386951"/>
    <w:rsid w:val="00387B5C"/>
    <w:rsid w:val="00391D53"/>
    <w:rsid w:val="00391DE8"/>
    <w:rsid w:val="003921B3"/>
    <w:rsid w:val="00392517"/>
    <w:rsid w:val="003937F1"/>
    <w:rsid w:val="00393C33"/>
    <w:rsid w:val="003A053D"/>
    <w:rsid w:val="003A08FC"/>
    <w:rsid w:val="003A22F5"/>
    <w:rsid w:val="003A26C5"/>
    <w:rsid w:val="003A2D12"/>
    <w:rsid w:val="003A3D33"/>
    <w:rsid w:val="003A5777"/>
    <w:rsid w:val="003A7346"/>
    <w:rsid w:val="003A7724"/>
    <w:rsid w:val="003A7BCB"/>
    <w:rsid w:val="003B0420"/>
    <w:rsid w:val="003B6129"/>
    <w:rsid w:val="003B64E3"/>
    <w:rsid w:val="003B68F3"/>
    <w:rsid w:val="003B6B65"/>
    <w:rsid w:val="003C0FAD"/>
    <w:rsid w:val="003C1988"/>
    <w:rsid w:val="003C2789"/>
    <w:rsid w:val="003C2C38"/>
    <w:rsid w:val="003C66E3"/>
    <w:rsid w:val="003C6CC2"/>
    <w:rsid w:val="003C76F4"/>
    <w:rsid w:val="003C778A"/>
    <w:rsid w:val="003C7E63"/>
    <w:rsid w:val="003D1357"/>
    <w:rsid w:val="003D1B09"/>
    <w:rsid w:val="003D2C99"/>
    <w:rsid w:val="003D30AD"/>
    <w:rsid w:val="003D3184"/>
    <w:rsid w:val="003D52D6"/>
    <w:rsid w:val="003D5E38"/>
    <w:rsid w:val="003E0643"/>
    <w:rsid w:val="003E1F66"/>
    <w:rsid w:val="003E20D9"/>
    <w:rsid w:val="003E2538"/>
    <w:rsid w:val="003E3964"/>
    <w:rsid w:val="003E4D41"/>
    <w:rsid w:val="003E5C80"/>
    <w:rsid w:val="003E64B3"/>
    <w:rsid w:val="003E667C"/>
    <w:rsid w:val="003F0747"/>
    <w:rsid w:val="003F1353"/>
    <w:rsid w:val="003F1B44"/>
    <w:rsid w:val="003F1CB4"/>
    <w:rsid w:val="003F2121"/>
    <w:rsid w:val="003F5B73"/>
    <w:rsid w:val="003F5DA7"/>
    <w:rsid w:val="003F7B3C"/>
    <w:rsid w:val="0040067F"/>
    <w:rsid w:val="00404000"/>
    <w:rsid w:val="00404FAF"/>
    <w:rsid w:val="004052B4"/>
    <w:rsid w:val="00406B3D"/>
    <w:rsid w:val="00406E36"/>
    <w:rsid w:val="0040769E"/>
    <w:rsid w:val="004110EA"/>
    <w:rsid w:val="00411660"/>
    <w:rsid w:val="004126DF"/>
    <w:rsid w:val="00412B1C"/>
    <w:rsid w:val="00412E65"/>
    <w:rsid w:val="00412E98"/>
    <w:rsid w:val="00413BCD"/>
    <w:rsid w:val="00414630"/>
    <w:rsid w:val="004151FE"/>
    <w:rsid w:val="00415527"/>
    <w:rsid w:val="00415B0A"/>
    <w:rsid w:val="00415DAD"/>
    <w:rsid w:val="00415E84"/>
    <w:rsid w:val="004160D4"/>
    <w:rsid w:val="00416AEE"/>
    <w:rsid w:val="004207AB"/>
    <w:rsid w:val="004207CB"/>
    <w:rsid w:val="00425F6D"/>
    <w:rsid w:val="00426A86"/>
    <w:rsid w:val="00426B4E"/>
    <w:rsid w:val="00427410"/>
    <w:rsid w:val="00430251"/>
    <w:rsid w:val="004306B8"/>
    <w:rsid w:val="00433857"/>
    <w:rsid w:val="0043451E"/>
    <w:rsid w:val="00434691"/>
    <w:rsid w:val="004354A4"/>
    <w:rsid w:val="004362A9"/>
    <w:rsid w:val="00436CAF"/>
    <w:rsid w:val="00441239"/>
    <w:rsid w:val="00442643"/>
    <w:rsid w:val="0044273D"/>
    <w:rsid w:val="0044289E"/>
    <w:rsid w:val="00442AE6"/>
    <w:rsid w:val="00443BB9"/>
    <w:rsid w:val="00444A73"/>
    <w:rsid w:val="0044501B"/>
    <w:rsid w:val="00445447"/>
    <w:rsid w:val="004457C8"/>
    <w:rsid w:val="004458FB"/>
    <w:rsid w:val="0044731A"/>
    <w:rsid w:val="004477EF"/>
    <w:rsid w:val="00447C55"/>
    <w:rsid w:val="004526C1"/>
    <w:rsid w:val="004535B8"/>
    <w:rsid w:val="004544CE"/>
    <w:rsid w:val="0045463D"/>
    <w:rsid w:val="00455036"/>
    <w:rsid w:val="00455F42"/>
    <w:rsid w:val="00456319"/>
    <w:rsid w:val="004566DA"/>
    <w:rsid w:val="004573D2"/>
    <w:rsid w:val="004578B8"/>
    <w:rsid w:val="00457BE3"/>
    <w:rsid w:val="00460217"/>
    <w:rsid w:val="00460CB1"/>
    <w:rsid w:val="00460F7A"/>
    <w:rsid w:val="00461D02"/>
    <w:rsid w:val="00462461"/>
    <w:rsid w:val="00462895"/>
    <w:rsid w:val="00462D44"/>
    <w:rsid w:val="00463472"/>
    <w:rsid w:val="00464F20"/>
    <w:rsid w:val="00466550"/>
    <w:rsid w:val="00470488"/>
    <w:rsid w:val="00470E57"/>
    <w:rsid w:val="00470F20"/>
    <w:rsid w:val="0047170D"/>
    <w:rsid w:val="00472194"/>
    <w:rsid w:val="00474B57"/>
    <w:rsid w:val="00475B6C"/>
    <w:rsid w:val="00475ED5"/>
    <w:rsid w:val="0047763B"/>
    <w:rsid w:val="00484ADF"/>
    <w:rsid w:val="00484E97"/>
    <w:rsid w:val="00484F8F"/>
    <w:rsid w:val="004850AA"/>
    <w:rsid w:val="004860DF"/>
    <w:rsid w:val="00486D14"/>
    <w:rsid w:val="00486E8C"/>
    <w:rsid w:val="00487459"/>
    <w:rsid w:val="00487B7F"/>
    <w:rsid w:val="00487F5B"/>
    <w:rsid w:val="00490537"/>
    <w:rsid w:val="00490A7E"/>
    <w:rsid w:val="00491E65"/>
    <w:rsid w:val="00492910"/>
    <w:rsid w:val="004935CB"/>
    <w:rsid w:val="00493C01"/>
    <w:rsid w:val="00493E23"/>
    <w:rsid w:val="004947DF"/>
    <w:rsid w:val="00494F13"/>
    <w:rsid w:val="00495056"/>
    <w:rsid w:val="00495CDC"/>
    <w:rsid w:val="00496F64"/>
    <w:rsid w:val="00497009"/>
    <w:rsid w:val="004A081A"/>
    <w:rsid w:val="004A32A4"/>
    <w:rsid w:val="004A4365"/>
    <w:rsid w:val="004A4FAA"/>
    <w:rsid w:val="004A6B76"/>
    <w:rsid w:val="004B01B9"/>
    <w:rsid w:val="004B0B2F"/>
    <w:rsid w:val="004B1164"/>
    <w:rsid w:val="004B156C"/>
    <w:rsid w:val="004B16D4"/>
    <w:rsid w:val="004B225D"/>
    <w:rsid w:val="004B23C4"/>
    <w:rsid w:val="004B368D"/>
    <w:rsid w:val="004B3CE3"/>
    <w:rsid w:val="004B3FBF"/>
    <w:rsid w:val="004B4B06"/>
    <w:rsid w:val="004B63F1"/>
    <w:rsid w:val="004C001E"/>
    <w:rsid w:val="004C15FF"/>
    <w:rsid w:val="004C1D06"/>
    <w:rsid w:val="004C4B5A"/>
    <w:rsid w:val="004C6AE4"/>
    <w:rsid w:val="004C7D3D"/>
    <w:rsid w:val="004D0CBE"/>
    <w:rsid w:val="004D1C8C"/>
    <w:rsid w:val="004D1D3C"/>
    <w:rsid w:val="004D3F3B"/>
    <w:rsid w:val="004D43BB"/>
    <w:rsid w:val="004D46E4"/>
    <w:rsid w:val="004D73E9"/>
    <w:rsid w:val="004D79BC"/>
    <w:rsid w:val="004E0F5A"/>
    <w:rsid w:val="004E2E05"/>
    <w:rsid w:val="004E30B9"/>
    <w:rsid w:val="004E3420"/>
    <w:rsid w:val="004E3561"/>
    <w:rsid w:val="004E6478"/>
    <w:rsid w:val="004E65E9"/>
    <w:rsid w:val="004E738A"/>
    <w:rsid w:val="004E764B"/>
    <w:rsid w:val="004E77F3"/>
    <w:rsid w:val="004E7FD1"/>
    <w:rsid w:val="004F00BD"/>
    <w:rsid w:val="004F060F"/>
    <w:rsid w:val="004F0667"/>
    <w:rsid w:val="004F1BF5"/>
    <w:rsid w:val="004F434E"/>
    <w:rsid w:val="004F4DC5"/>
    <w:rsid w:val="004F53E9"/>
    <w:rsid w:val="004F6C48"/>
    <w:rsid w:val="004F72AF"/>
    <w:rsid w:val="004F780D"/>
    <w:rsid w:val="004F7F36"/>
    <w:rsid w:val="00503480"/>
    <w:rsid w:val="005044FB"/>
    <w:rsid w:val="005062AE"/>
    <w:rsid w:val="0050699E"/>
    <w:rsid w:val="00506A56"/>
    <w:rsid w:val="00510F3B"/>
    <w:rsid w:val="00511F29"/>
    <w:rsid w:val="00513945"/>
    <w:rsid w:val="0051428E"/>
    <w:rsid w:val="005143E2"/>
    <w:rsid w:val="0051482F"/>
    <w:rsid w:val="00515DBF"/>
    <w:rsid w:val="00516FDE"/>
    <w:rsid w:val="005206E4"/>
    <w:rsid w:val="00521C6C"/>
    <w:rsid w:val="00524171"/>
    <w:rsid w:val="00524585"/>
    <w:rsid w:val="005251AF"/>
    <w:rsid w:val="00525CDD"/>
    <w:rsid w:val="005279F5"/>
    <w:rsid w:val="00531859"/>
    <w:rsid w:val="00532AFA"/>
    <w:rsid w:val="005332FB"/>
    <w:rsid w:val="005360F7"/>
    <w:rsid w:val="0053750A"/>
    <w:rsid w:val="005400F0"/>
    <w:rsid w:val="00540692"/>
    <w:rsid w:val="00540BB2"/>
    <w:rsid w:val="00540F29"/>
    <w:rsid w:val="005416C2"/>
    <w:rsid w:val="00542483"/>
    <w:rsid w:val="0054279D"/>
    <w:rsid w:val="00542A00"/>
    <w:rsid w:val="005446E6"/>
    <w:rsid w:val="00545682"/>
    <w:rsid w:val="005503EA"/>
    <w:rsid w:val="00550951"/>
    <w:rsid w:val="005528EB"/>
    <w:rsid w:val="005531AD"/>
    <w:rsid w:val="00553278"/>
    <w:rsid w:val="0055577B"/>
    <w:rsid w:val="00556BEA"/>
    <w:rsid w:val="0055729F"/>
    <w:rsid w:val="00563744"/>
    <w:rsid w:val="005637CD"/>
    <w:rsid w:val="00563E7E"/>
    <w:rsid w:val="00564905"/>
    <w:rsid w:val="00565BB0"/>
    <w:rsid w:val="00565D9C"/>
    <w:rsid w:val="005661C7"/>
    <w:rsid w:val="00566A5D"/>
    <w:rsid w:val="00566FF2"/>
    <w:rsid w:val="005678A1"/>
    <w:rsid w:val="00567E60"/>
    <w:rsid w:val="00570498"/>
    <w:rsid w:val="00570499"/>
    <w:rsid w:val="005705EF"/>
    <w:rsid w:val="005711B9"/>
    <w:rsid w:val="0057150E"/>
    <w:rsid w:val="00571C43"/>
    <w:rsid w:val="005729C3"/>
    <w:rsid w:val="00573CF3"/>
    <w:rsid w:val="00576A4A"/>
    <w:rsid w:val="00576C42"/>
    <w:rsid w:val="0057757A"/>
    <w:rsid w:val="00581896"/>
    <w:rsid w:val="00582CA1"/>
    <w:rsid w:val="00584307"/>
    <w:rsid w:val="00584AC7"/>
    <w:rsid w:val="00584B78"/>
    <w:rsid w:val="0058626E"/>
    <w:rsid w:val="00586F10"/>
    <w:rsid w:val="0058793D"/>
    <w:rsid w:val="005908CB"/>
    <w:rsid w:val="00592006"/>
    <w:rsid w:val="0059236A"/>
    <w:rsid w:val="0059370D"/>
    <w:rsid w:val="00593E90"/>
    <w:rsid w:val="00594828"/>
    <w:rsid w:val="00594A0B"/>
    <w:rsid w:val="00594A32"/>
    <w:rsid w:val="00595691"/>
    <w:rsid w:val="0059595D"/>
    <w:rsid w:val="00595CE2"/>
    <w:rsid w:val="00597230"/>
    <w:rsid w:val="00597576"/>
    <w:rsid w:val="00597F9C"/>
    <w:rsid w:val="005A15B7"/>
    <w:rsid w:val="005A1911"/>
    <w:rsid w:val="005A2683"/>
    <w:rsid w:val="005A2AF1"/>
    <w:rsid w:val="005A4DF2"/>
    <w:rsid w:val="005A535B"/>
    <w:rsid w:val="005A6AE1"/>
    <w:rsid w:val="005A738D"/>
    <w:rsid w:val="005A7646"/>
    <w:rsid w:val="005B1F24"/>
    <w:rsid w:val="005B2592"/>
    <w:rsid w:val="005B3DE6"/>
    <w:rsid w:val="005B440F"/>
    <w:rsid w:val="005B4499"/>
    <w:rsid w:val="005B4DC1"/>
    <w:rsid w:val="005B63AD"/>
    <w:rsid w:val="005B7D1B"/>
    <w:rsid w:val="005C0025"/>
    <w:rsid w:val="005C03C9"/>
    <w:rsid w:val="005C1B8C"/>
    <w:rsid w:val="005C3950"/>
    <w:rsid w:val="005C3E15"/>
    <w:rsid w:val="005C5C66"/>
    <w:rsid w:val="005C6176"/>
    <w:rsid w:val="005C68E0"/>
    <w:rsid w:val="005C6D85"/>
    <w:rsid w:val="005D0099"/>
    <w:rsid w:val="005D0C97"/>
    <w:rsid w:val="005D1A37"/>
    <w:rsid w:val="005D214B"/>
    <w:rsid w:val="005D258B"/>
    <w:rsid w:val="005D36C3"/>
    <w:rsid w:val="005D3715"/>
    <w:rsid w:val="005D3E01"/>
    <w:rsid w:val="005D70BE"/>
    <w:rsid w:val="005E0488"/>
    <w:rsid w:val="005E07A5"/>
    <w:rsid w:val="005E19EB"/>
    <w:rsid w:val="005E1C8F"/>
    <w:rsid w:val="005E2062"/>
    <w:rsid w:val="005E33A5"/>
    <w:rsid w:val="005E3A43"/>
    <w:rsid w:val="005E3FC3"/>
    <w:rsid w:val="005E50DC"/>
    <w:rsid w:val="005E5233"/>
    <w:rsid w:val="005E62D1"/>
    <w:rsid w:val="005F0DDC"/>
    <w:rsid w:val="005F10DF"/>
    <w:rsid w:val="005F167E"/>
    <w:rsid w:val="005F2819"/>
    <w:rsid w:val="005F51BF"/>
    <w:rsid w:val="005F606F"/>
    <w:rsid w:val="005F689C"/>
    <w:rsid w:val="005F775D"/>
    <w:rsid w:val="00600929"/>
    <w:rsid w:val="006016E5"/>
    <w:rsid w:val="006016F2"/>
    <w:rsid w:val="0060327F"/>
    <w:rsid w:val="00603500"/>
    <w:rsid w:val="006039B1"/>
    <w:rsid w:val="00605928"/>
    <w:rsid w:val="006075D6"/>
    <w:rsid w:val="00607954"/>
    <w:rsid w:val="00607E10"/>
    <w:rsid w:val="0061087A"/>
    <w:rsid w:val="00610A36"/>
    <w:rsid w:val="006111DD"/>
    <w:rsid w:val="00611259"/>
    <w:rsid w:val="00614E7E"/>
    <w:rsid w:val="006150A9"/>
    <w:rsid w:val="0061639C"/>
    <w:rsid w:val="0061658B"/>
    <w:rsid w:val="00617B29"/>
    <w:rsid w:val="00617DF3"/>
    <w:rsid w:val="00620630"/>
    <w:rsid w:val="006207C7"/>
    <w:rsid w:val="006228FA"/>
    <w:rsid w:val="00622CD3"/>
    <w:rsid w:val="006235F8"/>
    <w:rsid w:val="0062502A"/>
    <w:rsid w:val="006266F9"/>
    <w:rsid w:val="006271C3"/>
    <w:rsid w:val="0062722D"/>
    <w:rsid w:val="0062728A"/>
    <w:rsid w:val="006275D5"/>
    <w:rsid w:val="00627936"/>
    <w:rsid w:val="006300E6"/>
    <w:rsid w:val="00631352"/>
    <w:rsid w:val="006352BD"/>
    <w:rsid w:val="006354ED"/>
    <w:rsid w:val="0064081B"/>
    <w:rsid w:val="00642188"/>
    <w:rsid w:val="00642CC7"/>
    <w:rsid w:val="00642EFD"/>
    <w:rsid w:val="00643EA7"/>
    <w:rsid w:val="006443B0"/>
    <w:rsid w:val="0064670D"/>
    <w:rsid w:val="006476E1"/>
    <w:rsid w:val="00647A17"/>
    <w:rsid w:val="00652E1A"/>
    <w:rsid w:val="00653965"/>
    <w:rsid w:val="00653C19"/>
    <w:rsid w:val="006547FB"/>
    <w:rsid w:val="0065537F"/>
    <w:rsid w:val="00656DAC"/>
    <w:rsid w:val="00657A26"/>
    <w:rsid w:val="00657B38"/>
    <w:rsid w:val="00660856"/>
    <w:rsid w:val="00661977"/>
    <w:rsid w:val="00662A27"/>
    <w:rsid w:val="006631B6"/>
    <w:rsid w:val="006642DF"/>
    <w:rsid w:val="006642E8"/>
    <w:rsid w:val="0066495E"/>
    <w:rsid w:val="0066552E"/>
    <w:rsid w:val="006661E4"/>
    <w:rsid w:val="00672BD0"/>
    <w:rsid w:val="00672FA9"/>
    <w:rsid w:val="00674127"/>
    <w:rsid w:val="0067470D"/>
    <w:rsid w:val="00675AB6"/>
    <w:rsid w:val="00677F57"/>
    <w:rsid w:val="006800F7"/>
    <w:rsid w:val="0068087E"/>
    <w:rsid w:val="00681989"/>
    <w:rsid w:val="00682352"/>
    <w:rsid w:val="00682E7B"/>
    <w:rsid w:val="00684060"/>
    <w:rsid w:val="0068458C"/>
    <w:rsid w:val="00684E94"/>
    <w:rsid w:val="00685A5F"/>
    <w:rsid w:val="00685CE5"/>
    <w:rsid w:val="00690115"/>
    <w:rsid w:val="00690AE3"/>
    <w:rsid w:val="00691352"/>
    <w:rsid w:val="006915BB"/>
    <w:rsid w:val="006922EA"/>
    <w:rsid w:val="00693321"/>
    <w:rsid w:val="00693A01"/>
    <w:rsid w:val="00694588"/>
    <w:rsid w:val="00695DA1"/>
    <w:rsid w:val="00696F35"/>
    <w:rsid w:val="00696F8F"/>
    <w:rsid w:val="006970DC"/>
    <w:rsid w:val="00697BD6"/>
    <w:rsid w:val="006A0B6C"/>
    <w:rsid w:val="006A40E0"/>
    <w:rsid w:val="006A41E5"/>
    <w:rsid w:val="006A4E1D"/>
    <w:rsid w:val="006A605D"/>
    <w:rsid w:val="006A6A69"/>
    <w:rsid w:val="006A6C2F"/>
    <w:rsid w:val="006A6D32"/>
    <w:rsid w:val="006A7E50"/>
    <w:rsid w:val="006B0CFB"/>
    <w:rsid w:val="006B2E46"/>
    <w:rsid w:val="006B3B9E"/>
    <w:rsid w:val="006B42C3"/>
    <w:rsid w:val="006B5226"/>
    <w:rsid w:val="006B57AE"/>
    <w:rsid w:val="006B59CF"/>
    <w:rsid w:val="006B7837"/>
    <w:rsid w:val="006C21E5"/>
    <w:rsid w:val="006C5304"/>
    <w:rsid w:val="006C68B9"/>
    <w:rsid w:val="006D17EE"/>
    <w:rsid w:val="006D213D"/>
    <w:rsid w:val="006D2749"/>
    <w:rsid w:val="006D2C4E"/>
    <w:rsid w:val="006D3A6B"/>
    <w:rsid w:val="006D5D09"/>
    <w:rsid w:val="006D6CB6"/>
    <w:rsid w:val="006E1DBF"/>
    <w:rsid w:val="006E4976"/>
    <w:rsid w:val="006E5363"/>
    <w:rsid w:val="006E6102"/>
    <w:rsid w:val="006E6452"/>
    <w:rsid w:val="006E6886"/>
    <w:rsid w:val="006E7298"/>
    <w:rsid w:val="006E72F0"/>
    <w:rsid w:val="006E7D90"/>
    <w:rsid w:val="006F0C69"/>
    <w:rsid w:val="006F18D5"/>
    <w:rsid w:val="006F2143"/>
    <w:rsid w:val="006F2232"/>
    <w:rsid w:val="006F504D"/>
    <w:rsid w:val="006F558E"/>
    <w:rsid w:val="006F79E8"/>
    <w:rsid w:val="0070231F"/>
    <w:rsid w:val="0070471B"/>
    <w:rsid w:val="007048AE"/>
    <w:rsid w:val="007051B7"/>
    <w:rsid w:val="00705DB2"/>
    <w:rsid w:val="00706318"/>
    <w:rsid w:val="007076AB"/>
    <w:rsid w:val="00710D54"/>
    <w:rsid w:val="00713D70"/>
    <w:rsid w:val="0071568B"/>
    <w:rsid w:val="00716E7D"/>
    <w:rsid w:val="00717972"/>
    <w:rsid w:val="00717E09"/>
    <w:rsid w:val="00720787"/>
    <w:rsid w:val="00722239"/>
    <w:rsid w:val="00722CFF"/>
    <w:rsid w:val="00723487"/>
    <w:rsid w:val="00723D56"/>
    <w:rsid w:val="007262A6"/>
    <w:rsid w:val="00726F28"/>
    <w:rsid w:val="0072768F"/>
    <w:rsid w:val="007300D5"/>
    <w:rsid w:val="00730531"/>
    <w:rsid w:val="0073058B"/>
    <w:rsid w:val="00731015"/>
    <w:rsid w:val="00732BDD"/>
    <w:rsid w:val="00732CA9"/>
    <w:rsid w:val="00732E65"/>
    <w:rsid w:val="007333DA"/>
    <w:rsid w:val="00734110"/>
    <w:rsid w:val="00734B62"/>
    <w:rsid w:val="00735079"/>
    <w:rsid w:val="00736500"/>
    <w:rsid w:val="00736629"/>
    <w:rsid w:val="00736F49"/>
    <w:rsid w:val="007409C9"/>
    <w:rsid w:val="00740F9A"/>
    <w:rsid w:val="007412A4"/>
    <w:rsid w:val="00741A48"/>
    <w:rsid w:val="00742056"/>
    <w:rsid w:val="00745872"/>
    <w:rsid w:val="00745B38"/>
    <w:rsid w:val="00746C07"/>
    <w:rsid w:val="007479F4"/>
    <w:rsid w:val="00750153"/>
    <w:rsid w:val="00750231"/>
    <w:rsid w:val="0075033C"/>
    <w:rsid w:val="00750DE7"/>
    <w:rsid w:val="00750FC7"/>
    <w:rsid w:val="00752963"/>
    <w:rsid w:val="00755655"/>
    <w:rsid w:val="00755A43"/>
    <w:rsid w:val="0075661D"/>
    <w:rsid w:val="00757A47"/>
    <w:rsid w:val="00765ACC"/>
    <w:rsid w:val="007660BB"/>
    <w:rsid w:val="00771A06"/>
    <w:rsid w:val="00771AA2"/>
    <w:rsid w:val="00771C10"/>
    <w:rsid w:val="007731F6"/>
    <w:rsid w:val="00773906"/>
    <w:rsid w:val="007739C7"/>
    <w:rsid w:val="00774CC6"/>
    <w:rsid w:val="00775456"/>
    <w:rsid w:val="00776184"/>
    <w:rsid w:val="0077656F"/>
    <w:rsid w:val="00780296"/>
    <w:rsid w:val="00781786"/>
    <w:rsid w:val="0078214B"/>
    <w:rsid w:val="00783358"/>
    <w:rsid w:val="007833C5"/>
    <w:rsid w:val="0078734F"/>
    <w:rsid w:val="00790DD4"/>
    <w:rsid w:val="00791D91"/>
    <w:rsid w:val="00792737"/>
    <w:rsid w:val="0079283E"/>
    <w:rsid w:val="00792C48"/>
    <w:rsid w:val="0079393F"/>
    <w:rsid w:val="00795345"/>
    <w:rsid w:val="00796413"/>
    <w:rsid w:val="00796441"/>
    <w:rsid w:val="007A1338"/>
    <w:rsid w:val="007A1B31"/>
    <w:rsid w:val="007A38E8"/>
    <w:rsid w:val="007A48DB"/>
    <w:rsid w:val="007A5AA6"/>
    <w:rsid w:val="007A6530"/>
    <w:rsid w:val="007A6A36"/>
    <w:rsid w:val="007B0120"/>
    <w:rsid w:val="007B0454"/>
    <w:rsid w:val="007B073E"/>
    <w:rsid w:val="007B0A1F"/>
    <w:rsid w:val="007B32ED"/>
    <w:rsid w:val="007B3919"/>
    <w:rsid w:val="007B3A84"/>
    <w:rsid w:val="007B44BB"/>
    <w:rsid w:val="007B5891"/>
    <w:rsid w:val="007B5A41"/>
    <w:rsid w:val="007C08A3"/>
    <w:rsid w:val="007C0986"/>
    <w:rsid w:val="007C1589"/>
    <w:rsid w:val="007C16A6"/>
    <w:rsid w:val="007C2985"/>
    <w:rsid w:val="007C2F51"/>
    <w:rsid w:val="007C393D"/>
    <w:rsid w:val="007C3F9C"/>
    <w:rsid w:val="007C45CD"/>
    <w:rsid w:val="007C525A"/>
    <w:rsid w:val="007C5BF6"/>
    <w:rsid w:val="007C7292"/>
    <w:rsid w:val="007C7420"/>
    <w:rsid w:val="007C7D5A"/>
    <w:rsid w:val="007C7D8A"/>
    <w:rsid w:val="007D02F5"/>
    <w:rsid w:val="007D22A6"/>
    <w:rsid w:val="007D4171"/>
    <w:rsid w:val="007D4229"/>
    <w:rsid w:val="007D4B1B"/>
    <w:rsid w:val="007D6924"/>
    <w:rsid w:val="007E0148"/>
    <w:rsid w:val="007E0BF3"/>
    <w:rsid w:val="007E1644"/>
    <w:rsid w:val="007E251E"/>
    <w:rsid w:val="007E40D5"/>
    <w:rsid w:val="007E446B"/>
    <w:rsid w:val="007E4D88"/>
    <w:rsid w:val="007E54E1"/>
    <w:rsid w:val="007E64E9"/>
    <w:rsid w:val="007E68DF"/>
    <w:rsid w:val="007E70BE"/>
    <w:rsid w:val="007F0316"/>
    <w:rsid w:val="007F0B33"/>
    <w:rsid w:val="007F0F38"/>
    <w:rsid w:val="007F0FCD"/>
    <w:rsid w:val="007F229E"/>
    <w:rsid w:val="007F2C07"/>
    <w:rsid w:val="007F432F"/>
    <w:rsid w:val="007F6F58"/>
    <w:rsid w:val="007F72F7"/>
    <w:rsid w:val="007F7AB3"/>
    <w:rsid w:val="007F7D92"/>
    <w:rsid w:val="00800790"/>
    <w:rsid w:val="008009CE"/>
    <w:rsid w:val="00801A0A"/>
    <w:rsid w:val="00802040"/>
    <w:rsid w:val="00803939"/>
    <w:rsid w:val="00804EB7"/>
    <w:rsid w:val="008054B9"/>
    <w:rsid w:val="0080772B"/>
    <w:rsid w:val="00810880"/>
    <w:rsid w:val="00810BF2"/>
    <w:rsid w:val="00810EC1"/>
    <w:rsid w:val="00812159"/>
    <w:rsid w:val="00812728"/>
    <w:rsid w:val="00812845"/>
    <w:rsid w:val="00813C6F"/>
    <w:rsid w:val="00814028"/>
    <w:rsid w:val="008144B4"/>
    <w:rsid w:val="00816A71"/>
    <w:rsid w:val="00816B9D"/>
    <w:rsid w:val="00816D27"/>
    <w:rsid w:val="008200C5"/>
    <w:rsid w:val="00820958"/>
    <w:rsid w:val="00820C73"/>
    <w:rsid w:val="00821675"/>
    <w:rsid w:val="0082190E"/>
    <w:rsid w:val="008229BC"/>
    <w:rsid w:val="00823049"/>
    <w:rsid w:val="0082335C"/>
    <w:rsid w:val="00824137"/>
    <w:rsid w:val="0082443E"/>
    <w:rsid w:val="0082527D"/>
    <w:rsid w:val="00826494"/>
    <w:rsid w:val="008268F4"/>
    <w:rsid w:val="008269C8"/>
    <w:rsid w:val="008309CF"/>
    <w:rsid w:val="00830D3B"/>
    <w:rsid w:val="00830E02"/>
    <w:rsid w:val="008319E2"/>
    <w:rsid w:val="008345E0"/>
    <w:rsid w:val="00835495"/>
    <w:rsid w:val="00836F12"/>
    <w:rsid w:val="00837AB8"/>
    <w:rsid w:val="008406D8"/>
    <w:rsid w:val="00841367"/>
    <w:rsid w:val="0084268B"/>
    <w:rsid w:val="008443D1"/>
    <w:rsid w:val="008445CD"/>
    <w:rsid w:val="00844E66"/>
    <w:rsid w:val="00846973"/>
    <w:rsid w:val="00846D45"/>
    <w:rsid w:val="008473FC"/>
    <w:rsid w:val="00847A84"/>
    <w:rsid w:val="00850F97"/>
    <w:rsid w:val="00851510"/>
    <w:rsid w:val="00851D1B"/>
    <w:rsid w:val="008529A0"/>
    <w:rsid w:val="00854F5A"/>
    <w:rsid w:val="008554D6"/>
    <w:rsid w:val="008556DC"/>
    <w:rsid w:val="00855F77"/>
    <w:rsid w:val="00856064"/>
    <w:rsid w:val="0085620F"/>
    <w:rsid w:val="008575AF"/>
    <w:rsid w:val="00860204"/>
    <w:rsid w:val="008604BD"/>
    <w:rsid w:val="00863AEB"/>
    <w:rsid w:val="0086417E"/>
    <w:rsid w:val="00865204"/>
    <w:rsid w:val="00865CF5"/>
    <w:rsid w:val="0086648A"/>
    <w:rsid w:val="00867147"/>
    <w:rsid w:val="008705B4"/>
    <w:rsid w:val="00870E26"/>
    <w:rsid w:val="00873056"/>
    <w:rsid w:val="00873324"/>
    <w:rsid w:val="00873BFC"/>
    <w:rsid w:val="008747A2"/>
    <w:rsid w:val="00874E88"/>
    <w:rsid w:val="0087530D"/>
    <w:rsid w:val="00876B9D"/>
    <w:rsid w:val="00877A97"/>
    <w:rsid w:val="00877D71"/>
    <w:rsid w:val="0088140E"/>
    <w:rsid w:val="008816EC"/>
    <w:rsid w:val="00882D89"/>
    <w:rsid w:val="00883948"/>
    <w:rsid w:val="00885E5E"/>
    <w:rsid w:val="00890941"/>
    <w:rsid w:val="00891635"/>
    <w:rsid w:val="00891D97"/>
    <w:rsid w:val="00892DFF"/>
    <w:rsid w:val="00893E9A"/>
    <w:rsid w:val="00895123"/>
    <w:rsid w:val="00896B5F"/>
    <w:rsid w:val="008970EA"/>
    <w:rsid w:val="008A0D72"/>
    <w:rsid w:val="008A1A4C"/>
    <w:rsid w:val="008A2BEE"/>
    <w:rsid w:val="008A2C05"/>
    <w:rsid w:val="008A2DA2"/>
    <w:rsid w:val="008A31F6"/>
    <w:rsid w:val="008A41A4"/>
    <w:rsid w:val="008A4D87"/>
    <w:rsid w:val="008A513F"/>
    <w:rsid w:val="008A62BC"/>
    <w:rsid w:val="008A74A0"/>
    <w:rsid w:val="008B02AC"/>
    <w:rsid w:val="008B0D03"/>
    <w:rsid w:val="008B0F60"/>
    <w:rsid w:val="008B1271"/>
    <w:rsid w:val="008B3326"/>
    <w:rsid w:val="008B3618"/>
    <w:rsid w:val="008B423A"/>
    <w:rsid w:val="008B4930"/>
    <w:rsid w:val="008B4EE1"/>
    <w:rsid w:val="008B5D05"/>
    <w:rsid w:val="008B6309"/>
    <w:rsid w:val="008B6B8E"/>
    <w:rsid w:val="008B716B"/>
    <w:rsid w:val="008C23DB"/>
    <w:rsid w:val="008C2741"/>
    <w:rsid w:val="008C39A0"/>
    <w:rsid w:val="008C3B73"/>
    <w:rsid w:val="008C4255"/>
    <w:rsid w:val="008C4DDB"/>
    <w:rsid w:val="008C4E9C"/>
    <w:rsid w:val="008C724B"/>
    <w:rsid w:val="008C7A37"/>
    <w:rsid w:val="008D0693"/>
    <w:rsid w:val="008D1D25"/>
    <w:rsid w:val="008D1D82"/>
    <w:rsid w:val="008D2F40"/>
    <w:rsid w:val="008D3B69"/>
    <w:rsid w:val="008D50C3"/>
    <w:rsid w:val="008D5F47"/>
    <w:rsid w:val="008D666A"/>
    <w:rsid w:val="008D6746"/>
    <w:rsid w:val="008D7726"/>
    <w:rsid w:val="008E3025"/>
    <w:rsid w:val="008E34B0"/>
    <w:rsid w:val="008E3791"/>
    <w:rsid w:val="008E3C82"/>
    <w:rsid w:val="008E3F59"/>
    <w:rsid w:val="008E436D"/>
    <w:rsid w:val="008E5660"/>
    <w:rsid w:val="008E5E16"/>
    <w:rsid w:val="008E5E95"/>
    <w:rsid w:val="008E7C11"/>
    <w:rsid w:val="008E7D01"/>
    <w:rsid w:val="008F019A"/>
    <w:rsid w:val="008F04C3"/>
    <w:rsid w:val="008F0F68"/>
    <w:rsid w:val="008F11F3"/>
    <w:rsid w:val="008F1DA1"/>
    <w:rsid w:val="008F2069"/>
    <w:rsid w:val="008F2C13"/>
    <w:rsid w:val="008F39F1"/>
    <w:rsid w:val="008F5A86"/>
    <w:rsid w:val="008F5B02"/>
    <w:rsid w:val="008F73EB"/>
    <w:rsid w:val="008F783F"/>
    <w:rsid w:val="00900C79"/>
    <w:rsid w:val="00900EA7"/>
    <w:rsid w:val="0090402E"/>
    <w:rsid w:val="00905620"/>
    <w:rsid w:val="00905FA9"/>
    <w:rsid w:val="00906089"/>
    <w:rsid w:val="00906DF0"/>
    <w:rsid w:val="0090780D"/>
    <w:rsid w:val="00907B77"/>
    <w:rsid w:val="0091014D"/>
    <w:rsid w:val="00910548"/>
    <w:rsid w:val="00910E82"/>
    <w:rsid w:val="0091117E"/>
    <w:rsid w:val="00911A90"/>
    <w:rsid w:val="009123DD"/>
    <w:rsid w:val="0091268C"/>
    <w:rsid w:val="00912E2B"/>
    <w:rsid w:val="00915341"/>
    <w:rsid w:val="009155B0"/>
    <w:rsid w:val="00915E1B"/>
    <w:rsid w:val="009164F9"/>
    <w:rsid w:val="009176D1"/>
    <w:rsid w:val="00917889"/>
    <w:rsid w:val="00917BA5"/>
    <w:rsid w:val="00917CC9"/>
    <w:rsid w:val="0092034C"/>
    <w:rsid w:val="00920732"/>
    <w:rsid w:val="00921D2C"/>
    <w:rsid w:val="00921DDF"/>
    <w:rsid w:val="009238B9"/>
    <w:rsid w:val="009259D7"/>
    <w:rsid w:val="00925DA5"/>
    <w:rsid w:val="0092669C"/>
    <w:rsid w:val="009271B0"/>
    <w:rsid w:val="0092765E"/>
    <w:rsid w:val="00930934"/>
    <w:rsid w:val="00930EE5"/>
    <w:rsid w:val="00931945"/>
    <w:rsid w:val="00932521"/>
    <w:rsid w:val="0093413C"/>
    <w:rsid w:val="00935EDE"/>
    <w:rsid w:val="00937A59"/>
    <w:rsid w:val="0094249D"/>
    <w:rsid w:val="00943913"/>
    <w:rsid w:val="00943DBA"/>
    <w:rsid w:val="009440BB"/>
    <w:rsid w:val="009447B7"/>
    <w:rsid w:val="00944BF9"/>
    <w:rsid w:val="0094501A"/>
    <w:rsid w:val="00945CC1"/>
    <w:rsid w:val="00945E94"/>
    <w:rsid w:val="00946770"/>
    <w:rsid w:val="00947EB1"/>
    <w:rsid w:val="00950105"/>
    <w:rsid w:val="0095071F"/>
    <w:rsid w:val="009514DF"/>
    <w:rsid w:val="00951C98"/>
    <w:rsid w:val="009526D0"/>
    <w:rsid w:val="00953385"/>
    <w:rsid w:val="00954A1B"/>
    <w:rsid w:val="00954D12"/>
    <w:rsid w:val="00955092"/>
    <w:rsid w:val="00955512"/>
    <w:rsid w:val="00956146"/>
    <w:rsid w:val="00956952"/>
    <w:rsid w:val="00956C4D"/>
    <w:rsid w:val="00956E71"/>
    <w:rsid w:val="00960346"/>
    <w:rsid w:val="00961C0A"/>
    <w:rsid w:val="00961C43"/>
    <w:rsid w:val="00961CF2"/>
    <w:rsid w:val="0096213A"/>
    <w:rsid w:val="0096268C"/>
    <w:rsid w:val="009631AB"/>
    <w:rsid w:val="009639EC"/>
    <w:rsid w:val="009645B1"/>
    <w:rsid w:val="009673CB"/>
    <w:rsid w:val="00967501"/>
    <w:rsid w:val="00967B80"/>
    <w:rsid w:val="009702DA"/>
    <w:rsid w:val="009715CF"/>
    <w:rsid w:val="00971EA6"/>
    <w:rsid w:val="009740DF"/>
    <w:rsid w:val="00976938"/>
    <w:rsid w:val="00977310"/>
    <w:rsid w:val="00981A20"/>
    <w:rsid w:val="00981BEC"/>
    <w:rsid w:val="00982636"/>
    <w:rsid w:val="00982F9F"/>
    <w:rsid w:val="00983181"/>
    <w:rsid w:val="0098413E"/>
    <w:rsid w:val="009849A9"/>
    <w:rsid w:val="009860CF"/>
    <w:rsid w:val="00986A2B"/>
    <w:rsid w:val="009873B5"/>
    <w:rsid w:val="00990A01"/>
    <w:rsid w:val="00990BCD"/>
    <w:rsid w:val="00992AFB"/>
    <w:rsid w:val="009939BF"/>
    <w:rsid w:val="00995520"/>
    <w:rsid w:val="00996319"/>
    <w:rsid w:val="00996325"/>
    <w:rsid w:val="0099679D"/>
    <w:rsid w:val="00997FF4"/>
    <w:rsid w:val="009A0632"/>
    <w:rsid w:val="009A1108"/>
    <w:rsid w:val="009A1BAA"/>
    <w:rsid w:val="009A1C1A"/>
    <w:rsid w:val="009A2FD9"/>
    <w:rsid w:val="009A30B0"/>
    <w:rsid w:val="009A3D5F"/>
    <w:rsid w:val="009A594B"/>
    <w:rsid w:val="009A7CF7"/>
    <w:rsid w:val="009B0CFF"/>
    <w:rsid w:val="009B2160"/>
    <w:rsid w:val="009B26BB"/>
    <w:rsid w:val="009B2891"/>
    <w:rsid w:val="009B2C99"/>
    <w:rsid w:val="009B3E33"/>
    <w:rsid w:val="009B4233"/>
    <w:rsid w:val="009B50FA"/>
    <w:rsid w:val="009B543E"/>
    <w:rsid w:val="009B7437"/>
    <w:rsid w:val="009B74D6"/>
    <w:rsid w:val="009C055F"/>
    <w:rsid w:val="009C1792"/>
    <w:rsid w:val="009C1CF8"/>
    <w:rsid w:val="009C2A1A"/>
    <w:rsid w:val="009C2C88"/>
    <w:rsid w:val="009C39CB"/>
    <w:rsid w:val="009C561A"/>
    <w:rsid w:val="009C66D7"/>
    <w:rsid w:val="009C71C1"/>
    <w:rsid w:val="009D2334"/>
    <w:rsid w:val="009D2591"/>
    <w:rsid w:val="009D3645"/>
    <w:rsid w:val="009D3850"/>
    <w:rsid w:val="009D4074"/>
    <w:rsid w:val="009D4B21"/>
    <w:rsid w:val="009D69C7"/>
    <w:rsid w:val="009D7865"/>
    <w:rsid w:val="009E11F6"/>
    <w:rsid w:val="009E2A31"/>
    <w:rsid w:val="009E47BE"/>
    <w:rsid w:val="009E480E"/>
    <w:rsid w:val="009E56F5"/>
    <w:rsid w:val="009E6ADD"/>
    <w:rsid w:val="009E6D41"/>
    <w:rsid w:val="009E7830"/>
    <w:rsid w:val="009F0283"/>
    <w:rsid w:val="009F1BB6"/>
    <w:rsid w:val="009F2282"/>
    <w:rsid w:val="009F2313"/>
    <w:rsid w:val="009F2F79"/>
    <w:rsid w:val="009F30DE"/>
    <w:rsid w:val="009F3AE4"/>
    <w:rsid w:val="009F3BD0"/>
    <w:rsid w:val="009F5588"/>
    <w:rsid w:val="009F5922"/>
    <w:rsid w:val="009F5D1C"/>
    <w:rsid w:val="009F5E5E"/>
    <w:rsid w:val="009F70B1"/>
    <w:rsid w:val="009F7194"/>
    <w:rsid w:val="00A00897"/>
    <w:rsid w:val="00A00EB3"/>
    <w:rsid w:val="00A046C0"/>
    <w:rsid w:val="00A05AB7"/>
    <w:rsid w:val="00A05E7C"/>
    <w:rsid w:val="00A06166"/>
    <w:rsid w:val="00A061F7"/>
    <w:rsid w:val="00A06906"/>
    <w:rsid w:val="00A1000B"/>
    <w:rsid w:val="00A1048D"/>
    <w:rsid w:val="00A104D1"/>
    <w:rsid w:val="00A11959"/>
    <w:rsid w:val="00A12CF2"/>
    <w:rsid w:val="00A12FC0"/>
    <w:rsid w:val="00A13125"/>
    <w:rsid w:val="00A131A2"/>
    <w:rsid w:val="00A13FCD"/>
    <w:rsid w:val="00A14C48"/>
    <w:rsid w:val="00A15B04"/>
    <w:rsid w:val="00A15BF1"/>
    <w:rsid w:val="00A16C30"/>
    <w:rsid w:val="00A17442"/>
    <w:rsid w:val="00A176ED"/>
    <w:rsid w:val="00A17E38"/>
    <w:rsid w:val="00A17F52"/>
    <w:rsid w:val="00A231A1"/>
    <w:rsid w:val="00A25A02"/>
    <w:rsid w:val="00A2614B"/>
    <w:rsid w:val="00A267F3"/>
    <w:rsid w:val="00A3119B"/>
    <w:rsid w:val="00A317C6"/>
    <w:rsid w:val="00A31918"/>
    <w:rsid w:val="00A33A88"/>
    <w:rsid w:val="00A34E51"/>
    <w:rsid w:val="00A3713B"/>
    <w:rsid w:val="00A40F1E"/>
    <w:rsid w:val="00A41073"/>
    <w:rsid w:val="00A42855"/>
    <w:rsid w:val="00A43BCF"/>
    <w:rsid w:val="00A43F5E"/>
    <w:rsid w:val="00A442E1"/>
    <w:rsid w:val="00A4555B"/>
    <w:rsid w:val="00A455FF"/>
    <w:rsid w:val="00A45817"/>
    <w:rsid w:val="00A45998"/>
    <w:rsid w:val="00A4767F"/>
    <w:rsid w:val="00A51017"/>
    <w:rsid w:val="00A5248E"/>
    <w:rsid w:val="00A52D5C"/>
    <w:rsid w:val="00A53494"/>
    <w:rsid w:val="00A537CE"/>
    <w:rsid w:val="00A53968"/>
    <w:rsid w:val="00A53B29"/>
    <w:rsid w:val="00A53E2E"/>
    <w:rsid w:val="00A55CA6"/>
    <w:rsid w:val="00A57108"/>
    <w:rsid w:val="00A60519"/>
    <w:rsid w:val="00A61279"/>
    <w:rsid w:val="00A63DE7"/>
    <w:rsid w:val="00A64AAC"/>
    <w:rsid w:val="00A65327"/>
    <w:rsid w:val="00A65573"/>
    <w:rsid w:val="00A65DEF"/>
    <w:rsid w:val="00A65FBF"/>
    <w:rsid w:val="00A708AE"/>
    <w:rsid w:val="00A719CD"/>
    <w:rsid w:val="00A7460F"/>
    <w:rsid w:val="00A75901"/>
    <w:rsid w:val="00A77A1C"/>
    <w:rsid w:val="00A77EA2"/>
    <w:rsid w:val="00A81E48"/>
    <w:rsid w:val="00A8227E"/>
    <w:rsid w:val="00A82B7E"/>
    <w:rsid w:val="00A8358A"/>
    <w:rsid w:val="00A83AA5"/>
    <w:rsid w:val="00A83E32"/>
    <w:rsid w:val="00A849BE"/>
    <w:rsid w:val="00A85D94"/>
    <w:rsid w:val="00A86351"/>
    <w:rsid w:val="00A87589"/>
    <w:rsid w:val="00A92C49"/>
    <w:rsid w:val="00A93F27"/>
    <w:rsid w:val="00A9417D"/>
    <w:rsid w:val="00A945ED"/>
    <w:rsid w:val="00A95EBF"/>
    <w:rsid w:val="00A97A0A"/>
    <w:rsid w:val="00AA012A"/>
    <w:rsid w:val="00AA0407"/>
    <w:rsid w:val="00AA0DE7"/>
    <w:rsid w:val="00AA2181"/>
    <w:rsid w:val="00AA56CE"/>
    <w:rsid w:val="00AA57A8"/>
    <w:rsid w:val="00AA5EFB"/>
    <w:rsid w:val="00AA6687"/>
    <w:rsid w:val="00AA76E9"/>
    <w:rsid w:val="00AB0BDB"/>
    <w:rsid w:val="00AB1DF6"/>
    <w:rsid w:val="00AB5AB2"/>
    <w:rsid w:val="00AB70C3"/>
    <w:rsid w:val="00AB7941"/>
    <w:rsid w:val="00AC04D0"/>
    <w:rsid w:val="00AC15F1"/>
    <w:rsid w:val="00AC2483"/>
    <w:rsid w:val="00AC3EA2"/>
    <w:rsid w:val="00AC457D"/>
    <w:rsid w:val="00AC51A5"/>
    <w:rsid w:val="00AC5E5D"/>
    <w:rsid w:val="00AC7164"/>
    <w:rsid w:val="00AD042B"/>
    <w:rsid w:val="00AD1D2A"/>
    <w:rsid w:val="00AD6C95"/>
    <w:rsid w:val="00AD7D37"/>
    <w:rsid w:val="00AE0A49"/>
    <w:rsid w:val="00AE0E7A"/>
    <w:rsid w:val="00AE1566"/>
    <w:rsid w:val="00AE16DF"/>
    <w:rsid w:val="00AE3203"/>
    <w:rsid w:val="00AE3445"/>
    <w:rsid w:val="00AE3F35"/>
    <w:rsid w:val="00AE3FCD"/>
    <w:rsid w:val="00AE4FDA"/>
    <w:rsid w:val="00AE53B7"/>
    <w:rsid w:val="00AE5495"/>
    <w:rsid w:val="00AE7018"/>
    <w:rsid w:val="00AE7658"/>
    <w:rsid w:val="00AE7899"/>
    <w:rsid w:val="00AF21E9"/>
    <w:rsid w:val="00AF24AD"/>
    <w:rsid w:val="00AF3FB0"/>
    <w:rsid w:val="00AF4979"/>
    <w:rsid w:val="00AF5C0C"/>
    <w:rsid w:val="00AF63FF"/>
    <w:rsid w:val="00B006FB"/>
    <w:rsid w:val="00B014EE"/>
    <w:rsid w:val="00B02E10"/>
    <w:rsid w:val="00B036AC"/>
    <w:rsid w:val="00B041AB"/>
    <w:rsid w:val="00B1001A"/>
    <w:rsid w:val="00B10BA6"/>
    <w:rsid w:val="00B11E30"/>
    <w:rsid w:val="00B12188"/>
    <w:rsid w:val="00B1575A"/>
    <w:rsid w:val="00B158DB"/>
    <w:rsid w:val="00B15FED"/>
    <w:rsid w:val="00B16395"/>
    <w:rsid w:val="00B163A0"/>
    <w:rsid w:val="00B175DE"/>
    <w:rsid w:val="00B17C8F"/>
    <w:rsid w:val="00B23157"/>
    <w:rsid w:val="00B23339"/>
    <w:rsid w:val="00B23D1C"/>
    <w:rsid w:val="00B25CF1"/>
    <w:rsid w:val="00B2625D"/>
    <w:rsid w:val="00B279AC"/>
    <w:rsid w:val="00B304EB"/>
    <w:rsid w:val="00B30DA3"/>
    <w:rsid w:val="00B33269"/>
    <w:rsid w:val="00B33754"/>
    <w:rsid w:val="00B367CD"/>
    <w:rsid w:val="00B36C00"/>
    <w:rsid w:val="00B404A0"/>
    <w:rsid w:val="00B41D9B"/>
    <w:rsid w:val="00B43008"/>
    <w:rsid w:val="00B43D54"/>
    <w:rsid w:val="00B46347"/>
    <w:rsid w:val="00B51238"/>
    <w:rsid w:val="00B51D8B"/>
    <w:rsid w:val="00B51FC9"/>
    <w:rsid w:val="00B5262F"/>
    <w:rsid w:val="00B5439F"/>
    <w:rsid w:val="00B5590A"/>
    <w:rsid w:val="00B571F5"/>
    <w:rsid w:val="00B61EEB"/>
    <w:rsid w:val="00B621D0"/>
    <w:rsid w:val="00B62620"/>
    <w:rsid w:val="00B62DE0"/>
    <w:rsid w:val="00B6309E"/>
    <w:rsid w:val="00B63A45"/>
    <w:rsid w:val="00B63D1C"/>
    <w:rsid w:val="00B63F72"/>
    <w:rsid w:val="00B64F53"/>
    <w:rsid w:val="00B655B5"/>
    <w:rsid w:val="00B65831"/>
    <w:rsid w:val="00B67ACA"/>
    <w:rsid w:val="00B67FAF"/>
    <w:rsid w:val="00B70C78"/>
    <w:rsid w:val="00B71238"/>
    <w:rsid w:val="00B7137A"/>
    <w:rsid w:val="00B71DEB"/>
    <w:rsid w:val="00B72B5D"/>
    <w:rsid w:val="00B73543"/>
    <w:rsid w:val="00B75FF8"/>
    <w:rsid w:val="00B77083"/>
    <w:rsid w:val="00B77FEE"/>
    <w:rsid w:val="00B812E5"/>
    <w:rsid w:val="00B830FB"/>
    <w:rsid w:val="00B844AD"/>
    <w:rsid w:val="00B84E05"/>
    <w:rsid w:val="00B850F2"/>
    <w:rsid w:val="00B85203"/>
    <w:rsid w:val="00B858CB"/>
    <w:rsid w:val="00B87AD6"/>
    <w:rsid w:val="00B90FB7"/>
    <w:rsid w:val="00B91282"/>
    <w:rsid w:val="00B91A25"/>
    <w:rsid w:val="00B930CB"/>
    <w:rsid w:val="00B9367D"/>
    <w:rsid w:val="00B937D9"/>
    <w:rsid w:val="00B9420D"/>
    <w:rsid w:val="00B9609D"/>
    <w:rsid w:val="00B96429"/>
    <w:rsid w:val="00B9695F"/>
    <w:rsid w:val="00B96F4B"/>
    <w:rsid w:val="00BA3449"/>
    <w:rsid w:val="00BA3D35"/>
    <w:rsid w:val="00BA43CB"/>
    <w:rsid w:val="00BA46B6"/>
    <w:rsid w:val="00BA4F2E"/>
    <w:rsid w:val="00BA5CA4"/>
    <w:rsid w:val="00BA6E28"/>
    <w:rsid w:val="00BB10FA"/>
    <w:rsid w:val="00BB1B11"/>
    <w:rsid w:val="00BB23C3"/>
    <w:rsid w:val="00BB4828"/>
    <w:rsid w:val="00BB7D52"/>
    <w:rsid w:val="00BC05B7"/>
    <w:rsid w:val="00BC0D5A"/>
    <w:rsid w:val="00BC13B5"/>
    <w:rsid w:val="00BC17F7"/>
    <w:rsid w:val="00BC243A"/>
    <w:rsid w:val="00BC3670"/>
    <w:rsid w:val="00BC3A17"/>
    <w:rsid w:val="00BC59D0"/>
    <w:rsid w:val="00BC629C"/>
    <w:rsid w:val="00BC66BA"/>
    <w:rsid w:val="00BC70EE"/>
    <w:rsid w:val="00BC75F2"/>
    <w:rsid w:val="00BC7B69"/>
    <w:rsid w:val="00BD0B63"/>
    <w:rsid w:val="00BD1248"/>
    <w:rsid w:val="00BD1298"/>
    <w:rsid w:val="00BD18DF"/>
    <w:rsid w:val="00BD35C7"/>
    <w:rsid w:val="00BD3C89"/>
    <w:rsid w:val="00BD3D6A"/>
    <w:rsid w:val="00BD4096"/>
    <w:rsid w:val="00BD659B"/>
    <w:rsid w:val="00BE50B1"/>
    <w:rsid w:val="00BE577E"/>
    <w:rsid w:val="00BE5BBC"/>
    <w:rsid w:val="00BE69FB"/>
    <w:rsid w:val="00BF03D6"/>
    <w:rsid w:val="00BF196C"/>
    <w:rsid w:val="00BF22BF"/>
    <w:rsid w:val="00BF25A1"/>
    <w:rsid w:val="00BF35AD"/>
    <w:rsid w:val="00BF408C"/>
    <w:rsid w:val="00BF5E0C"/>
    <w:rsid w:val="00BF670B"/>
    <w:rsid w:val="00BF6E03"/>
    <w:rsid w:val="00C004C4"/>
    <w:rsid w:val="00C00B3A"/>
    <w:rsid w:val="00C0105D"/>
    <w:rsid w:val="00C036F0"/>
    <w:rsid w:val="00C04C5C"/>
    <w:rsid w:val="00C05147"/>
    <w:rsid w:val="00C05C54"/>
    <w:rsid w:val="00C061EB"/>
    <w:rsid w:val="00C07A58"/>
    <w:rsid w:val="00C10421"/>
    <w:rsid w:val="00C10A01"/>
    <w:rsid w:val="00C112DB"/>
    <w:rsid w:val="00C113D2"/>
    <w:rsid w:val="00C11CF2"/>
    <w:rsid w:val="00C13BFC"/>
    <w:rsid w:val="00C1489E"/>
    <w:rsid w:val="00C15241"/>
    <w:rsid w:val="00C15A5C"/>
    <w:rsid w:val="00C15E76"/>
    <w:rsid w:val="00C1619D"/>
    <w:rsid w:val="00C16938"/>
    <w:rsid w:val="00C20864"/>
    <w:rsid w:val="00C22CF5"/>
    <w:rsid w:val="00C268A3"/>
    <w:rsid w:val="00C26EBD"/>
    <w:rsid w:val="00C30B24"/>
    <w:rsid w:val="00C31DE2"/>
    <w:rsid w:val="00C32C69"/>
    <w:rsid w:val="00C32C75"/>
    <w:rsid w:val="00C33E1F"/>
    <w:rsid w:val="00C3539B"/>
    <w:rsid w:val="00C35899"/>
    <w:rsid w:val="00C3753A"/>
    <w:rsid w:val="00C41408"/>
    <w:rsid w:val="00C422F5"/>
    <w:rsid w:val="00C4231B"/>
    <w:rsid w:val="00C423FC"/>
    <w:rsid w:val="00C4253D"/>
    <w:rsid w:val="00C43656"/>
    <w:rsid w:val="00C46077"/>
    <w:rsid w:val="00C46A16"/>
    <w:rsid w:val="00C472EE"/>
    <w:rsid w:val="00C52825"/>
    <w:rsid w:val="00C547DA"/>
    <w:rsid w:val="00C54902"/>
    <w:rsid w:val="00C54BB6"/>
    <w:rsid w:val="00C56282"/>
    <w:rsid w:val="00C56448"/>
    <w:rsid w:val="00C57052"/>
    <w:rsid w:val="00C577D5"/>
    <w:rsid w:val="00C60E36"/>
    <w:rsid w:val="00C6132F"/>
    <w:rsid w:val="00C61FB4"/>
    <w:rsid w:val="00C62D2C"/>
    <w:rsid w:val="00C6439D"/>
    <w:rsid w:val="00C66232"/>
    <w:rsid w:val="00C67FFC"/>
    <w:rsid w:val="00C70529"/>
    <w:rsid w:val="00C70FA2"/>
    <w:rsid w:val="00C717A3"/>
    <w:rsid w:val="00C719A3"/>
    <w:rsid w:val="00C71EBB"/>
    <w:rsid w:val="00C71F7B"/>
    <w:rsid w:val="00C7569A"/>
    <w:rsid w:val="00C75EE1"/>
    <w:rsid w:val="00C76183"/>
    <w:rsid w:val="00C77824"/>
    <w:rsid w:val="00C77FA9"/>
    <w:rsid w:val="00C77FAA"/>
    <w:rsid w:val="00C817EA"/>
    <w:rsid w:val="00C82D09"/>
    <w:rsid w:val="00C83D2D"/>
    <w:rsid w:val="00C84D46"/>
    <w:rsid w:val="00C851BC"/>
    <w:rsid w:val="00C859E3"/>
    <w:rsid w:val="00C86519"/>
    <w:rsid w:val="00C871FA"/>
    <w:rsid w:val="00C9211B"/>
    <w:rsid w:val="00C93900"/>
    <w:rsid w:val="00C952B7"/>
    <w:rsid w:val="00C955BA"/>
    <w:rsid w:val="00C95B04"/>
    <w:rsid w:val="00C978B0"/>
    <w:rsid w:val="00C978E0"/>
    <w:rsid w:val="00C97F4F"/>
    <w:rsid w:val="00CA0093"/>
    <w:rsid w:val="00CA0706"/>
    <w:rsid w:val="00CA308B"/>
    <w:rsid w:val="00CA313D"/>
    <w:rsid w:val="00CA46D9"/>
    <w:rsid w:val="00CA4FAF"/>
    <w:rsid w:val="00CA53EC"/>
    <w:rsid w:val="00CA551D"/>
    <w:rsid w:val="00CA76AC"/>
    <w:rsid w:val="00CB120C"/>
    <w:rsid w:val="00CB141F"/>
    <w:rsid w:val="00CB1B7B"/>
    <w:rsid w:val="00CB1BBB"/>
    <w:rsid w:val="00CB1FB7"/>
    <w:rsid w:val="00CB271A"/>
    <w:rsid w:val="00CB2A07"/>
    <w:rsid w:val="00CB30DB"/>
    <w:rsid w:val="00CB3F25"/>
    <w:rsid w:val="00CB435F"/>
    <w:rsid w:val="00CB4E68"/>
    <w:rsid w:val="00CB4EC1"/>
    <w:rsid w:val="00CB655B"/>
    <w:rsid w:val="00CB7C0A"/>
    <w:rsid w:val="00CC12A4"/>
    <w:rsid w:val="00CC22CC"/>
    <w:rsid w:val="00CC230B"/>
    <w:rsid w:val="00CC444F"/>
    <w:rsid w:val="00CC66B5"/>
    <w:rsid w:val="00CC77E2"/>
    <w:rsid w:val="00CC7C39"/>
    <w:rsid w:val="00CD0E27"/>
    <w:rsid w:val="00CD1929"/>
    <w:rsid w:val="00CD3A06"/>
    <w:rsid w:val="00CD4113"/>
    <w:rsid w:val="00CD4DF9"/>
    <w:rsid w:val="00CD56C9"/>
    <w:rsid w:val="00CD5D94"/>
    <w:rsid w:val="00CD5FD1"/>
    <w:rsid w:val="00CD793E"/>
    <w:rsid w:val="00CD7AF6"/>
    <w:rsid w:val="00CD7F0E"/>
    <w:rsid w:val="00CE088B"/>
    <w:rsid w:val="00CE08E3"/>
    <w:rsid w:val="00CE09F4"/>
    <w:rsid w:val="00CE111C"/>
    <w:rsid w:val="00CE18BB"/>
    <w:rsid w:val="00CE1916"/>
    <w:rsid w:val="00CE1989"/>
    <w:rsid w:val="00CE1CA9"/>
    <w:rsid w:val="00CE1F47"/>
    <w:rsid w:val="00CE2526"/>
    <w:rsid w:val="00CE3536"/>
    <w:rsid w:val="00CE43C0"/>
    <w:rsid w:val="00CE5FCD"/>
    <w:rsid w:val="00CE6043"/>
    <w:rsid w:val="00CE6494"/>
    <w:rsid w:val="00CE6F59"/>
    <w:rsid w:val="00CE7B7E"/>
    <w:rsid w:val="00CF027C"/>
    <w:rsid w:val="00CF0B84"/>
    <w:rsid w:val="00CF1E71"/>
    <w:rsid w:val="00CF24D2"/>
    <w:rsid w:val="00CF261A"/>
    <w:rsid w:val="00CF2992"/>
    <w:rsid w:val="00CF32DE"/>
    <w:rsid w:val="00CF34C4"/>
    <w:rsid w:val="00CF3CAA"/>
    <w:rsid w:val="00CF3E2C"/>
    <w:rsid w:val="00CF61DD"/>
    <w:rsid w:val="00CF685B"/>
    <w:rsid w:val="00CF7C47"/>
    <w:rsid w:val="00CF7E3B"/>
    <w:rsid w:val="00D00563"/>
    <w:rsid w:val="00D00DC1"/>
    <w:rsid w:val="00D01121"/>
    <w:rsid w:val="00D02799"/>
    <w:rsid w:val="00D039B7"/>
    <w:rsid w:val="00D03FDA"/>
    <w:rsid w:val="00D04CBB"/>
    <w:rsid w:val="00D064CE"/>
    <w:rsid w:val="00D07E24"/>
    <w:rsid w:val="00D10F58"/>
    <w:rsid w:val="00D14158"/>
    <w:rsid w:val="00D142E5"/>
    <w:rsid w:val="00D1488F"/>
    <w:rsid w:val="00D1745C"/>
    <w:rsid w:val="00D17F9D"/>
    <w:rsid w:val="00D22D05"/>
    <w:rsid w:val="00D23540"/>
    <w:rsid w:val="00D23C03"/>
    <w:rsid w:val="00D2415D"/>
    <w:rsid w:val="00D24751"/>
    <w:rsid w:val="00D24970"/>
    <w:rsid w:val="00D250A2"/>
    <w:rsid w:val="00D2601F"/>
    <w:rsid w:val="00D260CB"/>
    <w:rsid w:val="00D272C0"/>
    <w:rsid w:val="00D272EC"/>
    <w:rsid w:val="00D30A9B"/>
    <w:rsid w:val="00D330AB"/>
    <w:rsid w:val="00D332C5"/>
    <w:rsid w:val="00D33432"/>
    <w:rsid w:val="00D349D6"/>
    <w:rsid w:val="00D34C4B"/>
    <w:rsid w:val="00D34E81"/>
    <w:rsid w:val="00D35D7F"/>
    <w:rsid w:val="00D35E2E"/>
    <w:rsid w:val="00D364A3"/>
    <w:rsid w:val="00D36582"/>
    <w:rsid w:val="00D37232"/>
    <w:rsid w:val="00D37535"/>
    <w:rsid w:val="00D37EAD"/>
    <w:rsid w:val="00D43921"/>
    <w:rsid w:val="00D457C4"/>
    <w:rsid w:val="00D4680F"/>
    <w:rsid w:val="00D4750B"/>
    <w:rsid w:val="00D4753C"/>
    <w:rsid w:val="00D513DA"/>
    <w:rsid w:val="00D514CF"/>
    <w:rsid w:val="00D51A8A"/>
    <w:rsid w:val="00D51D39"/>
    <w:rsid w:val="00D54AA7"/>
    <w:rsid w:val="00D54D56"/>
    <w:rsid w:val="00D54E26"/>
    <w:rsid w:val="00D55ED6"/>
    <w:rsid w:val="00D56635"/>
    <w:rsid w:val="00D602FE"/>
    <w:rsid w:val="00D62691"/>
    <w:rsid w:val="00D62FE7"/>
    <w:rsid w:val="00D637B2"/>
    <w:rsid w:val="00D66138"/>
    <w:rsid w:val="00D66600"/>
    <w:rsid w:val="00D66B33"/>
    <w:rsid w:val="00D70F83"/>
    <w:rsid w:val="00D727FE"/>
    <w:rsid w:val="00D72EA6"/>
    <w:rsid w:val="00D7354B"/>
    <w:rsid w:val="00D74DC9"/>
    <w:rsid w:val="00D77A65"/>
    <w:rsid w:val="00D80C22"/>
    <w:rsid w:val="00D82C2D"/>
    <w:rsid w:val="00D8330E"/>
    <w:rsid w:val="00D84C1F"/>
    <w:rsid w:val="00D850B7"/>
    <w:rsid w:val="00D870BE"/>
    <w:rsid w:val="00D876A9"/>
    <w:rsid w:val="00D90280"/>
    <w:rsid w:val="00D904BF"/>
    <w:rsid w:val="00D913E0"/>
    <w:rsid w:val="00D92782"/>
    <w:rsid w:val="00D93BD1"/>
    <w:rsid w:val="00D9622D"/>
    <w:rsid w:val="00D97E5A"/>
    <w:rsid w:val="00DA02E4"/>
    <w:rsid w:val="00DA02F9"/>
    <w:rsid w:val="00DA0F26"/>
    <w:rsid w:val="00DA23D2"/>
    <w:rsid w:val="00DA2568"/>
    <w:rsid w:val="00DA2783"/>
    <w:rsid w:val="00DA2BD0"/>
    <w:rsid w:val="00DA337F"/>
    <w:rsid w:val="00DA5194"/>
    <w:rsid w:val="00DA54E4"/>
    <w:rsid w:val="00DA7796"/>
    <w:rsid w:val="00DA793D"/>
    <w:rsid w:val="00DB03CC"/>
    <w:rsid w:val="00DB070A"/>
    <w:rsid w:val="00DB2794"/>
    <w:rsid w:val="00DB2976"/>
    <w:rsid w:val="00DB35B1"/>
    <w:rsid w:val="00DB5102"/>
    <w:rsid w:val="00DB528E"/>
    <w:rsid w:val="00DB636E"/>
    <w:rsid w:val="00DB64C5"/>
    <w:rsid w:val="00DB64E3"/>
    <w:rsid w:val="00DB6D6C"/>
    <w:rsid w:val="00DB6F1D"/>
    <w:rsid w:val="00DC0658"/>
    <w:rsid w:val="00DC0767"/>
    <w:rsid w:val="00DC09D1"/>
    <w:rsid w:val="00DC0A65"/>
    <w:rsid w:val="00DC14A7"/>
    <w:rsid w:val="00DC19DD"/>
    <w:rsid w:val="00DC1C2C"/>
    <w:rsid w:val="00DC4D8A"/>
    <w:rsid w:val="00DC5908"/>
    <w:rsid w:val="00DC640D"/>
    <w:rsid w:val="00DC6AF0"/>
    <w:rsid w:val="00DC72F6"/>
    <w:rsid w:val="00DD2A7F"/>
    <w:rsid w:val="00DD3A34"/>
    <w:rsid w:val="00DD3F07"/>
    <w:rsid w:val="00DD3F28"/>
    <w:rsid w:val="00DD592A"/>
    <w:rsid w:val="00DD59DA"/>
    <w:rsid w:val="00DD6039"/>
    <w:rsid w:val="00DD6C1B"/>
    <w:rsid w:val="00DD6FEE"/>
    <w:rsid w:val="00DE1849"/>
    <w:rsid w:val="00DE1A13"/>
    <w:rsid w:val="00DE1E47"/>
    <w:rsid w:val="00DE2581"/>
    <w:rsid w:val="00DE27C6"/>
    <w:rsid w:val="00DE363E"/>
    <w:rsid w:val="00DE398F"/>
    <w:rsid w:val="00DE3B61"/>
    <w:rsid w:val="00DE4DDF"/>
    <w:rsid w:val="00DE54B9"/>
    <w:rsid w:val="00DE571F"/>
    <w:rsid w:val="00DE5D57"/>
    <w:rsid w:val="00DE72CF"/>
    <w:rsid w:val="00DE779F"/>
    <w:rsid w:val="00DE77A0"/>
    <w:rsid w:val="00DE7AF3"/>
    <w:rsid w:val="00DE7DC2"/>
    <w:rsid w:val="00DE7E27"/>
    <w:rsid w:val="00DF11BD"/>
    <w:rsid w:val="00DF15A6"/>
    <w:rsid w:val="00DF16A5"/>
    <w:rsid w:val="00DF1DF0"/>
    <w:rsid w:val="00DF2349"/>
    <w:rsid w:val="00DF296D"/>
    <w:rsid w:val="00DF3451"/>
    <w:rsid w:val="00DF3A0C"/>
    <w:rsid w:val="00DF3BF8"/>
    <w:rsid w:val="00DF52BA"/>
    <w:rsid w:val="00DF52BC"/>
    <w:rsid w:val="00DF57AD"/>
    <w:rsid w:val="00DF6814"/>
    <w:rsid w:val="00DF7643"/>
    <w:rsid w:val="00DF7CEC"/>
    <w:rsid w:val="00E0048E"/>
    <w:rsid w:val="00E029AF"/>
    <w:rsid w:val="00E0348E"/>
    <w:rsid w:val="00E03969"/>
    <w:rsid w:val="00E04EF0"/>
    <w:rsid w:val="00E06FDB"/>
    <w:rsid w:val="00E075DA"/>
    <w:rsid w:val="00E1106F"/>
    <w:rsid w:val="00E11EA1"/>
    <w:rsid w:val="00E13F91"/>
    <w:rsid w:val="00E1482D"/>
    <w:rsid w:val="00E157A6"/>
    <w:rsid w:val="00E15D98"/>
    <w:rsid w:val="00E20345"/>
    <w:rsid w:val="00E20A25"/>
    <w:rsid w:val="00E22423"/>
    <w:rsid w:val="00E22E80"/>
    <w:rsid w:val="00E23C2A"/>
    <w:rsid w:val="00E2545C"/>
    <w:rsid w:val="00E26414"/>
    <w:rsid w:val="00E338E3"/>
    <w:rsid w:val="00E33DDC"/>
    <w:rsid w:val="00E34332"/>
    <w:rsid w:val="00E36C68"/>
    <w:rsid w:val="00E37D37"/>
    <w:rsid w:val="00E4017E"/>
    <w:rsid w:val="00E403F9"/>
    <w:rsid w:val="00E40B5B"/>
    <w:rsid w:val="00E41993"/>
    <w:rsid w:val="00E41CE4"/>
    <w:rsid w:val="00E41FBE"/>
    <w:rsid w:val="00E434EF"/>
    <w:rsid w:val="00E43F94"/>
    <w:rsid w:val="00E4451B"/>
    <w:rsid w:val="00E44C4D"/>
    <w:rsid w:val="00E45C94"/>
    <w:rsid w:val="00E467A8"/>
    <w:rsid w:val="00E470A7"/>
    <w:rsid w:val="00E474DD"/>
    <w:rsid w:val="00E47975"/>
    <w:rsid w:val="00E47F8D"/>
    <w:rsid w:val="00E507EE"/>
    <w:rsid w:val="00E5099F"/>
    <w:rsid w:val="00E50A28"/>
    <w:rsid w:val="00E51473"/>
    <w:rsid w:val="00E51F9D"/>
    <w:rsid w:val="00E52974"/>
    <w:rsid w:val="00E53E86"/>
    <w:rsid w:val="00E55103"/>
    <w:rsid w:val="00E55E90"/>
    <w:rsid w:val="00E56E8B"/>
    <w:rsid w:val="00E57E29"/>
    <w:rsid w:val="00E601B7"/>
    <w:rsid w:val="00E61E02"/>
    <w:rsid w:val="00E628E9"/>
    <w:rsid w:val="00E63380"/>
    <w:rsid w:val="00E633DD"/>
    <w:rsid w:val="00E644E4"/>
    <w:rsid w:val="00E6524F"/>
    <w:rsid w:val="00E670B4"/>
    <w:rsid w:val="00E70B68"/>
    <w:rsid w:val="00E70F06"/>
    <w:rsid w:val="00E70FF5"/>
    <w:rsid w:val="00E74308"/>
    <w:rsid w:val="00E744C0"/>
    <w:rsid w:val="00E745C7"/>
    <w:rsid w:val="00E74AD0"/>
    <w:rsid w:val="00E7565A"/>
    <w:rsid w:val="00E75986"/>
    <w:rsid w:val="00E765E6"/>
    <w:rsid w:val="00E766BE"/>
    <w:rsid w:val="00E767D5"/>
    <w:rsid w:val="00E81694"/>
    <w:rsid w:val="00E821AD"/>
    <w:rsid w:val="00E8535A"/>
    <w:rsid w:val="00E858B8"/>
    <w:rsid w:val="00E85CCD"/>
    <w:rsid w:val="00E92CC8"/>
    <w:rsid w:val="00E92DF1"/>
    <w:rsid w:val="00E9312A"/>
    <w:rsid w:val="00E93841"/>
    <w:rsid w:val="00E9506B"/>
    <w:rsid w:val="00E96AC1"/>
    <w:rsid w:val="00E971F2"/>
    <w:rsid w:val="00E97D60"/>
    <w:rsid w:val="00E97F7B"/>
    <w:rsid w:val="00EA181F"/>
    <w:rsid w:val="00EA1D61"/>
    <w:rsid w:val="00EA1E1A"/>
    <w:rsid w:val="00EA2C3B"/>
    <w:rsid w:val="00EA334B"/>
    <w:rsid w:val="00EA36CF"/>
    <w:rsid w:val="00EA38C3"/>
    <w:rsid w:val="00EA4154"/>
    <w:rsid w:val="00EA5637"/>
    <w:rsid w:val="00EA5D48"/>
    <w:rsid w:val="00EB06AA"/>
    <w:rsid w:val="00EB0C8C"/>
    <w:rsid w:val="00EB1774"/>
    <w:rsid w:val="00EB2025"/>
    <w:rsid w:val="00EB25A8"/>
    <w:rsid w:val="00EB29B6"/>
    <w:rsid w:val="00EB3A15"/>
    <w:rsid w:val="00EB474C"/>
    <w:rsid w:val="00EB4C66"/>
    <w:rsid w:val="00EB537F"/>
    <w:rsid w:val="00EB54D7"/>
    <w:rsid w:val="00EB7BB4"/>
    <w:rsid w:val="00EC0792"/>
    <w:rsid w:val="00EC2B1B"/>
    <w:rsid w:val="00EC4CB2"/>
    <w:rsid w:val="00EC5A01"/>
    <w:rsid w:val="00EC60ED"/>
    <w:rsid w:val="00EC6258"/>
    <w:rsid w:val="00EC64CA"/>
    <w:rsid w:val="00EC79B5"/>
    <w:rsid w:val="00ED029B"/>
    <w:rsid w:val="00ED0822"/>
    <w:rsid w:val="00ED12DE"/>
    <w:rsid w:val="00ED1405"/>
    <w:rsid w:val="00ED41A4"/>
    <w:rsid w:val="00ED6435"/>
    <w:rsid w:val="00ED64C8"/>
    <w:rsid w:val="00ED66B3"/>
    <w:rsid w:val="00ED7649"/>
    <w:rsid w:val="00ED7FE0"/>
    <w:rsid w:val="00EE166D"/>
    <w:rsid w:val="00EE18C2"/>
    <w:rsid w:val="00EE24AD"/>
    <w:rsid w:val="00EE2963"/>
    <w:rsid w:val="00EE2C49"/>
    <w:rsid w:val="00EE4E9A"/>
    <w:rsid w:val="00EE5DD2"/>
    <w:rsid w:val="00EF1B12"/>
    <w:rsid w:val="00EF31C4"/>
    <w:rsid w:val="00EF3BF5"/>
    <w:rsid w:val="00EF3DED"/>
    <w:rsid w:val="00EF424E"/>
    <w:rsid w:val="00EF684D"/>
    <w:rsid w:val="00EF7A47"/>
    <w:rsid w:val="00F00441"/>
    <w:rsid w:val="00F00996"/>
    <w:rsid w:val="00F01499"/>
    <w:rsid w:val="00F018B7"/>
    <w:rsid w:val="00F0412F"/>
    <w:rsid w:val="00F069EC"/>
    <w:rsid w:val="00F06EEC"/>
    <w:rsid w:val="00F0793D"/>
    <w:rsid w:val="00F07E55"/>
    <w:rsid w:val="00F1009C"/>
    <w:rsid w:val="00F10496"/>
    <w:rsid w:val="00F11363"/>
    <w:rsid w:val="00F11381"/>
    <w:rsid w:val="00F125F1"/>
    <w:rsid w:val="00F131C8"/>
    <w:rsid w:val="00F15381"/>
    <w:rsid w:val="00F15BC3"/>
    <w:rsid w:val="00F160A0"/>
    <w:rsid w:val="00F20017"/>
    <w:rsid w:val="00F22DA4"/>
    <w:rsid w:val="00F262FC"/>
    <w:rsid w:val="00F26E36"/>
    <w:rsid w:val="00F311DD"/>
    <w:rsid w:val="00F31FA6"/>
    <w:rsid w:val="00F3307B"/>
    <w:rsid w:val="00F34E62"/>
    <w:rsid w:val="00F35BFB"/>
    <w:rsid w:val="00F361C7"/>
    <w:rsid w:val="00F3665D"/>
    <w:rsid w:val="00F3670D"/>
    <w:rsid w:val="00F37830"/>
    <w:rsid w:val="00F40B30"/>
    <w:rsid w:val="00F43734"/>
    <w:rsid w:val="00F44AB7"/>
    <w:rsid w:val="00F45EA6"/>
    <w:rsid w:val="00F47200"/>
    <w:rsid w:val="00F4736F"/>
    <w:rsid w:val="00F50031"/>
    <w:rsid w:val="00F50FD6"/>
    <w:rsid w:val="00F5128D"/>
    <w:rsid w:val="00F512BE"/>
    <w:rsid w:val="00F53BDB"/>
    <w:rsid w:val="00F5481C"/>
    <w:rsid w:val="00F56787"/>
    <w:rsid w:val="00F5691B"/>
    <w:rsid w:val="00F56A96"/>
    <w:rsid w:val="00F60CEB"/>
    <w:rsid w:val="00F60F05"/>
    <w:rsid w:val="00F62D80"/>
    <w:rsid w:val="00F62EB9"/>
    <w:rsid w:val="00F639CE"/>
    <w:rsid w:val="00F6430C"/>
    <w:rsid w:val="00F6491F"/>
    <w:rsid w:val="00F6568A"/>
    <w:rsid w:val="00F66076"/>
    <w:rsid w:val="00F66559"/>
    <w:rsid w:val="00F671AD"/>
    <w:rsid w:val="00F70471"/>
    <w:rsid w:val="00F75082"/>
    <w:rsid w:val="00F752A9"/>
    <w:rsid w:val="00F75D45"/>
    <w:rsid w:val="00F75F13"/>
    <w:rsid w:val="00F80B08"/>
    <w:rsid w:val="00F81AD2"/>
    <w:rsid w:val="00F83A77"/>
    <w:rsid w:val="00F87A69"/>
    <w:rsid w:val="00F87EF3"/>
    <w:rsid w:val="00F91AE0"/>
    <w:rsid w:val="00F9266C"/>
    <w:rsid w:val="00F9333C"/>
    <w:rsid w:val="00F94063"/>
    <w:rsid w:val="00F94FE8"/>
    <w:rsid w:val="00F96435"/>
    <w:rsid w:val="00FA0219"/>
    <w:rsid w:val="00FA19A4"/>
    <w:rsid w:val="00FA1F54"/>
    <w:rsid w:val="00FA3E9F"/>
    <w:rsid w:val="00FA5730"/>
    <w:rsid w:val="00FA6D00"/>
    <w:rsid w:val="00FB05A6"/>
    <w:rsid w:val="00FB084E"/>
    <w:rsid w:val="00FB0B38"/>
    <w:rsid w:val="00FB2F7C"/>
    <w:rsid w:val="00FB384B"/>
    <w:rsid w:val="00FB5567"/>
    <w:rsid w:val="00FB5706"/>
    <w:rsid w:val="00FB5E44"/>
    <w:rsid w:val="00FB5EE5"/>
    <w:rsid w:val="00FB7148"/>
    <w:rsid w:val="00FB7524"/>
    <w:rsid w:val="00FB7792"/>
    <w:rsid w:val="00FB78CE"/>
    <w:rsid w:val="00FC05DD"/>
    <w:rsid w:val="00FC0A82"/>
    <w:rsid w:val="00FC2C50"/>
    <w:rsid w:val="00FC30F9"/>
    <w:rsid w:val="00FC4D21"/>
    <w:rsid w:val="00FC6400"/>
    <w:rsid w:val="00FC6D35"/>
    <w:rsid w:val="00FD1F42"/>
    <w:rsid w:val="00FD2F08"/>
    <w:rsid w:val="00FD364F"/>
    <w:rsid w:val="00FD4CD0"/>
    <w:rsid w:val="00FD74B4"/>
    <w:rsid w:val="00FE1446"/>
    <w:rsid w:val="00FE2B6E"/>
    <w:rsid w:val="00FE2C76"/>
    <w:rsid w:val="00FE45E7"/>
    <w:rsid w:val="00FE491B"/>
    <w:rsid w:val="00FE4EB0"/>
    <w:rsid w:val="00FE4EC9"/>
    <w:rsid w:val="00FE5167"/>
    <w:rsid w:val="00FE5832"/>
    <w:rsid w:val="00FE63D1"/>
    <w:rsid w:val="00FE7597"/>
    <w:rsid w:val="00FE797D"/>
    <w:rsid w:val="00FF01E2"/>
    <w:rsid w:val="00FF08A7"/>
    <w:rsid w:val="00FF0AFF"/>
    <w:rsid w:val="00FF15EB"/>
    <w:rsid w:val="00FF2CA2"/>
    <w:rsid w:val="00FF2DE4"/>
    <w:rsid w:val="00FF2DF1"/>
    <w:rsid w:val="00FF5287"/>
    <w:rsid w:val="00FF563B"/>
    <w:rsid w:val="00FF56C0"/>
    <w:rsid w:val="00FF7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BB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8A1"/>
  </w:style>
  <w:style w:type="paragraph" w:styleId="Heading1">
    <w:name w:val="heading 1"/>
    <w:basedOn w:val="Normal"/>
    <w:next w:val="Normal"/>
    <w:link w:val="Heading1Char"/>
    <w:uiPriority w:val="9"/>
    <w:qFormat/>
    <w:rsid w:val="003C76F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76F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76F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76F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76F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76F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76F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76F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76F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F4"/>
    <w:rPr>
      <w:rFonts w:asciiTheme="majorHAnsi" w:eastAsiaTheme="majorEastAsia" w:hAnsiTheme="majorHAnsi" w:cstheme="majorBidi"/>
      <w:color w:val="1F3864" w:themeColor="accent1" w:themeShade="80"/>
      <w:sz w:val="36"/>
      <w:szCs w:val="36"/>
    </w:rPr>
  </w:style>
  <w:style w:type="paragraph" w:styleId="ListParagraph">
    <w:name w:val="List Paragraph"/>
    <w:basedOn w:val="Normal"/>
    <w:uiPriority w:val="34"/>
    <w:qFormat/>
    <w:rsid w:val="00B9420D"/>
    <w:pPr>
      <w:ind w:left="720"/>
      <w:contextualSpacing/>
    </w:pPr>
  </w:style>
  <w:style w:type="character" w:customStyle="1" w:styleId="Heading2Char">
    <w:name w:val="Heading 2 Char"/>
    <w:basedOn w:val="DefaultParagraphFont"/>
    <w:link w:val="Heading2"/>
    <w:uiPriority w:val="9"/>
    <w:semiHidden/>
    <w:rsid w:val="003C76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76F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76F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76F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C76F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C76F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76F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76F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76F4"/>
    <w:pPr>
      <w:spacing w:line="240" w:lineRule="auto"/>
    </w:pPr>
    <w:rPr>
      <w:b/>
      <w:bCs/>
      <w:smallCaps/>
      <w:color w:val="44546A" w:themeColor="text2"/>
    </w:rPr>
  </w:style>
  <w:style w:type="paragraph" w:styleId="Title">
    <w:name w:val="Title"/>
    <w:basedOn w:val="Normal"/>
    <w:next w:val="Normal"/>
    <w:link w:val="TitleChar"/>
    <w:uiPriority w:val="10"/>
    <w:qFormat/>
    <w:rsid w:val="003C76F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76F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76F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76F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C76F4"/>
    <w:rPr>
      <w:b/>
      <w:bCs/>
    </w:rPr>
  </w:style>
  <w:style w:type="character" w:styleId="Emphasis">
    <w:name w:val="Emphasis"/>
    <w:basedOn w:val="DefaultParagraphFont"/>
    <w:uiPriority w:val="20"/>
    <w:qFormat/>
    <w:rsid w:val="003C76F4"/>
    <w:rPr>
      <w:i/>
      <w:iCs/>
    </w:rPr>
  </w:style>
  <w:style w:type="paragraph" w:styleId="NoSpacing">
    <w:name w:val="No Spacing"/>
    <w:uiPriority w:val="1"/>
    <w:qFormat/>
    <w:rsid w:val="003C76F4"/>
    <w:pPr>
      <w:spacing w:after="0" w:line="240" w:lineRule="auto"/>
    </w:pPr>
  </w:style>
  <w:style w:type="paragraph" w:styleId="Quote">
    <w:name w:val="Quote"/>
    <w:basedOn w:val="Normal"/>
    <w:next w:val="Normal"/>
    <w:link w:val="QuoteChar"/>
    <w:uiPriority w:val="29"/>
    <w:qFormat/>
    <w:rsid w:val="003C76F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76F4"/>
    <w:rPr>
      <w:color w:val="44546A" w:themeColor="text2"/>
      <w:sz w:val="24"/>
      <w:szCs w:val="24"/>
    </w:rPr>
  </w:style>
  <w:style w:type="paragraph" w:styleId="IntenseQuote">
    <w:name w:val="Intense Quote"/>
    <w:basedOn w:val="Normal"/>
    <w:next w:val="Normal"/>
    <w:link w:val="IntenseQuoteChar"/>
    <w:uiPriority w:val="30"/>
    <w:qFormat/>
    <w:rsid w:val="003C76F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76F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76F4"/>
    <w:rPr>
      <w:i/>
      <w:iCs/>
      <w:color w:val="595959" w:themeColor="text1" w:themeTint="A6"/>
    </w:rPr>
  </w:style>
  <w:style w:type="character" w:styleId="IntenseEmphasis">
    <w:name w:val="Intense Emphasis"/>
    <w:basedOn w:val="DefaultParagraphFont"/>
    <w:uiPriority w:val="21"/>
    <w:qFormat/>
    <w:rsid w:val="003C76F4"/>
    <w:rPr>
      <w:b/>
      <w:bCs/>
      <w:i/>
      <w:iCs/>
    </w:rPr>
  </w:style>
  <w:style w:type="character" w:styleId="SubtleReference">
    <w:name w:val="Subtle Reference"/>
    <w:basedOn w:val="DefaultParagraphFont"/>
    <w:uiPriority w:val="31"/>
    <w:qFormat/>
    <w:rsid w:val="003C76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76F4"/>
    <w:rPr>
      <w:b/>
      <w:bCs/>
      <w:smallCaps/>
      <w:color w:val="44546A" w:themeColor="text2"/>
      <w:u w:val="single"/>
    </w:rPr>
  </w:style>
  <w:style w:type="character" w:styleId="BookTitle">
    <w:name w:val="Book Title"/>
    <w:basedOn w:val="DefaultParagraphFont"/>
    <w:uiPriority w:val="33"/>
    <w:qFormat/>
    <w:rsid w:val="003C76F4"/>
    <w:rPr>
      <w:b/>
      <w:bCs/>
      <w:smallCaps/>
      <w:spacing w:val="10"/>
    </w:rPr>
  </w:style>
  <w:style w:type="paragraph" w:styleId="TOCHeading">
    <w:name w:val="TOC Heading"/>
    <w:basedOn w:val="Heading1"/>
    <w:next w:val="Normal"/>
    <w:uiPriority w:val="39"/>
    <w:semiHidden/>
    <w:unhideWhenUsed/>
    <w:qFormat/>
    <w:rsid w:val="003C76F4"/>
    <w:pPr>
      <w:outlineLvl w:val="9"/>
    </w:pPr>
  </w:style>
  <w:style w:type="character" w:styleId="CommentReference">
    <w:name w:val="annotation reference"/>
    <w:basedOn w:val="DefaultParagraphFont"/>
    <w:uiPriority w:val="99"/>
    <w:semiHidden/>
    <w:unhideWhenUsed/>
    <w:rsid w:val="008C4255"/>
    <w:rPr>
      <w:sz w:val="16"/>
      <w:szCs w:val="16"/>
    </w:rPr>
  </w:style>
  <w:style w:type="paragraph" w:styleId="CommentText">
    <w:name w:val="annotation text"/>
    <w:basedOn w:val="Normal"/>
    <w:link w:val="CommentTextChar"/>
    <w:uiPriority w:val="99"/>
    <w:unhideWhenUsed/>
    <w:rsid w:val="008C4255"/>
    <w:pPr>
      <w:spacing w:line="240" w:lineRule="auto"/>
    </w:pPr>
    <w:rPr>
      <w:sz w:val="20"/>
      <w:szCs w:val="20"/>
    </w:rPr>
  </w:style>
  <w:style w:type="character" w:customStyle="1" w:styleId="CommentTextChar">
    <w:name w:val="Comment Text Char"/>
    <w:basedOn w:val="DefaultParagraphFont"/>
    <w:link w:val="CommentText"/>
    <w:uiPriority w:val="99"/>
    <w:rsid w:val="008C4255"/>
    <w:rPr>
      <w:sz w:val="20"/>
      <w:szCs w:val="20"/>
    </w:rPr>
  </w:style>
  <w:style w:type="paragraph" w:styleId="CommentSubject">
    <w:name w:val="annotation subject"/>
    <w:basedOn w:val="CommentText"/>
    <w:next w:val="CommentText"/>
    <w:link w:val="CommentSubjectChar"/>
    <w:uiPriority w:val="99"/>
    <w:semiHidden/>
    <w:unhideWhenUsed/>
    <w:rsid w:val="008C4255"/>
    <w:rPr>
      <w:b/>
      <w:bCs/>
    </w:rPr>
  </w:style>
  <w:style w:type="character" w:customStyle="1" w:styleId="CommentSubjectChar">
    <w:name w:val="Comment Subject Char"/>
    <w:basedOn w:val="CommentTextChar"/>
    <w:link w:val="CommentSubject"/>
    <w:uiPriority w:val="99"/>
    <w:semiHidden/>
    <w:rsid w:val="008C4255"/>
    <w:rPr>
      <w:b/>
      <w:bCs/>
      <w:sz w:val="20"/>
      <w:szCs w:val="20"/>
    </w:rPr>
  </w:style>
  <w:style w:type="paragraph" w:styleId="BalloonText">
    <w:name w:val="Balloon Text"/>
    <w:basedOn w:val="Normal"/>
    <w:link w:val="BalloonTextChar"/>
    <w:uiPriority w:val="99"/>
    <w:semiHidden/>
    <w:unhideWhenUsed/>
    <w:rsid w:val="008C4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255"/>
    <w:rPr>
      <w:rFonts w:ascii="Segoe UI" w:hAnsi="Segoe UI" w:cs="Segoe UI"/>
      <w:sz w:val="18"/>
      <w:szCs w:val="18"/>
    </w:rPr>
  </w:style>
  <w:style w:type="paragraph" w:styleId="BodyText">
    <w:name w:val="Body Text"/>
    <w:basedOn w:val="Normal"/>
    <w:link w:val="BodyTextChar"/>
    <w:uiPriority w:val="99"/>
    <w:unhideWhenUsed/>
    <w:rsid w:val="00830E02"/>
    <w:pPr>
      <w:spacing w:line="480" w:lineRule="auto"/>
      <w:contextualSpacing/>
    </w:pPr>
    <w:rPr>
      <w:rFonts w:ascii="Times New Roman" w:hAnsi="Times New Roman" w:cs="Times New Roman"/>
      <w:b/>
      <w:bCs/>
      <w:sz w:val="40"/>
      <w:szCs w:val="40"/>
    </w:rPr>
  </w:style>
  <w:style w:type="character" w:customStyle="1" w:styleId="BodyTextChar">
    <w:name w:val="Body Text Char"/>
    <w:basedOn w:val="DefaultParagraphFont"/>
    <w:link w:val="BodyText"/>
    <w:uiPriority w:val="99"/>
    <w:rsid w:val="00830E02"/>
    <w:rPr>
      <w:rFonts w:ascii="Times New Roman" w:hAnsi="Times New Roman" w:cs="Times New Roman"/>
      <w:b/>
      <w:bCs/>
      <w:sz w:val="40"/>
      <w:szCs w:val="40"/>
    </w:rPr>
  </w:style>
  <w:style w:type="paragraph" w:styleId="BodyText2">
    <w:name w:val="Body Text 2"/>
    <w:basedOn w:val="Normal"/>
    <w:link w:val="BodyText2Char"/>
    <w:uiPriority w:val="99"/>
    <w:unhideWhenUsed/>
    <w:rsid w:val="00B163A0"/>
    <w:pPr>
      <w:spacing w:line="480" w:lineRule="auto"/>
      <w:contextualSpacing/>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B163A0"/>
    <w:rPr>
      <w:rFonts w:ascii="Times New Roman" w:hAnsi="Times New Roman" w:cs="Times New Roman"/>
      <w:sz w:val="24"/>
      <w:szCs w:val="24"/>
    </w:rPr>
  </w:style>
  <w:style w:type="paragraph" w:styleId="Bibliography">
    <w:name w:val="Bibliography"/>
    <w:basedOn w:val="Normal"/>
    <w:next w:val="Normal"/>
    <w:uiPriority w:val="37"/>
    <w:unhideWhenUsed/>
    <w:rsid w:val="0013608A"/>
    <w:pPr>
      <w:spacing w:after="0" w:line="480" w:lineRule="auto"/>
      <w:ind w:left="720" w:hanging="720"/>
    </w:pPr>
  </w:style>
  <w:style w:type="paragraph" w:customStyle="1" w:styleId="EndNoteBibliographyTitle">
    <w:name w:val="EndNote Bibliography Title"/>
    <w:basedOn w:val="Normal"/>
    <w:link w:val="EndNoteBibliographyTitleChar"/>
    <w:rsid w:val="0059757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97576"/>
    <w:rPr>
      <w:rFonts w:ascii="Calibri" w:hAnsi="Calibri" w:cs="Calibri"/>
      <w:noProof/>
    </w:rPr>
  </w:style>
  <w:style w:type="paragraph" w:customStyle="1" w:styleId="EndNoteBibliography">
    <w:name w:val="EndNote Bibliography"/>
    <w:basedOn w:val="Normal"/>
    <w:link w:val="EndNoteBibliographyChar"/>
    <w:rsid w:val="00597576"/>
    <w:pPr>
      <w:spacing w:line="240" w:lineRule="auto"/>
      <w:jc w:val="center"/>
    </w:pPr>
    <w:rPr>
      <w:rFonts w:ascii="Calibri" w:hAnsi="Calibri" w:cs="Calibri"/>
      <w:noProof/>
    </w:rPr>
  </w:style>
  <w:style w:type="character" w:customStyle="1" w:styleId="EndNoteBibliographyChar">
    <w:name w:val="EndNote Bibliography Char"/>
    <w:basedOn w:val="DefaultParagraphFont"/>
    <w:link w:val="EndNoteBibliography"/>
    <w:rsid w:val="00597576"/>
    <w:rPr>
      <w:rFonts w:ascii="Calibri" w:hAnsi="Calibri" w:cs="Calibri"/>
      <w:noProof/>
    </w:rPr>
  </w:style>
  <w:style w:type="character" w:styleId="Hyperlink">
    <w:name w:val="Hyperlink"/>
    <w:basedOn w:val="DefaultParagraphFont"/>
    <w:uiPriority w:val="99"/>
    <w:unhideWhenUsed/>
    <w:rsid w:val="00CF3E2C"/>
    <w:rPr>
      <w:color w:val="0563C1" w:themeColor="hyperlink"/>
      <w:u w:val="single"/>
    </w:rPr>
  </w:style>
  <w:style w:type="character" w:customStyle="1" w:styleId="UnresolvedMention1">
    <w:name w:val="Unresolved Mention1"/>
    <w:basedOn w:val="DefaultParagraphFont"/>
    <w:uiPriority w:val="99"/>
    <w:semiHidden/>
    <w:unhideWhenUsed/>
    <w:rsid w:val="00CF3E2C"/>
    <w:rPr>
      <w:color w:val="605E5C"/>
      <w:shd w:val="clear" w:color="auto" w:fill="E1DFDD"/>
    </w:rPr>
  </w:style>
  <w:style w:type="paragraph" w:styleId="Header">
    <w:name w:val="header"/>
    <w:basedOn w:val="Normal"/>
    <w:link w:val="HeaderChar"/>
    <w:uiPriority w:val="99"/>
    <w:unhideWhenUsed/>
    <w:rsid w:val="00BC6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6BA"/>
  </w:style>
  <w:style w:type="paragraph" w:styleId="Footer">
    <w:name w:val="footer"/>
    <w:basedOn w:val="Normal"/>
    <w:link w:val="FooterChar"/>
    <w:uiPriority w:val="99"/>
    <w:unhideWhenUsed/>
    <w:rsid w:val="00BC6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6BA"/>
  </w:style>
  <w:style w:type="paragraph" w:styleId="BodyTextIndent">
    <w:name w:val="Body Text Indent"/>
    <w:basedOn w:val="Normal"/>
    <w:link w:val="BodyTextIndentChar"/>
    <w:uiPriority w:val="99"/>
    <w:unhideWhenUsed/>
    <w:rsid w:val="004207CB"/>
    <w:pPr>
      <w:spacing w:line="480" w:lineRule="auto"/>
      <w:ind w:firstLine="720"/>
      <w:contextualSpacing/>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4207CB"/>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182E5F"/>
    <w:rPr>
      <w:color w:val="605E5C"/>
      <w:shd w:val="clear" w:color="auto" w:fill="E1DFDD"/>
    </w:rPr>
  </w:style>
  <w:style w:type="paragraph" w:styleId="FootnoteText">
    <w:name w:val="footnote text"/>
    <w:basedOn w:val="Normal"/>
    <w:link w:val="FootnoteTextChar"/>
    <w:uiPriority w:val="99"/>
    <w:semiHidden/>
    <w:unhideWhenUsed/>
    <w:rsid w:val="007305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058B"/>
    <w:rPr>
      <w:sz w:val="20"/>
      <w:szCs w:val="20"/>
    </w:rPr>
  </w:style>
  <w:style w:type="character" w:styleId="FootnoteReference">
    <w:name w:val="footnote reference"/>
    <w:basedOn w:val="DefaultParagraphFont"/>
    <w:uiPriority w:val="99"/>
    <w:semiHidden/>
    <w:unhideWhenUsed/>
    <w:rsid w:val="0073058B"/>
    <w:rPr>
      <w:vertAlign w:val="superscript"/>
    </w:rPr>
  </w:style>
  <w:style w:type="character" w:customStyle="1" w:styleId="cit-auth">
    <w:name w:val="cit-auth"/>
    <w:basedOn w:val="DefaultParagraphFont"/>
    <w:rsid w:val="00A12FC0"/>
  </w:style>
  <w:style w:type="character" w:customStyle="1" w:styleId="cit-name-surname">
    <w:name w:val="cit-name-surname"/>
    <w:basedOn w:val="DefaultParagraphFont"/>
    <w:rsid w:val="00A12FC0"/>
  </w:style>
  <w:style w:type="character" w:customStyle="1" w:styleId="cit-name-given-names">
    <w:name w:val="cit-name-given-names"/>
    <w:basedOn w:val="DefaultParagraphFont"/>
    <w:rsid w:val="00A12FC0"/>
  </w:style>
  <w:style w:type="character" w:styleId="HTMLCite">
    <w:name w:val="HTML Cite"/>
    <w:basedOn w:val="DefaultParagraphFont"/>
    <w:uiPriority w:val="99"/>
    <w:semiHidden/>
    <w:unhideWhenUsed/>
    <w:rsid w:val="00A12FC0"/>
    <w:rPr>
      <w:i/>
      <w:iCs/>
    </w:rPr>
  </w:style>
  <w:style w:type="character" w:customStyle="1" w:styleId="cit-pub-date">
    <w:name w:val="cit-pub-date"/>
    <w:basedOn w:val="DefaultParagraphFont"/>
    <w:rsid w:val="00A12FC0"/>
  </w:style>
  <w:style w:type="character" w:customStyle="1" w:styleId="cit-article-title">
    <w:name w:val="cit-article-title"/>
    <w:basedOn w:val="DefaultParagraphFont"/>
    <w:rsid w:val="00A12FC0"/>
  </w:style>
  <w:style w:type="character" w:customStyle="1" w:styleId="cit-vol">
    <w:name w:val="cit-vol"/>
    <w:basedOn w:val="DefaultParagraphFont"/>
    <w:rsid w:val="00A12FC0"/>
  </w:style>
  <w:style w:type="character" w:customStyle="1" w:styleId="cit-fpage">
    <w:name w:val="cit-fpage"/>
    <w:basedOn w:val="DefaultParagraphFont"/>
    <w:rsid w:val="00A12FC0"/>
  </w:style>
  <w:style w:type="character" w:customStyle="1" w:styleId="cit-lpage">
    <w:name w:val="cit-lpage"/>
    <w:basedOn w:val="DefaultParagraphFont"/>
    <w:rsid w:val="00A12FC0"/>
  </w:style>
  <w:style w:type="character" w:styleId="EndnoteReference">
    <w:name w:val="endnote reference"/>
    <w:basedOn w:val="DefaultParagraphFont"/>
    <w:uiPriority w:val="99"/>
    <w:semiHidden/>
    <w:unhideWhenUsed/>
    <w:rsid w:val="00873324"/>
    <w:rPr>
      <w:vertAlign w:val="superscript"/>
    </w:rPr>
  </w:style>
  <w:style w:type="character" w:styleId="FollowedHyperlink">
    <w:name w:val="FollowedHyperlink"/>
    <w:basedOn w:val="DefaultParagraphFont"/>
    <w:uiPriority w:val="99"/>
    <w:semiHidden/>
    <w:unhideWhenUsed/>
    <w:rsid w:val="00363306"/>
    <w:rPr>
      <w:color w:val="954F72" w:themeColor="followedHyperlink"/>
      <w:u w:val="single"/>
    </w:rPr>
  </w:style>
  <w:style w:type="paragraph" w:styleId="Revision">
    <w:name w:val="Revision"/>
    <w:hidden/>
    <w:uiPriority w:val="99"/>
    <w:semiHidden/>
    <w:rsid w:val="000609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3810">
      <w:bodyDiv w:val="1"/>
      <w:marLeft w:val="0"/>
      <w:marRight w:val="0"/>
      <w:marTop w:val="0"/>
      <w:marBottom w:val="0"/>
      <w:divBdr>
        <w:top w:val="none" w:sz="0" w:space="0" w:color="auto"/>
        <w:left w:val="none" w:sz="0" w:space="0" w:color="auto"/>
        <w:bottom w:val="none" w:sz="0" w:space="0" w:color="auto"/>
        <w:right w:val="none" w:sz="0" w:space="0" w:color="auto"/>
      </w:divBdr>
      <w:divsChild>
        <w:div w:id="227613404">
          <w:marLeft w:val="0"/>
          <w:marRight w:val="0"/>
          <w:marTop w:val="0"/>
          <w:marBottom w:val="0"/>
          <w:divBdr>
            <w:top w:val="none" w:sz="0" w:space="0" w:color="auto"/>
            <w:left w:val="none" w:sz="0" w:space="0" w:color="auto"/>
            <w:bottom w:val="none" w:sz="0" w:space="0" w:color="auto"/>
            <w:right w:val="none" w:sz="0" w:space="0" w:color="auto"/>
          </w:divBdr>
        </w:div>
      </w:divsChild>
    </w:div>
    <w:div w:id="1853059307">
      <w:bodyDiv w:val="1"/>
      <w:marLeft w:val="0"/>
      <w:marRight w:val="0"/>
      <w:marTop w:val="0"/>
      <w:marBottom w:val="0"/>
      <w:divBdr>
        <w:top w:val="none" w:sz="0" w:space="0" w:color="auto"/>
        <w:left w:val="none" w:sz="0" w:space="0" w:color="auto"/>
        <w:bottom w:val="none" w:sz="0" w:space="0" w:color="auto"/>
        <w:right w:val="none" w:sz="0" w:space="0" w:color="auto"/>
      </w:divBdr>
      <w:divsChild>
        <w:div w:id="652442188">
          <w:marLeft w:val="0"/>
          <w:marRight w:val="0"/>
          <w:marTop w:val="0"/>
          <w:marBottom w:val="0"/>
          <w:divBdr>
            <w:top w:val="none" w:sz="0" w:space="0" w:color="auto"/>
            <w:left w:val="none" w:sz="0" w:space="0" w:color="auto"/>
            <w:bottom w:val="none" w:sz="0" w:space="0" w:color="auto"/>
            <w:right w:val="none" w:sz="0" w:space="0" w:color="auto"/>
          </w:divBdr>
        </w:div>
        <w:div w:id="1095400700">
          <w:marLeft w:val="0"/>
          <w:marRight w:val="0"/>
          <w:marTop w:val="0"/>
          <w:marBottom w:val="0"/>
          <w:divBdr>
            <w:top w:val="none" w:sz="0" w:space="0" w:color="auto"/>
            <w:left w:val="none" w:sz="0" w:space="0" w:color="auto"/>
            <w:bottom w:val="none" w:sz="0" w:space="0" w:color="auto"/>
            <w:right w:val="none" w:sz="0" w:space="0" w:color="auto"/>
          </w:divBdr>
        </w:div>
        <w:div w:id="1923222443">
          <w:marLeft w:val="0"/>
          <w:marRight w:val="0"/>
          <w:marTop w:val="0"/>
          <w:marBottom w:val="0"/>
          <w:divBdr>
            <w:top w:val="none" w:sz="0" w:space="0" w:color="auto"/>
            <w:left w:val="none" w:sz="0" w:space="0" w:color="auto"/>
            <w:bottom w:val="none" w:sz="0" w:space="0" w:color="auto"/>
            <w:right w:val="none" w:sz="0" w:space="0" w:color="auto"/>
          </w:divBdr>
        </w:div>
      </w:divsChild>
    </w:div>
    <w:div w:id="1972977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customXml/item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C0C0C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0A8019B152BA439D52346B604B2835" ma:contentTypeVersion="13" ma:contentTypeDescription="Create a new document." ma:contentTypeScope="" ma:versionID="73121b92a4ec7b4e873519556545858a">
  <xsd:schema xmlns:xsd="http://www.w3.org/2001/XMLSchema" xmlns:xs="http://www.w3.org/2001/XMLSchema" xmlns:p="http://schemas.microsoft.com/office/2006/metadata/properties" xmlns:ns2="3f4703c7-a244-4ea4-bb71-6ceccf66c940" xmlns:ns3="f849ceac-be31-4242-ae1a-03d138484509" targetNamespace="http://schemas.microsoft.com/office/2006/metadata/properties" ma:root="true" ma:fieldsID="1b82ca412ccee786379e0fea4f4c4991" ns2:_="" ns3:_="">
    <xsd:import namespace="3f4703c7-a244-4ea4-bb71-6ceccf66c940"/>
    <xsd:import namespace="f849ceac-be31-4242-ae1a-03d1384845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703c7-a244-4ea4-bb71-6ceccf66c9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49ceac-be31-4242-ae1a-03d13848450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54261F-45E7-4351-A65A-31CCC4E51391}">
  <ds:schemaRefs>
    <ds:schemaRef ds:uri="http://schemas.openxmlformats.org/officeDocument/2006/bibliography"/>
  </ds:schemaRefs>
</ds:datastoreItem>
</file>

<file path=customXml/itemProps2.xml><?xml version="1.0" encoding="utf-8"?>
<ds:datastoreItem xmlns:ds="http://schemas.openxmlformats.org/officeDocument/2006/customXml" ds:itemID="{C7A7FD10-9C86-4400-AE1E-54CF6FE6D71F}"/>
</file>

<file path=customXml/itemProps3.xml><?xml version="1.0" encoding="utf-8"?>
<ds:datastoreItem xmlns:ds="http://schemas.openxmlformats.org/officeDocument/2006/customXml" ds:itemID="{865D8749-88F2-4E12-8972-B23613CEE6E8}"/>
</file>

<file path=customXml/itemProps4.xml><?xml version="1.0" encoding="utf-8"?>
<ds:datastoreItem xmlns:ds="http://schemas.openxmlformats.org/officeDocument/2006/customXml" ds:itemID="{DBA2AF36-9BA5-4C85-8ACD-DC733A51C54E}"/>
</file>

<file path=docProps/app.xml><?xml version="1.0" encoding="utf-8"?>
<Properties xmlns="http://schemas.openxmlformats.org/officeDocument/2006/extended-properties" xmlns:vt="http://schemas.openxmlformats.org/officeDocument/2006/docPropsVTypes">
  <Template>Normal</Template>
  <TotalTime>0</TotalTime>
  <Pages>11</Pages>
  <Words>16097</Words>
  <Characters>91756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2021-09-15T20:00:00Z</dcterms:created>
  <dcterms:modified xsi:type="dcterms:W3CDTF">2021-09-15T20:09:00Z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0x010100930A8019B152BA439D52346B604B2835</vt:lpwstr>
  </property>
</Properties>
</file>