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 w:line="312"/>
        <w:jc w:val="center"/>
      </w:pPr>
      <w:r>
        <w:rPr>
          <w:rFonts w:ascii="Times New Roman" w:eastAsia="SimHei"/>
          <w:b/>
          <w:bCs/>
          <w:color w:val="000000"/>
          <w:sz w:val="40"/>
          <w:szCs w:val="40"/>
        </w:rPr>
        <w:t xml:space="preserve">需求分析报告</w:t>
      </w:r>
    </w:p>
    <w:p>
      <w:pPr>
        <w:spacing w:after="120" w:line="312"/>
        <w:jc w:val="center"/>
      </w:pPr>
      <w:r>
        <w:rPr>
          <w:rFonts w:ascii="Times New Roman" w:eastAsia="SimHei"/>
          <w:b/>
          <w:bCs/>
          <w:color w:val="000000"/>
          <w:sz w:val="26"/>
          <w:szCs w:val="26"/>
        </w:rPr>
        <w:t xml:space="preserve">自然语言 AI 原理图设计——方案设计</w:t>
      </w:r>
    </w:p>
    <w:p>
      <w:pPr>
        <w:pBdr>
          <w:bottom w:val="single" w:color="4A6FA5" w:sz="6" w:space="8"/>
        </w:pBdr>
        <w:spacing w:after="160" w:line="312"/>
        <w:jc w:val="center"/>
      </w:pPr>
      <w:r>
        <w:rPr>
          <w:color w:val="333333"/>
          <w:sz w:val="22"/>
          <w:szCs w:val="22"/>
        </w:rPr>
        <w:t xml:space="preserve">编制：连子恒　｜　对应提交项 2 之一　｜　时间窗：2026.09.08—09.15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一、背景与问题定义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altium-mcp 桥接服务器（详见材料 3 技术方案书）已具备原理图读写工具面，但直接由 AI 驱动绘制时出现两类问题：</w:t>
      </w:r>
      <w:r>
        <w:rPr>
          <w:b/>
          <w:bCs/>
          <w:color w:val="000000"/>
          <w:sz w:val="24"/>
          <w:szCs w:val="24"/>
        </w:rPr>
        <w:t xml:space="preserve">连接错误</w:t>
      </w:r>
      <w:r>
        <w:rPr>
          <w:color w:val="000000"/>
          <w:sz w:val="24"/>
          <w:szCs w:val="24"/>
        </w:rPr>
        <w:t xml:space="preserve">（导线未落到引脚热点、网络错连）与</w:t>
      </w:r>
      <w:r>
        <w:rPr>
          <w:b/>
          <w:bCs/>
          <w:color w:val="000000"/>
          <w:sz w:val="24"/>
          <w:szCs w:val="24"/>
        </w:rPr>
        <w:t xml:space="preserve">位置放置不当</w:t>
      </w:r>
      <w:r>
        <w:rPr>
          <w:color w:val="000000"/>
          <w:sz w:val="24"/>
          <w:szCs w:val="24"/>
        </w:rPr>
        <w:t xml:space="preserve">（元件朝向错乱、标注重叠、布线交叉穿体）。本报告定义自然语言 AI 原理图设计的功能与非功能需求，并给出总体方案，作为 9 月中旬编码实施的依据。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二、根因分析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　AI 绘图质量问题根因分析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层面</w:t>
            </w:r>
          </w:p>
        </w:tc>
        <w:tc>
          <w:tcPr>
            <w:tcW w:type="pct" w:w="44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结论</w:t>
            </w:r>
          </w:p>
        </w:tc>
        <w:tc>
          <w:tcPr>
            <w:tcW w:type="pct" w:w="4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依据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工具架构（主因）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精确几何计算交给了大模型：连线无吸附，1 mil 偏差即浮空；确定性算法已验证但未进入工具面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路由器 / 优化器原型在试验脚本已通过实机验证（73 根导线重锚、网表分区等价），却未暴露为工具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提示词（次因）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坐标系约定未声明、元件朝向断言与实际矛盾、指令超长稀释注意力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多轮实机绘制复盘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模型特性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长上下文数字转录与心算几何是大模型最弱项，修复闭环依赖同一套易错算术，形成循环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黄金网表修复迭代记录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三、需求定义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　功能需求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type="pct" w:w="26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需求</w:t>
            </w:r>
          </w:p>
        </w:tc>
        <w:tc>
          <w:tcPr>
            <w:tcW w:type="pct" w:w="64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FR1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自然语言输入生成网表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一段文字描述电路需求，经知识库检索与选型，生成机器可校验的结构化网表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FR2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基于标准元件库的自动选件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选型结果对应标准库真实符号，引脚定义取自库引脚表，不允许幻觉引脚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FR3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自动放置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元件按布局方案自动放置，引脚朝向与连接关系匹配，支持锚点引脚定位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FR4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自动布线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按网表自动布线，避障、少交叉、自动结点，端点精确落到引脚热点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FR5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机器验证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网表冻结门禁 + 编译级连通性比对，错误不出图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FR6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模块模板实例化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已验证电路固化为模板，一次调用完成选型填参与放置布线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3　非功能需求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type="pct" w:w="2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需求</w:t>
            </w:r>
          </w:p>
        </w:tc>
        <w:tc>
          <w:tcPr>
            <w:tcW w:type="pct" w:w="6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NFR1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正确性门禁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所有写入前经真实 schema 校验；网表未通过校验不得进入放置与布线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NFR2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零猜测原则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引脚几何、库符号信息均取实测 / 库数据，工具不猜、模型不编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NFR3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可回滚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批量重布规划失败自动回滚；快照与设计台账保留退路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NFR4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内网可部署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零外网依赖、无密钥、依赖闭包离线可拷贝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NFR5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可回归测试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白盒单元测试 + 实机冒烟测试链 + 故障注入，构成回归基线（见材料 2-2）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四、总体方案设计</w:t>
      </w: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三阶段流水线：模型负责拓扑与意图，工具负责几何与验证，黄金网表作为贯穿全链路的单一事实源。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4　三阶段流水线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阶段</w:t>
            </w:r>
          </w:p>
        </w:tc>
        <w:tc>
          <w:tcPr>
            <w:tcW w:type="pct" w:w="14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type="pct" w:w="3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输入 → 输出</w:t>
            </w:r>
          </w:p>
        </w:tc>
        <w:tc>
          <w:tcPr>
            <w:tcW w:type="pct" w:w="4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关键工具与门禁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STAGE 0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强制规划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用户文字 → 布局方案（分块 / 轨道 / 朝向 / 间距）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知识库检索（schematic-design 方法论），自检通过才准动笔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STAGE 1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选型与网表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布局方案 → 冻结网表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pin_table 库引脚表 → validate_netlist 机器校验冻结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STAGE 2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放置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冻结网表 → 元件落位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锚点引脚放置（anchor_pin），回读纠偏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STAGE 3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连线与验证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落位图纸 → 成图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wire_pins 避障布线 → check_connectivity 编译级分区比对 → optimize_layout 寻优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五、验收标准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5　验收标准与达成判据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验收项</w:t>
            </w:r>
          </w:p>
        </w:tc>
        <w:tc>
          <w:tcPr>
            <w:tcW w:type="pct" w:w="7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判据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网表正确性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编译网表分区与黄金网表逐引脚一致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成图质量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编译 0 错误 0 警告；实际交叉 0、浮空 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缺陷拦截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幻觉引脚 / 一脚两网 / 整件遗忘 / 畸形引用故障注入 4/4 拦截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回归基线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白盒单元测试全绿（见材料 2-2）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寻优效果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布局评分显著下降（实测 210→91）且分区等价保持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六、结论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本报告将“AI 画不好图”归因于工具架构而非模型能力，据此确立三阶段流水线方案与六项功能、五项非功能需求。该方案于 9 月 12—14 日完成编码落地（四个流水线工具），并于 9 月下旬完成三张图纸实机验证（见材料 4）。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</w:rPr>
      <w:t xml:space="preserve">需求分析报告（方案设计报告）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</w:pPr>
    <w:rPr>
      <w:rFonts w:ascii="Times New Roman" w:eastAsia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2026-10-28T12:20:31.468Z</dcterms:created>
  <dcterms:modified xsi:type="dcterms:W3CDTF">2026-10-28T12:20:31.468Z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