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19A98">
      <w:pPr>
        <w:spacing w:before="0" w:after="80" w:line="300" w:lineRule="auto"/>
        <w:jc w:val="center"/>
      </w:pPr>
      <w:r>
        <w:rPr>
          <w:rFonts w:ascii="Times New Roman" w:hAnsi="Times New Roman" w:eastAsia="SimSun"/>
          <w:b/>
          <w:i w:val="0"/>
          <w:color w:val="1F3B63"/>
          <w:sz w:val="30"/>
        </w:rPr>
        <w:t>利比里亚OLR MS 项目数字化实践</w:t>
      </w:r>
    </w:p>
    <w:p w14:paraId="769E928A">
      <w:pPr>
        <w:spacing w:before="0" w:after="16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20"/>
        </w:rPr>
        <w:t>——数据洞察平台与统一门户建设情况通报</w:t>
      </w:r>
    </w:p>
    <w:p w14:paraId="24298057">
      <w:pPr>
        <w:spacing w:before="140" w:after="60" w:line="300" w:lineRule="auto"/>
      </w:pPr>
      <w:r>
        <w:rPr>
          <w:rFonts w:ascii="Times New Roman" w:hAnsi="Times New Roman" w:eastAsia="SimSun"/>
          <w:b/>
          <w:i w:val="0"/>
          <w:color w:val="1F3B63"/>
          <w:sz w:val="24"/>
        </w:rPr>
        <w:t>一、实践简介</w:t>
      </w:r>
    </w:p>
    <w:p w14:paraId="32FD492F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本实践面向利比里亚 OLR MS 电信网络运维交付项目，针对日常运营中“数据分散、报表靠人、口径不一、知识断层”四类困扰，自建“Data Insight 数据洞察平台”与“统一门户”两个产品，把上游 12 类系统的采集、计算、呈现、投递、沉淀串成一条闭环：上层以统一门户收口全部入口，下层以数据洞察平台承担采集与计算，值班人员只负责看与判断。</w:t>
      </w:r>
    </w:p>
    <w:p w14:paraId="523AC272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方法可概括为“一个底座、一个入口、四道防线”：以数据洞察平台为唯一数据底座，统筹 70 项定时任务与 7 组 worker 进程统一入库；以统一门户为唯一入口，把 60 张看板归并为 10 个角色分组视图；以“失败自动重试、漏跑自动补投、数据新鲜度巡检、进程看门狗自愈”四道防线，把“人盯任务”变成“任务自己盯自己”。</w:t>
      </w:r>
    </w:p>
    <w:p w14:paraId="45320B47">
      <w:pPr>
        <w:spacing w:before="60" w:after="20" w:line="240" w:lineRule="auto"/>
        <w:jc w:val="center"/>
      </w:pPr>
      <w:r>
        <w:drawing>
          <wp:inline distT="0" distB="0" distL="114300" distR="114300">
            <wp:extent cx="5543550" cy="1943735"/>
            <wp:effectExtent l="0" t="0" r="0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55D6C">
      <w:pPr>
        <w:spacing w:after="10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1　平台能力总览：102 张数据表、446.8 万行数据、70 项定时任务、60 张看板、10 个分组视图、11 份日报自动投递</w:t>
      </w:r>
    </w:p>
    <w:p w14:paraId="22448DBD">
      <w:pPr>
        <w:spacing w:before="140" w:after="60" w:line="300" w:lineRule="auto"/>
      </w:pPr>
      <w:r>
        <w:rPr>
          <w:rFonts w:ascii="Times New Roman" w:hAnsi="Times New Roman" w:eastAsia="SimSun"/>
          <w:b/>
          <w:i w:val="0"/>
          <w:color w:val="1F3B63"/>
          <w:sz w:val="24"/>
        </w:rPr>
        <w:t>二、业务背景与痛点</w:t>
      </w:r>
    </w:p>
    <w:p w14:paraId="493B9ABA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（一）端到端流程与运作特点</w:t>
      </w:r>
    </w:p>
    <w:p w14:paraId="178DE6AB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本实践覆盖运维的完整链路</w:t>
      </w:r>
      <w:r>
        <w:rPr>
          <w:rFonts w:hint="eastAsia"/>
          <w:b w:val="0"/>
          <w:i w:val="0"/>
          <w:sz w:val="20"/>
          <w:lang w:val="en-US" w:eastAsia="zh-CN"/>
        </w:rPr>
        <w:t>,</w:t>
      </w:r>
      <w:r>
        <w:rPr>
          <w:rFonts w:ascii="Times New Roman" w:hAnsi="Times New Roman" w:eastAsia="SimSun"/>
          <w:b w:val="0"/>
          <w:i w:val="0"/>
          <w:sz w:val="20"/>
        </w:rPr>
        <w:t>开展网络性能、站点可用率、</w:t>
      </w:r>
      <w:r>
        <w:rPr>
          <w:rFonts w:hint="eastAsia"/>
          <w:b w:val="0"/>
          <w:i w:val="0"/>
          <w:sz w:val="20"/>
          <w:lang w:val="en-US" w:eastAsia="zh-CN"/>
        </w:rPr>
        <w:t>微波利用率</w:t>
      </w:r>
      <w:r>
        <w:rPr>
          <w:rFonts w:ascii="Times New Roman" w:hAnsi="Times New Roman" w:eastAsia="SimSun"/>
          <w:b w:val="0"/>
          <w:i w:val="0"/>
          <w:sz w:val="20"/>
        </w:rPr>
        <w:t>、备品备件等日常运营数据的采集与呈报。</w:t>
      </w:r>
    </w:p>
    <w:p w14:paraId="20EA82BF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运作特点有三：一是多源异构，数据分散在 eFlow、RAN/CNN/iPRAN/MW 等多制式网管、核心网 EMS、实时告警代理、数仓及邮件等上游系统；二是强时效，P1 级故障要求分钟级响应，日报周报有固定报送时点；三是多角色协同，管理层、综合运维、一线外场、NOC、</w:t>
      </w:r>
      <w:r>
        <w:rPr>
          <w:rFonts w:hint="eastAsia"/>
          <w:b w:val="0"/>
          <w:i w:val="0"/>
          <w:sz w:val="20"/>
          <w:lang w:val="en-US" w:eastAsia="zh-CN"/>
        </w:rPr>
        <w:t>BO</w:t>
      </w:r>
      <w:r>
        <w:rPr>
          <w:rFonts w:ascii="Times New Roman" w:hAnsi="Times New Roman" w:eastAsia="SimSun"/>
          <w:b w:val="0"/>
          <w:i w:val="0"/>
          <w:sz w:val="20"/>
        </w:rPr>
        <w:t>、备件管理各自关注不同指标。</w:t>
      </w:r>
    </w:p>
    <w:p w14:paraId="493FA213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（二）业务难点与痛点</w:t>
      </w:r>
    </w:p>
    <w:p w14:paraId="2CA27F18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痛点一：入口分散。告警、工单、性能、备件、报表散落在各个系统与网管门户中，值班人员每天需反复切换，既增加操作负担，也易遗漏关键信息。</w:t>
      </w:r>
    </w:p>
    <w:p w14:paraId="2E99BF31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痛点二：报表靠人。日报、周报、月报依赖人工整理，夜班和周末无人处理就会漏发，一旦漏发即构成考核问题。</w:t>
      </w:r>
    </w:p>
    <w:p w14:paraId="49C088FC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痛点三：口径不清。同一网络不可用率、同一次站点退服，不同人员统计口径不一致，导致例会上先花大量时间争论“数据对不对”而非讨论“问题怎么解”。</w:t>
      </w:r>
    </w:p>
    <w:p w14:paraId="70D01778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痛点四：知识断层。eFlow 从告警到工单再到派单的规则多达上千条，新工程师难以快速掌握，遇到问题只能层层升级询问他人。</w:t>
      </w:r>
    </w:p>
    <w:p w14:paraId="778E1598">
      <w:pPr>
        <w:spacing w:before="140" w:after="60" w:line="300" w:lineRule="auto"/>
      </w:pPr>
      <w:r>
        <w:rPr>
          <w:rFonts w:ascii="Times New Roman" w:hAnsi="Times New Roman" w:eastAsia="SimSun"/>
          <w:b/>
          <w:i w:val="0"/>
          <w:color w:val="1F3B63"/>
          <w:sz w:val="24"/>
        </w:rPr>
        <w:t>三、解决方案</w:t>
      </w:r>
    </w:p>
    <w:p w14:paraId="1ED8841E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针对上述痛点，项目组自建两个已上线运行的产品，并配套可靠性保障机制，形成“采集—入库—呈现—投递—沉淀”完整闭环。</w:t>
      </w:r>
    </w:p>
    <w:p w14:paraId="049CF19C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（一）整体架构</w:t>
      </w:r>
    </w:p>
    <w:p w14:paraId="30828131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系统采用前后端分离架构：nginx 反代统一对外入口（80 端口），前端 vite（7090，base=/myapp/）提供 React 单页应用，后端 uvicorn（7038）以 FastAPI 提供 RESTful 接口。数据经 7 组独立 worker 进程（u/n/v/m/c/s/w）分组执行定时任务，worker_watchdog 与 backend_watchdog 双看门狗守护，实现进程崩溃自动重拉。统一门户（/uniplam/）以 React 聚合 my_app 页面与 FineBI 看板，提供卡片网格、业务分类矩阵等多种视图。</w:t>
      </w:r>
    </w:p>
    <w:p w14:paraId="0EA17358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（二）统一门户：收敛全部入口</w:t>
      </w:r>
    </w:p>
    <w:p w14:paraId="3CDC3FDE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门户将分散各处的看板收敛为一个入口，共 60 张看板、63 次挂载，按 10 个角色分组视图组织，让管理层、运维、现场、核心网、系统管理员各看各的那一屏。统一账号与权限，与既有系统共用一套登录，点击看板免二次登录；支持中英双语、深浅色主题、移动端扫码、快捷键搜索、按真实点击热度排序；看板目录由管理员集中维护，一次编辑全员生效。</w:t>
      </w:r>
    </w:p>
    <w:p w14:paraId="43A3A29A">
      <w:pPr>
        <w:spacing w:before="60" w:after="20" w:line="240" w:lineRule="auto"/>
        <w:jc w:val="center"/>
      </w:pPr>
      <w:r>
        <w:drawing>
          <wp:inline distT="0" distB="0" distL="114300" distR="114300">
            <wp:extent cx="5543550" cy="18637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EC3A3">
      <w:pPr>
        <w:spacing w:after="10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2　统一门户看板分组视图分布：BO View 16 张、Friends Link 10 张、MS/FO View 各 7 张，共 60 张卡、63 次挂载</w:t>
      </w:r>
    </w:p>
    <w:p w14:paraId="2440778E">
      <w:pPr>
        <w:spacing w:before="60" w:after="20" w:line="240" w:lineRule="auto"/>
        <w:jc w:val="center"/>
      </w:pPr>
      <w:r>
        <w:drawing>
          <wp:inline distT="0" distB="0" distL="114300" distR="114300">
            <wp:extent cx="6118225" cy="7729855"/>
            <wp:effectExtent l="0" t="0" r="15875" b="444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772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2CCD5">
      <w:pPr>
        <w:spacing w:after="10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3　统一门户登录界面（真实页面截图）：深色 NOC 值班主题，统一账号一次登录即可访问全部看板</w:t>
      </w:r>
    </w:p>
    <w:p w14:paraId="7C478322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（三）数据洞察平台：统一口径与自动投递</w:t>
      </w:r>
    </w:p>
    <w:p w14:paraId="2ECC55E1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平台作为唯一数据底座，从 12 类上游系统按时抓取并统一入库，现共 102 张表、4,467,987 行数据，每小时全库镜像到 SQLite 作为离线兜底。以 70 项定时任务驱动采集、计算与投递，按“上游会话是否互斥”划分为 7 组 worker：组间并行、组内串行，既提升吞吐，又避免多制式共用同一网管账号时并发抓取把账号踢下线。</w:t>
      </w:r>
    </w:p>
    <w:p w14:paraId="603A46FC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口径治理上，指标口径书面化并展示在页面上，下钻接口与概览接口使用完全相同的时间字段与匹配条件，从机制上保证“表格里的数字”与“点进去的行数”严格对得上；取样上限显著大于单页数据量，一旦截断即在界面亮出告警条；取不到数据一律显示“—”，绝不当成 0。报表自动生成并按排程投递到邮件、企业微信、WhatsApp 与 FTP，11 份日报实现无人值守到点即发。</w:t>
      </w:r>
    </w:p>
    <w:p w14:paraId="1534ED94">
      <w:pPr>
        <w:spacing w:before="60" w:after="20" w:line="240" w:lineRule="auto"/>
        <w:jc w:val="center"/>
      </w:pPr>
      <w:r>
        <w:drawing>
          <wp:inline distT="0" distB="0" distL="114300" distR="114300">
            <wp:extent cx="5543550" cy="1779905"/>
            <wp:effectExtent l="0" t="0" r="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1ABC">
      <w:pPr>
        <w:spacing w:after="10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4　定时任务分类分布：共 70 项、启用 68 项，覆盖 eFlow 同步、KPI 邮件、可用率、告警、通知等业务域</w:t>
      </w:r>
    </w:p>
    <w:p w14:paraId="56A83CF7">
      <w:pPr>
        <w:spacing w:before="60" w:after="20" w:line="240" w:lineRule="auto"/>
        <w:jc w:val="center"/>
      </w:pPr>
      <w:r>
        <w:drawing>
          <wp:inline distT="0" distB="0" distL="114300" distR="114300">
            <wp:extent cx="4895850" cy="30594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1338">
      <w:pPr>
        <w:spacing w:after="100" w:line="300" w:lineRule="auto"/>
        <w:jc w:val="center"/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5　任务管理页（真实页面截图）：全部定时任务的调度时间线与执行状态一屏总览，支持手动执行与改排程</w:t>
      </w:r>
    </w:p>
    <w:p w14:paraId="142ECCE0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（四）四道防线：实现夜间无人值守</w:t>
      </w:r>
    </w:p>
    <w:p w14:paraId="52CE59DA">
      <w:pPr>
        <w:spacing w:before="0" w:after="8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  <w:r>
        <w:rPr>
          <w:rFonts w:ascii="Times New Roman" w:hAnsi="Times New Roman" w:eastAsia="SimSun"/>
          <w:b w:val="0"/>
          <w:i w:val="0"/>
          <w:sz w:val="20"/>
        </w:rPr>
        <w:t>一是失败自动重试：每 10 分钟扫描执行记录，先判断缺口是否已被后续成功执行补上以避免重复跑，最多重试 2 次，超 24 小时不再打扰。二是漏跑自动补投：错过排程按 15 分钟宽限、30 分钟最小间隔自动补跑；邮件类每 20 分钟检查邮箱，通道恢复立即补发。三是数据新鲜度巡检：识别分组缺失、长时间静默、任务卡住、逾期、依赖逾期五类异常，去重后同时推送企业微信与邮件。四是进程看门狗自愈：后端与各组 worker 均由看门狗托管，心跳 15 秒，卡死超 3 分钟强制重启，崩溃按指数退避重拉。</w:t>
      </w:r>
    </w:p>
    <w:p w14:paraId="3B925555">
      <w:pPr>
        <w:spacing w:before="0" w:after="8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  <w:r>
        <w:drawing>
          <wp:inline distT="0" distB="0" distL="114300" distR="114300">
            <wp:extent cx="6106160" cy="4039235"/>
            <wp:effectExtent l="0" t="0" r="8890" b="1841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403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D144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（五）本地化 AI 知识库：沉淀排障经验</w:t>
      </w:r>
    </w:p>
    <w:p w14:paraId="35CB52AE">
      <w:pPr>
        <w:spacing w:before="0" w:after="8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  <w:r>
        <w:rPr>
          <w:rFonts w:ascii="Times New Roman" w:hAnsi="Times New Roman" w:eastAsia="SimSun"/>
          <w:b w:val="0"/>
          <w:i w:val="0"/>
          <w:sz w:val="20"/>
        </w:rPr>
        <w:t>平台把 eFlow“告警→工单→指派”的端到端规则整理成知识库文档并由规则表格自动生成，共 10 份文档、816 个检索块，采用本地化部署的向量与关键词混合检索，数据和模型均不出机房。知识库同时提供工单快速分析、批量核查、复盘报告生成、告警分析等工具。AI 与规则双轨并行：AI 负责解释与归纳，结论下方同时列出“规则命中证据”供核对；模型全部档位失败时由本地规则引擎程序化给出结论，做到 AI 不可用时也不交白卷。</w:t>
      </w:r>
    </w:p>
    <w:p w14:paraId="5D30EE04">
      <w:pPr>
        <w:spacing w:before="0" w:after="8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  <w:r>
        <w:drawing>
          <wp:inline distT="0" distB="0" distL="114300" distR="114300">
            <wp:extent cx="6109970" cy="3319780"/>
            <wp:effectExtent l="0" t="0" r="5080" b="1397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9970" cy="331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BA5AE">
      <w:pPr>
        <w:spacing w:before="0" w:after="8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</w:p>
    <w:p w14:paraId="341F5299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（六）关键功能：P1 告警实时推送与数字下钻</w:t>
      </w:r>
    </w:p>
    <w:p w14:paraId="253694AD">
      <w:pPr>
        <w:spacing w:before="0" w:after="60" w:line="300" w:lineRule="auto"/>
        <w:ind w:firstLineChars="200"/>
        <w:rPr>
          <w:rFonts w:ascii="Times New Roman" w:hAnsi="Times New Roman" w:eastAsia="SimSun"/>
          <w:b w:val="0"/>
          <w:i w:val="0"/>
          <w:sz w:val="20"/>
        </w:rPr>
      </w:pPr>
      <w:r>
        <w:rPr>
          <w:rFonts w:ascii="Times New Roman" w:hAnsi="Times New Roman" w:eastAsia="SimSun"/>
          <w:b w:val="0"/>
          <w:i w:val="0"/>
          <w:sz w:val="20"/>
        </w:rPr>
        <w:t>P1 级工单推送由“人盯屏幕”升级为“单找人”：告警接入后自动关联工单、自动渲染包含里程碑时间轴、派单依据、时效与 SLA 的完整分析消息并推送至值班群</w:t>
      </w:r>
      <w:r>
        <w:drawing>
          <wp:inline distT="0" distB="0" distL="114300" distR="114300">
            <wp:extent cx="6104255" cy="4151630"/>
            <wp:effectExtent l="0" t="0" r="10795" b="127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415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14118">
      <w:pPr>
        <w:spacing w:before="60" w:after="20" w:line="240" w:lineRule="auto"/>
        <w:jc w:val="center"/>
      </w:pPr>
    </w:p>
    <w:p w14:paraId="3BF41BD6">
      <w:pPr>
        <w:spacing w:after="100" w:line="300" w:lineRule="auto"/>
        <w:jc w:val="center"/>
        <w:rPr>
          <w:rFonts w:hint="default" w:eastAsia="SimSun"/>
          <w:lang w:val="en-US" w:eastAsia="zh-CN"/>
        </w:rPr>
      </w:pPr>
      <w:r>
        <w:rPr>
          <w:rFonts w:ascii="Times New Roman" w:hAnsi="Times New Roman" w:eastAsia="SimSun"/>
          <w:b w:val="0"/>
          <w:i w:val="0"/>
          <w:color w:val="606A74"/>
          <w:sz w:val="18"/>
        </w:rPr>
        <w:t>图 6　</w:t>
      </w:r>
      <w:r>
        <w:rPr>
          <w:rFonts w:hint="eastAsia"/>
          <w:b w:val="0"/>
          <w:i w:val="0"/>
          <w:color w:val="606A74"/>
          <w:sz w:val="18"/>
          <w:lang w:val="en-US" w:eastAsia="zh-CN"/>
        </w:rPr>
        <w:t>消息推送</w:t>
      </w:r>
    </w:p>
    <w:p w14:paraId="5F4B42AE">
      <w:pPr>
        <w:spacing w:before="140" w:after="60" w:line="300" w:lineRule="auto"/>
      </w:pPr>
      <w:r>
        <w:rPr>
          <w:rFonts w:ascii="Times New Roman" w:hAnsi="Times New Roman" w:eastAsia="SimSun"/>
          <w:b/>
          <w:i w:val="0"/>
          <w:color w:val="1F3B63"/>
          <w:sz w:val="24"/>
        </w:rPr>
        <w:t>四、实施成效和亮点</w:t>
      </w:r>
    </w:p>
    <w:p w14:paraId="7DCFB03E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（一）数智驱动：从人工统计到自动闭环</w:t>
      </w:r>
    </w:p>
    <w:p w14:paraId="14A5A290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平台把数据采集、计算、呈现、投递、知识问答全链路自动化：70 项定时任务在 7 组 worker 中组间并行运行，配合四道防线实现 7×24 小时无人值守；11 份日报自动生成投递，消除夜班与周末漏发风险；P1 告警推送由人工巡视改为系统主动找人；知识库把上千条派单规则转化为可提问的知识。</w:t>
      </w:r>
    </w:p>
    <w:p w14:paraId="01B8ABA7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（二）成效量化（数据取自线上系统实测）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3402"/>
        <w:gridCol w:w="4932"/>
      </w:tblGrid>
      <w:tr w14:paraId="05088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shd w:val="clear" w:color="auto" w:fill="1F3B63"/>
          </w:tcPr>
          <w:p w14:paraId="210534E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/>
                <w:i w:val="0"/>
                <w:color w:val="FFFFFF"/>
                <w:sz w:val="17"/>
              </w:rPr>
              <w:t>维度</w:t>
            </w:r>
          </w:p>
        </w:tc>
        <w:tc>
          <w:tcPr>
            <w:tcW w:w="3402" w:type="dxa"/>
            <w:shd w:val="clear" w:color="auto" w:fill="1F3B63"/>
          </w:tcPr>
          <w:p w14:paraId="7FAEDBEB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/>
                <w:i w:val="0"/>
                <w:color w:val="FFFFFF"/>
                <w:sz w:val="17"/>
              </w:rPr>
              <w:t>关键指标</w:t>
            </w:r>
          </w:p>
        </w:tc>
        <w:tc>
          <w:tcPr>
            <w:tcW w:w="4932" w:type="dxa"/>
            <w:shd w:val="clear" w:color="auto" w:fill="1F3B63"/>
          </w:tcPr>
          <w:p w14:paraId="198A716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/>
                <w:i w:val="0"/>
                <w:color w:val="FFFFFF"/>
                <w:sz w:val="17"/>
              </w:rPr>
              <w:t>实测值</w:t>
            </w:r>
          </w:p>
        </w:tc>
      </w:tr>
      <w:tr w14:paraId="3D8C2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2035B3C6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数据底座</w:t>
            </w:r>
          </w:p>
        </w:tc>
        <w:tc>
          <w:tcPr>
            <w:tcW w:w="3402" w:type="dxa"/>
          </w:tcPr>
          <w:p w14:paraId="3D9E3908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数据表 / 数据总量</w:t>
            </w:r>
          </w:p>
        </w:tc>
        <w:tc>
          <w:tcPr>
            <w:tcW w:w="4932" w:type="dxa"/>
          </w:tcPr>
          <w:p w14:paraId="7A414863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102 张 / 4,467,987 行</w:t>
            </w:r>
          </w:p>
        </w:tc>
      </w:tr>
      <w:tr w14:paraId="24275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2C9B85BE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自动化</w:t>
            </w:r>
          </w:p>
        </w:tc>
        <w:tc>
          <w:tcPr>
            <w:tcW w:w="3402" w:type="dxa"/>
          </w:tcPr>
          <w:p w14:paraId="30F7F07D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定时任务 / worker 组 / 看门狗</w:t>
            </w:r>
          </w:p>
        </w:tc>
        <w:tc>
          <w:tcPr>
            <w:tcW w:w="4932" w:type="dxa"/>
          </w:tcPr>
          <w:p w14:paraId="52290E9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70 项 / 7 组 / 2 个</w:t>
            </w:r>
          </w:p>
        </w:tc>
      </w:tr>
      <w:tr w14:paraId="76E98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35E14E3D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统一入口</w:t>
            </w:r>
          </w:p>
        </w:tc>
        <w:tc>
          <w:tcPr>
            <w:tcW w:w="3402" w:type="dxa"/>
          </w:tcPr>
          <w:p w14:paraId="40B8158B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看板 / 分组视图 / 累计访问</w:t>
            </w:r>
          </w:p>
        </w:tc>
        <w:tc>
          <w:tcPr>
            <w:tcW w:w="4932" w:type="dxa"/>
          </w:tcPr>
          <w:p w14:paraId="154E265A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60 张 / 10 个 / 11,474 次</w:t>
            </w:r>
          </w:p>
        </w:tc>
      </w:tr>
      <w:tr w14:paraId="4F9B8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" w:hRule="atLeast"/>
          <w:jc w:val="center"/>
        </w:trPr>
        <w:tc>
          <w:tcPr>
            <w:tcW w:w="1304" w:type="dxa"/>
          </w:tcPr>
          <w:p w14:paraId="30875403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报表投递</w:t>
            </w:r>
          </w:p>
        </w:tc>
        <w:tc>
          <w:tcPr>
            <w:tcW w:w="3402" w:type="dxa"/>
          </w:tcPr>
          <w:p w14:paraId="44EBE1B3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自动投递日报</w:t>
            </w:r>
          </w:p>
        </w:tc>
        <w:tc>
          <w:tcPr>
            <w:tcW w:w="4932" w:type="dxa"/>
          </w:tcPr>
          <w:p w14:paraId="181FC86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11 份，无人值守</w:t>
            </w:r>
          </w:p>
        </w:tc>
      </w:tr>
      <w:tr w14:paraId="4FBBD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54D2647D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告警时效</w:t>
            </w:r>
          </w:p>
        </w:tc>
        <w:tc>
          <w:tcPr>
            <w:tcW w:w="3402" w:type="dxa"/>
          </w:tcPr>
          <w:p w14:paraId="1124190E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P1 推送时延</w:t>
            </w:r>
          </w:p>
        </w:tc>
        <w:tc>
          <w:tcPr>
            <w:tcW w:w="4932" w:type="dxa"/>
          </w:tcPr>
          <w:p w14:paraId="7522855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45~75 分钟 → 5~10 分钟</w:t>
            </w:r>
          </w:p>
        </w:tc>
      </w:tr>
      <w:tr w14:paraId="62A4F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1BBADC6C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知识沉淀</w:t>
            </w:r>
          </w:p>
        </w:tc>
        <w:tc>
          <w:tcPr>
            <w:tcW w:w="3402" w:type="dxa"/>
          </w:tcPr>
          <w:p w14:paraId="4A98182A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文档 / 检索块 / 单号查询响应</w:t>
            </w:r>
          </w:p>
        </w:tc>
        <w:tc>
          <w:tcPr>
            <w:tcW w:w="4932" w:type="dxa"/>
          </w:tcPr>
          <w:p w14:paraId="666A9F7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10 份 / 816 个 / 1.3 秒</w:t>
            </w:r>
          </w:p>
        </w:tc>
      </w:tr>
      <w:tr w14:paraId="482AF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1283FE69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知识准确性</w:t>
            </w:r>
          </w:p>
        </w:tc>
        <w:tc>
          <w:tcPr>
            <w:tcW w:w="3402" w:type="dxa"/>
          </w:tcPr>
          <w:p w14:paraId="780E8429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派单反推一致率 / 整体可解释率</w:t>
            </w:r>
          </w:p>
        </w:tc>
        <w:tc>
          <w:tcPr>
            <w:tcW w:w="4932" w:type="dxa"/>
          </w:tcPr>
          <w:p w14:paraId="4651E972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100% / 99.2%</w:t>
            </w:r>
          </w:p>
        </w:tc>
      </w:tr>
      <w:tr w14:paraId="3D73C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</w:tcPr>
          <w:p w14:paraId="4E9767C9">
            <w:pPr>
              <w:spacing w:after="20" w:line="240" w:lineRule="auto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可用率监控</w:t>
            </w:r>
          </w:p>
        </w:tc>
        <w:tc>
          <w:tcPr>
            <w:tcW w:w="3402" w:type="dxa"/>
          </w:tcPr>
          <w:p w14:paraId="1F869E3F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2G / 3G / 4G 可用率</w:t>
            </w:r>
          </w:p>
        </w:tc>
        <w:tc>
          <w:tcPr>
            <w:tcW w:w="4932" w:type="dxa"/>
          </w:tcPr>
          <w:p w14:paraId="4839AC00"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17"/>
              </w:rPr>
              <w:t>97.61% / 98.44% / 99.35%</w:t>
            </w:r>
          </w:p>
        </w:tc>
      </w:tr>
    </w:tbl>
    <w:p w14:paraId="0B2A7342">
      <w:pPr>
        <w:spacing w:after="40"/>
      </w:pPr>
    </w:p>
    <w:p w14:paraId="15847F63">
      <w:pPr>
        <w:spacing w:before="60" w:after="20" w:line="240" w:lineRule="auto"/>
        <w:jc w:val="center"/>
      </w:pPr>
    </w:p>
    <w:p w14:paraId="7FB089CA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（三）亮点一：口径可信——每个数字都能点进去</w:t>
      </w:r>
    </w:p>
    <w:p w14:paraId="4564A196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“能下钻尽下钻”被作为硬性要求写入开发规范：概览与下钻两个端点的过滤条件必须逐条一致，取样上限必须显著大于单页最大数据量且截断时显式暴露，取不到数据显示“—”而非 0。由此彻底消除“汇总数字与明细对不上”的长期困扰，例会不再争论数据对不对。</w:t>
      </w:r>
    </w:p>
    <w:p w14:paraId="2A08C9A2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（四）亮点二：智能推送——从“人盯屏幕”到“单找人”</w:t>
      </w:r>
    </w:p>
    <w:p w14:paraId="194FE2F2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推送消息内含单号、级别、告警名称、站点、发生时间、当前状态、9 段里程碑时间轴、派单依据反推、故障持续时长与 SLA 达标判定，值班人员在群里即可完成初步判断。每条推送落库留痕，单号、时间、目标群、回执结果均可追溯；分析引擎不可用时自动降级为精简模板并显式暴露降级条数；发送为 0 条时严格区分“确实无 P1”与“通道断了”。</w:t>
      </w:r>
    </w:p>
    <w:p w14:paraId="5910D4DB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（五）亮点三：知识赋能——本地化 AI 不交白卷</w:t>
      </w:r>
    </w:p>
    <w:p w14:paraId="708C440A">
      <w:pPr>
        <w:spacing w:before="0" w:after="6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知识库全程本地推理，工单与告警数据不外传第三方平台。每条结论下方附带规则命中证据，做到可核对、可追溯；每篇文章标注“已验证 / 部分待验证”。助手只做被动应答、不做群发，检索不到即明确回答没有依据，不用模型常识补答案，从机制上抑制了 AI 幻觉风险。</w:t>
      </w:r>
    </w:p>
    <w:p w14:paraId="7A745B2F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（六）亮点</w:t>
      </w:r>
      <w:r>
        <w:rPr>
          <w:rFonts w:hint="eastAsia"/>
          <w:b/>
          <w:i w:val="0"/>
          <w:color w:val="2E5484"/>
          <w:sz w:val="21"/>
          <w:lang w:val="en-US" w:eastAsia="zh-CN"/>
        </w:rPr>
        <w:t>四</w:t>
      </w:r>
      <w:bookmarkStart w:id="0" w:name="_GoBack"/>
      <w:bookmarkEnd w:id="0"/>
      <w:r>
        <w:rPr>
          <w:rFonts w:ascii="Times New Roman" w:hAnsi="Times New Roman" w:eastAsia="SimSun"/>
          <w:b/>
          <w:i w:val="0"/>
          <w:color w:val="2E5484"/>
          <w:sz w:val="21"/>
        </w:rPr>
        <w:t>：配置驱动，具备直接复制条件</w:t>
      </w:r>
    </w:p>
    <w:p w14:paraId="2D368DA9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平台在架构上刻意保持与局点无关：主机与端口集中在一处配置文件中定义，换机房、换局点只需改这一处；看板只保存相对路径，运行时由“主机 + 相对路径”拼出完整地址，切换环境时全站链接一次生效；门户提供环境一键切换，可在生产、直连、本机调试间批量替换。任务排程、看板目录、收件人均支持界面配置，无需改代码。</w:t>
      </w:r>
    </w:p>
    <w:p w14:paraId="44A1C2D0">
      <w:pPr>
        <w:spacing w:before="140" w:after="60" w:line="300" w:lineRule="auto"/>
      </w:pPr>
      <w:r>
        <w:rPr>
          <w:rFonts w:ascii="Times New Roman" w:hAnsi="Times New Roman" w:eastAsia="SimSun"/>
          <w:b/>
          <w:i w:val="0"/>
          <w:color w:val="1F3B63"/>
          <w:sz w:val="24"/>
        </w:rPr>
        <w:t>五、推广建议</w:t>
      </w:r>
    </w:p>
    <w:p w14:paraId="734B65F8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（一）管理思路与方法</w:t>
      </w:r>
    </w:p>
    <w:p w14:paraId="47B15B55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一是“先统一口径、再谈自动化”。口径书面化并从接口层面强制保证概览与下钻一致，这是后续一切自动化的前提——口径不统一，自动化只会更快地产生不可信的数字。</w:t>
      </w:r>
    </w:p>
    <w:p w14:paraId="5E371962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二是“用机制代替人盯”。四道防线把可靠性内建到系统中，而非依赖值班人员的责任心与记忆，这是实现夜间与周末无人值守的关键。</w:t>
      </w:r>
    </w:p>
    <w:p w14:paraId="3D039F9B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三是“按资源冲突划并发边界”。任务分组不按业务模块划分，而按“上游会话是否互斥”划分，既拿到并行效率，又不触发账号互踢，该判据可沿用到其他局点。</w:t>
      </w:r>
    </w:p>
    <w:p w14:paraId="200B9B96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四是“AI 与规则双轨、结论附证据”。运维属强责任场景，AI 适合做解释与归纳而不适合做最终裁决，因此必须保留证据链与降级路径，做到 AI 不可用时业务不中断。</w:t>
      </w:r>
    </w:p>
    <w:p w14:paraId="4DE151EF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（二）推广时需要注意的问题</w:t>
      </w:r>
    </w:p>
    <w:p w14:paraId="788231A1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第一，先摸清上游系统的采集边界与会话限制。各局点的网管制式、账号权限、接口开放程度差异较大，推广前须逐项确认可采性与账号互斥情况，并据此重新划定 worker 分组，不能照搬本项目分组表。</w:t>
      </w:r>
    </w:p>
    <w:p w14:paraId="6F4E7FA9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第二，先固化口径再迁移看板。建议推广初期即与业务方逐项确认指标定义、统计周期与达标阈值，形成书面口径后再开发看板，避免边建边改。</w:t>
      </w:r>
    </w:p>
    <w:p w14:paraId="7343C0F3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第三，重视数据新鲜度与断链处理。上游断链是常态而非异常，必须明确“回退到最近可用数据并标注”的策略，同时严禁把取不到的数据显示为 0，否则会误导运维判断。</w:t>
      </w:r>
    </w:p>
    <w:p w14:paraId="469C41AE">
      <w:pPr>
        <w:spacing w:before="0" w:after="4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第四，做好权限与敏感信息管理。看板面向多角色开放，需按角色划分可见范围；凭据、令牌等敏感信息不得进入代码与文档；本地化知识库虽数据不出机房，仍需明确使用边界。</w:t>
      </w:r>
    </w:p>
    <w:p w14:paraId="2B1C9F24">
      <w:pPr>
        <w:spacing w:before="0" w:after="80" w:line="300" w:lineRule="auto"/>
        <w:ind w:firstLineChars="200"/>
      </w:pPr>
      <w:r>
        <w:rPr>
          <w:rFonts w:ascii="Times New Roman" w:hAnsi="Times New Roman" w:eastAsia="SimSun"/>
          <w:b w:val="0"/>
          <w:i w:val="0"/>
          <w:sz w:val="20"/>
        </w:rPr>
        <w:t>第五，配置变更需配套回归验证。看板目录、任务排程、分组清单互相牵连，新增任务若未纳入分组将静默滞留而不报错，建议配套自动校验用例，在变更时自动检查覆盖完整性。</w:t>
      </w:r>
    </w:p>
    <w:p w14:paraId="3C24276C">
      <w:pPr>
        <w:spacing w:before="100" w:after="40" w:line="300" w:lineRule="auto"/>
      </w:pPr>
      <w:r>
        <w:rPr>
          <w:rFonts w:ascii="Times New Roman" w:hAnsi="Times New Roman" w:eastAsia="SimSun"/>
          <w:b/>
          <w:i w:val="0"/>
          <w:color w:val="2E5484"/>
          <w:sz w:val="21"/>
        </w:rPr>
        <w:t>（三）已推广领域及实施情况</w:t>
      </w:r>
    </w:p>
    <w:p w14:paraId="2A2FDDC1">
      <w:pPr>
        <w:spacing w:before="0" w:after="60" w:line="300" w:lineRule="auto"/>
        <w:ind w:firstLineChars="200"/>
        <w:rPr>
          <w:rFonts w:hint="eastAsia"/>
          <w:b w:val="0"/>
          <w:i w:val="0"/>
          <w:sz w:val="20"/>
          <w:lang w:val="en-US" w:eastAsia="zh-CN"/>
        </w:rPr>
      </w:pPr>
      <w:r>
        <w:rPr>
          <w:rFonts w:ascii="Times New Roman" w:hAnsi="Times New Roman" w:eastAsia="SimSun"/>
          <w:b w:val="0"/>
          <w:i w:val="0"/>
          <w:sz w:val="20"/>
        </w:rPr>
        <w:t>本实践已在利比里亚 OLR MS 项目全面落地并稳定运行</w:t>
      </w:r>
      <w:r>
        <w:rPr>
          <w:rFonts w:hint="eastAsia"/>
          <w:b w:val="0"/>
          <w:i w:val="0"/>
          <w:sz w:val="20"/>
          <w:lang w:val="en-US" w:eastAsia="zh-CN"/>
        </w:rPr>
        <w:t>.。</w:t>
      </w:r>
    </w:p>
    <w:p w14:paraId="55064DF6">
      <w:pPr>
        <w:spacing w:before="0" w:after="60" w:line="300" w:lineRule="auto"/>
        <w:ind w:firstLineChars="200"/>
        <w:rPr>
          <w:rFonts w:hint="eastAsia"/>
          <w:b w:val="0"/>
          <w:i w:val="0"/>
          <w:sz w:val="20"/>
          <w:lang w:val="en-US" w:eastAsia="zh-CN"/>
        </w:rPr>
      </w:pPr>
      <w:r>
        <w:rPr>
          <w:rFonts w:hint="eastAsia"/>
          <w:b w:val="0"/>
          <w:i w:val="0"/>
          <w:sz w:val="20"/>
          <w:lang w:val="en-US" w:eastAsia="zh-CN"/>
        </w:rPr>
        <w:t>南非COMSOL项目已完成交流并启动移植该平台。</w:t>
      </w:r>
    </w:p>
    <w:p w14:paraId="4E46A091">
      <w:pPr>
        <w:spacing w:before="0" w:after="60" w:line="300" w:lineRule="auto"/>
        <w:ind w:firstLineChars="200"/>
        <w:rPr>
          <w:rFonts w:hint="default"/>
          <w:b w:val="0"/>
          <w:i w:val="0"/>
          <w:sz w:val="20"/>
          <w:lang w:val="en-US" w:eastAsia="zh-CN"/>
        </w:rPr>
      </w:pPr>
      <w:r>
        <w:rPr>
          <w:rFonts w:hint="eastAsia"/>
          <w:b w:val="0"/>
          <w:i w:val="0"/>
          <w:sz w:val="20"/>
          <w:lang w:val="en-US" w:eastAsia="zh-CN"/>
        </w:rPr>
        <w:t>完成和RAN研发（</w:t>
      </w:r>
      <w:r>
        <w:rPr>
          <w:rFonts w:ascii="PingFangSC-Regular" w:hAnsi="PingFangSC-Regular" w:eastAsia="PingFangSC-Regular" w:cs="PingFangSC-Regular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代岩斌10036292</w:t>
      </w:r>
      <w:r>
        <w:rPr>
          <w:rFonts w:hint="eastAsia"/>
          <w:b w:val="0"/>
          <w:i w:val="0"/>
          <w:sz w:val="20"/>
          <w:lang w:val="en-US" w:eastAsia="zh-CN"/>
        </w:rPr>
        <w:t>）团队的交流获得好评。</w:t>
      </w:r>
    </w:p>
    <w:sectPr>
      <w:pgSz w:w="11906" w:h="16838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PingFangSC-Regular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44B021F"/>
    <w:rsid w:val="51E4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1784</Words>
  <Characters>2049</Characters>
  <Lines>0</Lines>
  <Paragraphs>0</Paragraphs>
  <TotalTime>24</TotalTime>
  <ScaleCrop>false</ScaleCrop>
  <LinksUpToDate>false</LinksUpToDate>
  <CharactersWithSpaces>2169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ZTEEMS</cp:lastModifiedBy>
  <dcterms:modified xsi:type="dcterms:W3CDTF">2026-10-12T09:35:16Z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eyJoZGlkIjoiYTkyNTE0ZWZjZWUzYmVjYjU3ZWYwZjdhYTAxZDE1NDcifQ==</vt:lpwstr>
  </property>
  <property fmtid="{D5CDD505-2E9C-101B-9397-08002B2CF9AE}" pid="3" name="KSOProductBuildVer">
    <vt:lpwstr>2052-12.1.0.28485</vt:lpwstr>
  </property>
  <property fmtid="{D5CDD505-2E9C-101B-9397-08002B2CF9AE}" pid="4" name="ICV">
    <vt:lpwstr>6104EB0DBBD54AAABDD636722DDB20CF_12</vt:lpwstr>
  </property>
</Properties>
</file>