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686A3">
      <w:pPr>
        <w:spacing w:before="0" w:after="160" w:line="300" w:lineRule="auto"/>
        <w:jc w:val="center"/>
      </w:pPr>
      <w:r>
        <w:rPr>
          <w:rFonts w:ascii="Times New Roman" w:hAnsi="Times New Roman" w:eastAsia="SimSun"/>
          <w:b/>
          <w:color w:val="1F3B63"/>
          <w:sz w:val="30"/>
        </w:rPr>
        <w:t>利比里亚OLR MS 项目数字化实践</w:t>
      </w:r>
    </w:p>
    <w:p w14:paraId="0D8E55E2">
      <w:pPr>
        <w:spacing w:before="120" w:after="60" w:line="300" w:lineRule="auto"/>
      </w:pPr>
      <w:r>
        <w:rPr>
          <w:rFonts w:ascii="Times New Roman" w:hAnsi="Times New Roman" w:eastAsia="SimSun"/>
          <w:b/>
          <w:color w:val="1F3B63"/>
          <w:sz w:val="24"/>
        </w:rPr>
        <w:t>一、实践简介</w:t>
      </w:r>
    </w:p>
    <w:p w14:paraId="552DA845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本实践面向中兴通讯利比里亚 OLR MS 电信网络运维交付项目，针对 NOC/SOC 日常运营中“数据分散、报表靠人、口径不一、知识断层”四类长期困扰，自建“Data Insight 数据洞察平台”与“统一门户”两个产品，把上游 12 类系统的数据采集、计算、呈现、投递、知识沉淀串成一条闭环：上层用统一门户收口全部入口，下层用数据洞察平台承担采集、计算与投递，值班人员只负责看与判断。</w:t>
      </w:r>
    </w:p>
    <w:p w14:paraId="16030D74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方法可概括为“一个底座、一个入口、四道防线”：以数据洞察平台为唯一数据底座，统筹 70 项定时任务与 7 组 worker 进程，将 eFlow 工单、各制式网管、实时告警等数据统一入库；以统一门户为唯一访问入口，把 60 张看板按 CXO、MS、FLM、SP、FO、BO 等角色视图归并为 10 个分组；以“失败自动重试、漏跑自动补投、数据新鲜度巡检、进程看门狗自愈”四道防线，把“人盯任务”变成“任务自己盯自己”。</w:t>
      </w:r>
    </w:p>
    <w:p w14:paraId="4C148C76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成效：系统已稳定上线运行，承载 59 张数据表、43.69 万行数据，每小时全库镜像到 SQLite 兜底；60 张看板累计产生 11,474 次真实访问，单张最高 1,652 次；11 份日报实现无人值守自动投递；P1 级故障工单告警推送时延由 45~75 分钟压缩到 5~10 分钟；知识库将上千条派单规则沉淀为可提问的知识，单号查询响应 1.3 秒。</w:t>
      </w:r>
    </w:p>
    <w:p w14:paraId="2EC4055F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亮点在于“数智驱动”与“推广复用”两条主线：一方面，全部汇总数字均可点击下钻至造成它的明细行，做到“每个数字都能点进去”；另一方面，平台以配置驱动而非硬编码实现，换局点、换机房只需修改一处主机配置，环境切换、看板目录、任务排程均可在界面完成，具备直接复制到其他 MS 项目的条件。</w:t>
      </w:r>
    </w:p>
    <w:p w14:paraId="5B11534A">
      <w:pPr>
        <w:spacing w:before="120" w:after="60" w:line="300" w:lineRule="auto"/>
      </w:pPr>
      <w:r>
        <w:rPr>
          <w:rFonts w:ascii="Times New Roman" w:hAnsi="Times New Roman" w:eastAsia="SimSun"/>
          <w:b/>
          <w:color w:val="1F3B63"/>
          <w:sz w:val="24"/>
        </w:rPr>
        <w:t>二、业务背景与痛点</w:t>
      </w:r>
    </w:p>
    <w:p w14:paraId="60938DC9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（一）端到端流程与运作特点</w:t>
      </w:r>
    </w:p>
    <w:p w14:paraId="3E7700E6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本实践覆盖电信网络故障运维的完整链路：网元与业务系统产生告警 → 告警接入并自动关联工单（TT）→ 系统按规则自动定级（P1–P4）→ 自动派单至前端（FO）或后端（BO）工程师 → 现场处理与确认 → 关单并回写时效与 SLA 数据 → 统计形成运维报表与考核依据。与之并行的是网络性能、站点可用率、动力环境、备品备件等日常运营数据的采集、统计与呈报。</w:t>
      </w:r>
    </w:p>
    <w:p w14:paraId="25997DAA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其运作特点有三：一是多源异构，数据分散在 eFlow 工单平台、RAN/CNN/iPRAN/MW 等多制式网管、核心网 EMS、实时告警代理、数仓及邮件等上游系统；二是强时效，P1 级故障要求分钟级响应，日报周报有固定报送时点；三是多角色协同，管理层、综合运维、一线外场、前端 NOC、后端专家、备件管理各自关注不同指标与视角。</w:t>
      </w:r>
    </w:p>
    <w:p w14:paraId="059F2BEF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（二）业务难点与痛点</w:t>
      </w:r>
    </w:p>
    <w:p w14:paraId="0C824134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痛点一：入口分散。告警、工单、性能、备件、报表散落在</w:t>
      </w:r>
      <w:r>
        <w:rPr>
          <w:rFonts w:hint="eastAsia"/>
          <w:b w:val="0"/>
          <w:sz w:val="20"/>
          <w:lang w:val="en-US" w:eastAsia="zh-CN"/>
        </w:rPr>
        <w:t>各个</w:t>
      </w:r>
      <w:r>
        <w:rPr>
          <w:rFonts w:ascii="Times New Roman" w:hAnsi="Times New Roman" w:eastAsia="SimSun"/>
          <w:b w:val="0"/>
          <w:sz w:val="20"/>
        </w:rPr>
        <w:t>系统、报表平台与多个网管门户中，值班人员每天需在多个系统间反复切换，既增加操作负担，也容易遗漏关键信息。</w:t>
      </w:r>
    </w:p>
    <w:p w14:paraId="0D7B60DC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痛点二：报表靠人。日报、周报、月报依赖人工整理，夜班和周末无人处理就会漏发，一旦漏发即构成考核问题。</w:t>
      </w:r>
    </w:p>
    <w:p w14:paraId="214EA250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痛点三：口径不清。同一个网络不可用率、同一次站点退服，不同人员统计口径不一致，导致例会上先花大量时间争论“数据对不对”而非讨论“问题怎么解”。</w:t>
      </w:r>
    </w:p>
    <w:p w14:paraId="682BC3A7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痛点四：知识断层。eFlow 从告警到工单再到派单的规则多达上千条，新入职工程师难以快速掌握，遇到问题只能层层升级询问他人，问题</w:t>
      </w:r>
      <w:bookmarkStart w:id="0" w:name="_GoBack"/>
      <w:bookmarkEnd w:id="0"/>
      <w:r>
        <w:rPr>
          <w:rFonts w:ascii="Times New Roman" w:hAnsi="Times New Roman" w:eastAsia="SimSun"/>
          <w:b w:val="0"/>
          <w:sz w:val="20"/>
        </w:rPr>
        <w:t>响应链条被拉长。</w:t>
      </w:r>
    </w:p>
    <w:p w14:paraId="727F0A74">
      <w:pPr>
        <w:spacing w:before="120" w:after="60" w:line="300" w:lineRule="auto"/>
      </w:pPr>
      <w:r>
        <w:rPr>
          <w:rFonts w:ascii="Times New Roman" w:hAnsi="Times New Roman" w:eastAsia="SimSun"/>
          <w:b/>
          <w:color w:val="1F3B63"/>
          <w:sz w:val="24"/>
        </w:rPr>
        <w:t>三、解决方案</w:t>
      </w:r>
    </w:p>
    <w:p w14:paraId="5A61A200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针对上述痛点，项目组自建两个已上线运行的产品，并配套一整套可靠性保障机制，形成“采集—入库—呈现—投递—沉淀”的完整闭环。</w:t>
      </w:r>
    </w:p>
    <w:p w14:paraId="0D5F624B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（一）统一门户：收敛全部入口（解决入口分散）</w:t>
      </w:r>
    </w:p>
    <w:p w14:paraId="0A7B5CC6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门户将分散各处的看板收敛为一个入口，共 60 张看板、63 次挂载（其中 3 张同时挂载于 CXO 与 MS 两个视图），按 CXO View、MS View、FLM View、SP View、FO View、BO View、System Admin、Knowledge Q&amp;A、Friends Link、Archived 共 10 个分组视图组织，让管理层、运维、现场、核心网、系统管理员各看各的那一屏。门户统一账号与权限，与既有系统共用一套登录，点击看板免二次登录；首页按“日常运营概览、网络状态、竞对对标”三层组织信息；支持中英双语、深浅色主题、移动端扫码、快捷键搜索、按真实点击热度排序；看板目录由管理员集中维护，一次编辑全员生效。</w:t>
      </w:r>
    </w:p>
    <w:p w14:paraId="246E3592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（二）数据洞察平台：统一口径与自动投递（解决报表靠人、口径不一）</w:t>
      </w:r>
    </w:p>
    <w:p w14:paraId="38BF0933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平台作为唯一数据底座，从 12 类上游系统按时抓取并统一入库，现共 59 张表、43.69 万行数据，每小时全库镜像到 SQLite 作为离线兜底。以 70 项定时任务驱动采集、计算与投递，任务按“上游会话是否互斥”划分为 u、n、v、m、c、s、w 共 7 组 worker：组间并行、组内串行，既提升吞吐，又避免多个制式共用同一网管账号时并发抓取把账号踢下线。</w:t>
      </w:r>
    </w:p>
    <w:p w14:paraId="442B4C05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口径治理上，全部指标口径书面化并直接展示在页面上，下钻接口与概览接口使用完全相同的时间字段与匹配条件，从机制上保证“表格里的数字”与“点进去的行数”严格对得上；取样上限显著大于单页数据量，一旦截断即在界面亮出告警条并回传标记；取不到数据一律显示“—”，绝不当成 0。报表自动生成并按排程投递到邮件、企业微信、WhatsApp 与 FTP，目前 11 份日报实现无人值守到点即发。</w:t>
      </w:r>
    </w:p>
    <w:p w14:paraId="56AFE8C9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（三）四道防线：实现夜间无人值守（解决漏发与漏跑）</w:t>
      </w:r>
    </w:p>
    <w:p w14:paraId="5748E61A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一是失败自动重试：每 10 分钟扫描执行记录，先判断缺口是否已被后续成功执行补上以避免重复跑，最多重试 2 次，超 24 小时不再打扰。二是漏跑自动补投：错过排程按 15 分钟宽限、30 分钟最小间隔自动补跑；邮件类另有恢复任务，每 20 分钟检查邮箱，通道恢复立即补发。三是数据新鲜度巡检：识别分组缺失、长时间静默、任务卡住、逾期、依赖逾期五类异常，去重后同时推送企业微信与邮件，24 小时未处理再次提醒。四是进程看门狗自愈：后端与各组 worker 均由看门狗托管，心跳 15 秒，卡死超 3 分钟强制重启，崩溃按指数退避重拉。</w:t>
      </w:r>
    </w:p>
    <w:p w14:paraId="5FA99552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（四）本地化 AI 知识库：沉淀排障经验（解决知识断层）</w:t>
      </w:r>
    </w:p>
    <w:p w14:paraId="5A6800E2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平台把 eFlow“告警→工单→指派”的端到端规则整理成知识库文档并由规则表格自动生成，共 10 份文档、816 个检索块，采用本地化部署的向量与关键词混合检索，数据和模型均不出机房。知识库同时提供工单快速分析、批量核查、复盘报告生成、告警分析等工具。AI 与规则双轨并行：AI 负责解释与归纳，结论下方同时列出“规则命中证据”供核对；模型全部档位失败时由本地规则引擎程序化给出结论，做到 AI 不可用时也不交白卷。</w:t>
      </w:r>
    </w:p>
    <w:p w14:paraId="32BAEA75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（五）关键功能：P1 告警实时推送与数字下钻</w:t>
      </w:r>
    </w:p>
    <w:p w14:paraId="022DB10E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P1 级工单推送由“人盯屏幕”升级为“单找人”：告警接入后自动关联工单、自动渲染包含里程碑时间轴、派单依据、时效与 SLA 的完整分析消息并推送至值班群；2026 年 10 月起由浏览器扩展代发切换为常驻推送进程，发送确认改用服务端消息回执，不再依赖数页面气泡判断成功，进程带单实例锁与心跳，投递前先探活，不在线立即降级告警而非静默丢弃。同时坚持“能下钻尽下钻”的硬性设计要求，页面上每个汇总数字均可点击下钻至对应明细，保证每一个结论都能追溯到造成它的那一条记录。</w:t>
      </w:r>
    </w:p>
    <w:p w14:paraId="6EE92C87">
      <w:pPr>
        <w:spacing w:before="120" w:after="60" w:line="300" w:lineRule="auto"/>
      </w:pPr>
      <w:r>
        <w:rPr>
          <w:rFonts w:ascii="Times New Roman" w:hAnsi="Times New Roman" w:eastAsia="SimSun"/>
          <w:b/>
          <w:color w:val="1F3B63"/>
          <w:sz w:val="24"/>
        </w:rPr>
        <w:t>四、实施成效和亮点</w:t>
      </w:r>
    </w:p>
    <w:p w14:paraId="08AAF562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（一）数智驱动：从人工统计到自动闭环</w:t>
      </w:r>
    </w:p>
    <w:p w14:paraId="72522262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平台把数据采集、计算、呈现、投递、知识问答全链路自动化：70 项定时任务在 7 组 worker 中组间并行运行，配合四道防线实现 7×24 小时无人值守；11 份日报自动生成并投递，彻底消除夜班与周末漏发风险；P1 告警推送由人工巡视改为系统主动找人；知识库把上千条派单规则转化为可提问的知识，新工程师当天即可自助查询。</w:t>
      </w:r>
    </w:p>
    <w:p w14:paraId="5DC97142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（二）成效量化（数据取自线上系统实测）</w:t>
      </w:r>
    </w:p>
    <w:p w14:paraId="79B5DBE3">
      <w:pPr>
        <w:spacing w:before="0" w:after="20" w:line="300" w:lineRule="auto"/>
      </w:pPr>
      <w:r>
        <w:rPr>
          <w:rFonts w:ascii="Times New Roman" w:hAnsi="Times New Roman" w:eastAsia="SimSun"/>
          <w:b w:val="0"/>
          <w:sz w:val="20"/>
        </w:rPr>
        <w:t>· 看板与入口：统一门户收敛 60 张看板、10 个分组视图、63 次挂载，累计 11,474 次真实访问，单卡最高 1,652 次（任务管理），实现“一个入口看全网”。</w:t>
      </w:r>
    </w:p>
    <w:p w14:paraId="7542E514">
      <w:pPr>
        <w:spacing w:before="0" w:after="20" w:line="300" w:lineRule="auto"/>
      </w:pPr>
      <w:r>
        <w:rPr>
          <w:rFonts w:ascii="Times New Roman" w:hAnsi="Times New Roman" w:eastAsia="SimSun"/>
          <w:b w:val="0"/>
          <w:sz w:val="20"/>
        </w:rPr>
        <w:t>· 数据规模：59 张数据表、436,950 行数据，每小时全库镜像到 SQLite 兜底；任一上游断链时自动回退到最近可用数据并明确标注，绝不用空白页糊弄值班。</w:t>
      </w:r>
    </w:p>
    <w:p w14:paraId="4850A77B">
      <w:pPr>
        <w:spacing w:before="0" w:after="20" w:line="300" w:lineRule="auto"/>
      </w:pPr>
      <w:r>
        <w:rPr>
          <w:rFonts w:ascii="Times New Roman" w:hAnsi="Times New Roman" w:eastAsia="SimSun"/>
          <w:b w:val="0"/>
          <w:sz w:val="20"/>
        </w:rPr>
        <w:t>· 自动化程度：70 项定时任务、7 组 worker 进程、2 个看门狗；核心数据同步单次执行约 216 秒，日报全量同步约 152 秒。</w:t>
      </w:r>
    </w:p>
    <w:p w14:paraId="44F5E34A">
      <w:pPr>
        <w:spacing w:before="0" w:after="20" w:line="300" w:lineRule="auto"/>
      </w:pPr>
      <w:r>
        <w:rPr>
          <w:rFonts w:ascii="Times New Roman" w:hAnsi="Times New Roman" w:eastAsia="SimSun"/>
          <w:b w:val="0"/>
          <w:sz w:val="20"/>
        </w:rPr>
        <w:t>· 时效提升：P1 级工单告警推送时延由改造前平均约 45 分钟、最坏约 75 分钟，压缩至平均约 5 分钟、最坏约 10 分钟。</w:t>
      </w:r>
    </w:p>
    <w:p w14:paraId="4A12BF2E">
      <w:pPr>
        <w:spacing w:before="0" w:after="20" w:line="300" w:lineRule="auto"/>
      </w:pPr>
      <w:r>
        <w:rPr>
          <w:rFonts w:ascii="Times New Roman" w:hAnsi="Times New Roman" w:eastAsia="SimSun"/>
          <w:b w:val="0"/>
          <w:sz w:val="20"/>
        </w:rPr>
        <w:t>· 知识沉淀：知识库 10 份文档、816 个检索块，单号查询响应 1.3 秒，本地索引 4.7 万条单号，派单反推确认项一致率 100%，500 单整体可解释率 99.2%。</w:t>
      </w:r>
    </w:p>
    <w:p w14:paraId="1E2BE512">
      <w:pPr>
        <w:spacing w:before="0" w:after="20" w:line="300" w:lineRule="auto"/>
      </w:pPr>
      <w:r>
        <w:rPr>
          <w:rFonts w:ascii="Times New Roman" w:hAnsi="Times New Roman" w:eastAsia="SimSun"/>
          <w:b w:val="0"/>
          <w:sz w:val="20"/>
        </w:rPr>
        <w:t>· 可用率监控：实现 2G/3G/4G/TDD 全制式逐站月度可用率监控，其中 2G 可用率 97.61%、3G 可用率 98.44%、4G 可用率 99.35%（达标）。</w:t>
      </w:r>
    </w:p>
    <w:p w14:paraId="32E663CC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（三）亮点一：口径可信——每个数字都能点进去</w:t>
      </w:r>
    </w:p>
    <w:p w14:paraId="39AED6A6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“能下钻尽下钻”被作为硬性设计要求写入开发规范：概览与下钻两个端点的过滤条件必须逐条一致，取样上限必须显著大于单页最大数据量且截断时显式暴露，取不到数据显示“—”而非 0。由此彻底消除“汇总数字与明细对不上”这一长期困扰，例会不再争论数据对不对，讨论直接回到问题本身。</w:t>
      </w:r>
    </w:p>
    <w:p w14:paraId="45AF4FF2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（四）亮点二：智能推送——从“人盯屏幕”到“单找人”</w:t>
      </w:r>
    </w:p>
    <w:p w14:paraId="3F67D1A5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推送消息内含单号、级别、告警名称、站点、发生时间、当前状态、9 段里程碑时间轴、派单依据反推、故障持续时长与 SLA 达标判定，值班人员在群里即可完成初步判断，无需登录系统逐项查询。每条推送落库留痕，单号、时间、目标群、回执结果均可追溯；分析引擎不可用时自动降级为精简模板并显式暴露降级条数；发送为 0 条时严格区分“确实无 P1”与“通道断了”。</w:t>
      </w:r>
    </w:p>
    <w:p w14:paraId="0714C1E9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（五）亮点三：知识赋能——本地化 AI 不交白卷</w:t>
      </w:r>
    </w:p>
    <w:p w14:paraId="4BEDAE2C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知识库全程本地推理，工单与告警数据不外传第三方平台。每条结论下方附带规则命中证据，做到可核对、可追溯；每篇文章标注“已验证 / 部分待验证”，让使用者清楚哪条结论已经过实测。助手只做被动应答、不做群发，检索不到即明确回答没有依据，不用模型常识补答案，从机制上抑制了 AI 幻觉在运维场景中的风险。</w:t>
      </w:r>
    </w:p>
    <w:p w14:paraId="69FD7B5F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（六）推广复用：配置驱动，具备直接复制条件</w:t>
      </w:r>
    </w:p>
    <w:p w14:paraId="1FF685B6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平台在架构上刻意保持与局点无关：主机与端口集中在一处配置文件中定义，换机房、换局点只需修改这一处；看板只保存相对路径，运行时由“主机 + 相对路径”拼出完整地址，因此切换环境时全站看板链接一次生效，已保存在本地的旧数据也能自动跟随；门户提供环境一键切换，可在生产、直连、本机调试等环境间批量替换。任务排程、看板目录、收件人均支持界面配置，无需修改代码。</w:t>
      </w:r>
    </w:p>
    <w:p w14:paraId="402BE254">
      <w:pPr>
        <w:spacing w:before="120" w:after="60" w:line="300" w:lineRule="auto"/>
      </w:pPr>
      <w:r>
        <w:rPr>
          <w:rFonts w:ascii="Times New Roman" w:hAnsi="Times New Roman" w:eastAsia="SimSun"/>
          <w:b/>
          <w:color w:val="1F3B63"/>
          <w:sz w:val="24"/>
        </w:rPr>
        <w:t>五、推广建议</w:t>
      </w:r>
    </w:p>
    <w:p w14:paraId="6C95E690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（一）管理思路与方法</w:t>
      </w:r>
    </w:p>
    <w:p w14:paraId="1BFFF784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一是“先统一口径、再谈自动化”。本项目把指标口径书面化并展示在页面上，且从接口层面强制保证概览与下钻口径一致，这是后续一切自动化的前提——口径不统一，自动化只会更快地产生不可信的数字。</w:t>
      </w:r>
    </w:p>
    <w:p w14:paraId="654A80FA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二是“用机制代替人盯”。四道防线把可靠性内建到系统中，而非依赖值班人员的责任心与记忆，这是实现夜间与周末无人值守的关键。</w:t>
      </w:r>
    </w:p>
    <w:p w14:paraId="30E5BB5B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三是“按资源冲突划并发边界”。任务分组不按业务模块划分，而按“上游会话是否互斥”划分，既拿到并行效率，又不触发账号互踢，该判据可直接沿用到其他局点。</w:t>
      </w:r>
    </w:p>
    <w:p w14:paraId="5A9B2BDD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四是“AI 与规则双轨、结论附证据”。在运维这类强责任场景中，AI 适合做解释与归纳而不适合做最终裁决，因此必须保留证据链与降级路径，做到 AI 不可用时业务不中断。</w:t>
      </w:r>
    </w:p>
    <w:p w14:paraId="78B55716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（二）推广时需要注意的问题</w:t>
      </w:r>
    </w:p>
    <w:p w14:paraId="7E0BE3EC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第一，先摸清上游系统的采集边界与会话限制。各局点的网管制式、账号权限、接口开放程度差异较大，推广前须逐项确认数据源可采性与账号互斥情况，并据此重新划定 worker 分组，不能照搬本项目分组表。</w:t>
      </w:r>
    </w:p>
    <w:p w14:paraId="677B97E7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第二，先固化口径再迁移看板。建议推广初期即与业务方逐项确认指标定义、统计周期与达标阈值，形成书面口径后再开发看板，避免边建边改。</w:t>
      </w:r>
    </w:p>
    <w:p w14:paraId="4B68E832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第三，重视数据新鲜度与断链处理。上游断链是常态而非异常，必须明确“回退到最近可用数据并标注”的处理策略，同时严禁把取不到的数据显示为 0，否则会误导运维判断。</w:t>
      </w:r>
    </w:p>
    <w:p w14:paraId="64785613">
      <w:pPr>
        <w:spacing w:before="0" w:after="4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第四，做好权限与敏感信息管理。看板面向多角色开放，需按角色划分可见范围；凭据、令牌等敏感信息不得进入代码与文档；本地化部署的知识库虽数据不出机房，仍需明确使用边界。</w:t>
      </w:r>
    </w:p>
    <w:p w14:paraId="17FCBCEF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第五，配置变更需配套回归验证。看板目录、任务排程、分组清单等配置项互相牵连，新增任务若未纳入分组将静默滞留而不报错，建议配套自动校验用例，在变更时自动检查覆盖完整性。</w:t>
      </w:r>
    </w:p>
    <w:p w14:paraId="0C8C1859">
      <w:pPr>
        <w:spacing w:before="80" w:after="40" w:line="300" w:lineRule="auto"/>
      </w:pPr>
      <w:r>
        <w:rPr>
          <w:rFonts w:ascii="Times New Roman" w:hAnsi="Times New Roman" w:eastAsia="SimSun"/>
          <w:b/>
          <w:color w:val="2E5484"/>
          <w:sz w:val="21"/>
        </w:rPr>
        <w:t>（三）已推广领域及实施情况</w:t>
      </w:r>
    </w:p>
    <w:p w14:paraId="1E3B4E3A">
      <w:pPr>
        <w:spacing w:before="0" w:after="60" w:line="300" w:lineRule="auto"/>
        <w:ind w:firstLineChars="200"/>
      </w:pPr>
      <w:r>
        <w:rPr>
          <w:rFonts w:ascii="Times New Roman" w:hAnsi="Times New Roman" w:eastAsia="SimSun"/>
          <w:b w:val="0"/>
          <w:sz w:val="20"/>
        </w:rPr>
        <w:t>本实践已在利比里亚 OLR MS 项目全面落地并稳定运行，覆盖 CXO 经营管理、MS 综合运维、FLM 一线外场、SP 备品备件、FO 前端 NOC、BO 后端专家、系统管理等全部角色视图，服务对象涵盖交付管理、网络运维、现场维护与系统管理等多类岗位，目前 60 张看板均已上线在架运行。其中“上层入口聚合、下层数据计算”的解耦架构已具备向其他 MS 项目平移的条件：门户侧只需替换主机配置与看板目录，平台侧需按局点实际数据源重新配置采集任务。</w:t>
      </w:r>
    </w:p>
    <w:sectPr>
      <w:pgSz w:w="11906" w:h="16838"/>
      <w:pgMar w:top="1077" w:right="1191" w:bottom="1020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30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SimSun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4760</Words>
  <Characters>5130</Characters>
  <Lines>0</Lines>
  <Paragraphs>0</Paragraphs>
  <TotalTime>3</TotalTime>
  <ScaleCrop>false</ScaleCrop>
  <LinksUpToDate>false</LinksUpToDate>
  <CharactersWithSpaces>5371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ZTEEMS</cp:lastModifiedBy>
  <dcterms:modified xsi:type="dcterms:W3CDTF">2026-10-09T11:55:06Z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eyJoZGlkIjoiYTkyNTE0ZWZjZWUzYmVjYjU3ZWYwZjdhYTAxZDE1NDcifQ==</vt:lpwstr>
  </property>
  <property fmtid="{D5CDD505-2E9C-101B-9397-08002B2CF9AE}" pid="3" name="KSOProductBuildVer">
    <vt:lpwstr>2052-12.1.0.28485</vt:lpwstr>
  </property>
  <property fmtid="{D5CDD505-2E9C-101B-9397-08002B2CF9AE}" pid="4" name="ICV">
    <vt:lpwstr>9D1646A917434799BAB0B38CE1C4890D_12</vt:lpwstr>
  </property>
</Properties>
</file>