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Playfair Display" w:cs="Playfair Display" w:eastAsia="Playfair Display" w:hAnsi="Playfair Display"/>
          <w:b w:val="1"/>
          <w:sz w:val="92"/>
          <w:szCs w:val="9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92"/>
          <w:szCs w:val="92"/>
          <w:rtl w:val="0"/>
        </w:rPr>
        <w:t xml:space="preserve">SISTEMA DE PLANIFICACIÓN DE VIAJES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-28574</wp:posOffset>
            </wp:positionH>
            <wp:positionV relativeFrom="paragraph">
              <wp:posOffset>0</wp:posOffset>
            </wp:positionV>
            <wp:extent cx="7620000" cy="4519613"/>
            <wp:effectExtent b="0" l="0" r="0" t="0"/>
            <wp:wrapTopAndBottom distB="0" dist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19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Playfair Display" w:cs="Playfair Display" w:eastAsia="Playfair Display" w:hAnsi="Playfair Display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>
          <w:rFonts w:ascii="Playfair Display" w:cs="Playfair Display" w:eastAsia="Playfair Display" w:hAnsi="Playfair Display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>
          <w:rFonts w:ascii="Playfair Display" w:cs="Playfair Display" w:eastAsia="Playfair Display" w:hAnsi="Playfair Display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320" w:firstLine="0"/>
        <w:contextualSpacing w:val="0"/>
        <w:jc w:val="left"/>
        <w:rPr>
          <w:rFonts w:ascii="Playfair Display" w:cs="Playfair Display" w:eastAsia="Playfair Display" w:hAnsi="Playfair Display"/>
          <w:b w:val="1"/>
          <w:sz w:val="52"/>
          <w:szCs w:val="5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52"/>
          <w:szCs w:val="52"/>
          <w:rtl w:val="0"/>
        </w:rPr>
        <w:t xml:space="preserve">Álvaro de la Torre Saavedra 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center"/>
        <w:rPr>
          <w:rFonts w:ascii="Playfair Display" w:cs="Playfair Display" w:eastAsia="Playfair Display" w:hAnsi="Playfair Display"/>
          <w:b w:val="1"/>
          <w:sz w:val="52"/>
          <w:szCs w:val="5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52"/>
          <w:szCs w:val="52"/>
          <w:rtl w:val="0"/>
        </w:rPr>
        <w:t xml:space="preserve"> </w:t>
        <w:tab/>
        <w:t xml:space="preserve">  Jorge Valenzuela García</w:t>
        <w:tab/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95250</wp:posOffset>
            </wp:positionH>
            <wp:positionV relativeFrom="paragraph">
              <wp:posOffset>123825</wp:posOffset>
            </wp:positionV>
            <wp:extent cx="1662113" cy="1209675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righ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righ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righ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righ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righ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>
          <w:rFonts w:ascii="Playfair Display" w:cs="Playfair Display" w:eastAsia="Playfair Display" w:hAnsi="Playfair Display"/>
          <w:b w:val="1"/>
          <w:sz w:val="24"/>
          <w:szCs w:val="24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4"/>
          <w:szCs w:val="24"/>
          <w:rtl w:val="0"/>
        </w:rPr>
        <w:tab/>
        <w:t xml:space="preserve">FIS. Grupo 2.1.</w:t>
      </w:r>
    </w:p>
    <w:sectPr>
      <w:pgSz w:h="16838" w:w="11906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