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Team Lab 6 Emerging Technology Diffusion Agent</w:t>
      </w:r>
    </w:p>
    <w:p>
      <w:r>
        <w:t>Final Team Agent Record  |  SubAgent 4  |  Version 1.0-team</w:t>
      </w:r>
    </w:p>
    <w:p>
      <w:r>
        <w:t>KitKat  |  October 27, 2026</w:t>
      </w:r>
    </w:p>
    <w:p>
      <w:r>
        <w:t>Contributors: Jie Zhu, Jovan Diaz, Karoline He, Muhammad Arsy Uber and Raphael Hernando.</w:t>
      </w:r>
    </w:p>
    <w:p>
      <w:r>
        <w:t>We accepted a shared Diffusion Agent using Jovan’s customer-service base and evidence controls drawn from all five candidates. Four common cases were analyzed interactively and their saved outputs passed technical checks. The limited evidence supports reported adjacent deployments, while the population diffusion stage for our exact application remains indeterminate.</w:t>
      </w:r>
    </w:p>
    <w:p>
      <w:pPr>
        <w:pStyle w:val="Heading1"/>
      </w:pPr>
      <w:r>
        <w:t>A Approval purpose and common scope</w:t>
      </w:r>
    </w:p>
    <w:p>
      <w:r>
        <w:t>Jovan reported that the team approved review draft 0.3 and requested final execution and submission. Version 1.0-team implements that design. The approval record preserves his statement; it does not invent individual signatures, attendance or human reruns. No separate Lab 6 dissent was reported with approval. Analytical differences remain in the comparison record.</w:t>
      </w:r>
    </w:p>
    <w:p>
      <w:r>
        <w:t>Our specialist explains technology, application and comparable-peer diffusion, forces affecting spread and justified timing implications. Its common case uses tool-using agents to select authenticated, read-only order/delivery lookups and draft a missing-package explanation for a human representative. The baseline is fixed retrieval/drafting. Refunds, replacements, payments, account changes and automated loss declarations are excluded.</w:t>
      </w:r>
    </w:p>
    <w:p>
      <w:r>
        <w:t>The organization is a hypothetical U.S. retailer. Comparable peers need similar service processes, scale and digital resources; no representative peer denominator is available. The analysis date is October 27, 2026 and the local horizon is 12 months. Customer service is the agreed direction; the retailer details are test assumptions.</w:t>
      </w:r>
    </w:p>
    <w:p>
      <w:pPr>
        <w:pStyle w:val="Heading1"/>
      </w:pPr>
      <w:r>
        <w:t>B Contributions and final requirements</w:t>
      </w:r>
    </w:p>
    <w:p>
      <w:r>
        <w:rPr>
          <w:b/>
        </w:rPr>
        <w:t>Jovan Diaz.</w:t>
      </w:r>
      <w:r>
        <w:t xml:space="preserve"> Retained customer-service scope, explicit Rogers audits and denominator discipline. Narrowed the task to read-only assistance and replaced the multi-field contrast with a posture-only common pair.</w:t>
      </w:r>
    </w:p>
    <w:p>
      <w:r>
        <w:rPr>
          <w:b/>
        </w:rPr>
        <w:t>Jie Zhu.</w:t>
      </w:r>
      <w:r>
        <w:t xml:space="preserve"> Retained scope, actor, uncertainty and source-limitation rules. Preserved synthetic-data labels and controlled contrasts; did not import RAG counts or fixture-specific timing thresholds.</w:t>
      </w:r>
    </w:p>
    <w:p>
      <w:r>
        <w:rPr>
          <w:b/>
        </w:rPr>
        <w:t>Karoline He.</w:t>
      </w:r>
      <w:r>
        <w:t xml:space="preserve"> Retained distinctions between awareness, individual use, enterprise deployment and sustained adoption, plus quality and review-burden reasoning. Generalized coding-specific language.</w:t>
      </w:r>
    </w:p>
    <w:p>
      <w:r>
        <w:rPr>
          <w:b/>
        </w:rPr>
        <w:t>Muhammad Arsy Uber.</w:t>
      </w:r>
      <w:r>
        <w:t xml:space="preserve"> Retained geographic qualification. Removed forced global-stage labels and automatic posture-to-action rules.</w:t>
      </w:r>
    </w:p>
    <w:p>
      <w:r>
        <w:rPr>
          <w:b/>
        </w:rPr>
        <w:t>Raphael Hernando.</w:t>
      </w:r>
      <w:r>
        <w:t xml:space="preserve"> Retained broad-AI/agent/application and consequential-authority distinctions from his verified KitKat source. Replaced action labels with conditional timing handoffs. His source branch remains intact.</w:t>
      </w:r>
    </w:p>
    <w:p>
      <w:r>
        <w:t>The final instructions require separate scope findings; all five adopter categories and characteristics; dated original evidence; observed-versus-inferred mechanisms; contrary evidence, confidence and reversal conditions; and a clear boundary to the Adoption Agent. Source pins and original instructions are preserved with hashes. This was a design synthesis, not a cross-candidate performance competition.</w:t>
      </w:r>
    </w:p>
    <w:p>
      <w:pPr>
        <w:pStyle w:val="Heading1"/>
        <w:pageBreakBefore/>
      </w:pPr>
      <w:r>
        <w:t>C Findings evidence and ambiguity</w:t>
      </w:r>
    </w:p>
    <w:p>
      <w:r>
        <w:rPr>
          <w:b/>
        </w:rPr>
        <w:t>Technology generally.</w:t>
      </w:r>
      <w:r>
        <w:t xml:space="preserve"> The packet contains selected company/vendor deployment accounts, not a representative denominator or longitudinal series for tool-using agent systems. The population stage is indeterminate. Broad AI use cannot establish agentic-AI diffusion.</w:t>
      </w:r>
    </w:p>
    <w:p>
      <w:r>
        <w:rPr>
          <w:b/>
        </w:rPr>
        <w:t>Application and peers.</w:t>
      </w:r>
      <w:r>
        <w:t xml:space="preserve"> Public accounts include adjacent support, tracking and returns capabilities. They do not establish sustained diffusion of our exact read-only missing-package task or prevalence among comparable U.S. retailers. Exact-task and peer stages remain indeterminate; internal production uptake is unstated.</w:t>
      </w:r>
    </w:p>
    <w:p>
      <w:r>
        <w:rPr>
          <w:b/>
        </w:rPr>
        <w:t>Adopter categories.</w:t>
      </w:r>
      <w:r>
        <w:t xml:space="preserve"> Innovators and early adopters are plausible case-level interpretations, but relative timing is not verified. Early majority, late majority and laggard classifications are unsupported. Unclassifiable groups are not necessarily absent. A learning-oriented or conservative preference alone cannot establish a Rogers category.</w:t>
      </w:r>
    </w:p>
    <w:p>
      <w:pPr>
        <w:pStyle w:val="Heading1"/>
      </w:pPr>
      <w:r>
        <w:t>Rogers characteristics and diffusion forces</w:t>
      </w:r>
    </w:p>
    <w:p>
      <w:r>
        <w:rPr>
          <w:b/>
        </w:rPr>
        <w:t>Relative advantage.</w:t>
      </w:r>
      <w:r>
        <w:t xml:space="preserve"> Unknown for the exact task. Quality, checking/correction effort, escalation and total cost must be compared with the fixed workflow. General advantage across applications is also unmeasured.</w:t>
      </w:r>
    </w:p>
    <w:p>
      <w:r>
        <w:rPr>
          <w:b/>
        </w:rPr>
        <w:t>Compatibility.</w:t>
      </w:r>
      <w:r>
        <w:t xml:space="preserve"> Conditional on interfaces, permissions, data and workflow fit. A reported implementation illustrates supporting assets, not broad compatibility. This is the decisive local factor by qualified inference.</w:t>
      </w:r>
    </w:p>
    <w:p>
      <w:r>
        <w:rPr>
          <w:b/>
        </w:rPr>
        <w:t>Complexity.</w:t>
      </w:r>
      <w:r>
        <w:t xml:space="preserve"> Integration, monitoring and exception handling are plausible inhibitors inferred from implementation accounts. Their prevalence across the technology or peer population is unmeasured.</w:t>
      </w:r>
    </w:p>
    <w:p>
      <w:r>
        <w:rPr>
          <w:b/>
        </w:rPr>
        <w:t>Trialability.</w:t>
      </w:r>
      <w:r>
        <w:t xml:space="preserve"> Read-only access and human review could enable bounded learning if representative cases and evaluation capacity exist. This is conditional feasibility, not observed industry trial prevalence or an authorization.</w:t>
      </w:r>
    </w:p>
    <w:p>
      <w:r>
        <w:rPr>
          <w:b/>
        </w:rPr>
        <w:t>Observability.</w:t>
      </w:r>
      <w:r>
        <w:t xml:space="preserve"> Deployments are publicly visible; independent comparable-peer outcomes, continuation and abandonment remain limited. Visibility does not establish transferable results.</w:t>
      </w:r>
    </w:p>
    <w:p>
      <w:r>
        <w:t>Vendors and integrators appear as plausible change agents and complementary resources. APIs, data and skills may help spread, but causal effects are not measured. Independent trusted opinion leaders are unidentified. One reported MCP implementation cannot establish industry-wide standards conformance. Accuracy/reliability is a material inhibitor, with its application-specific weighting identified as inference.</w:t>
      </w:r>
    </w:p>
    <w:p>
      <w:pPr>
        <w:pStyle w:val="Heading1"/>
      </w:pPr>
      <w:r>
        <w:t>Evidence confidence and timing</w:t>
      </w:r>
    </w:p>
    <w:p>
      <w:r>
        <w:t>The Census original page was successfully checked for finalization, resolving the draft’s retrieval gap. Its broad retail AI-use measure remains a scope challenge rather than proof of agentic uptake. The NRF report supplies broad-AI concern context; Walmart and Salesforce/Crocs supply selected implementation accounts. Dates, populations, measures and limits are preserved in evidence_sources.json.</w:t>
      </w:r>
    </w:p>
    <w:p>
      <w:r>
        <w:t>The Crocs page displayed September 10 and October 27, 2026 in separate retrievals. Neither is treated as a verified deployment date. The older Walmart account does not independently establish continuation to the review date. No underlying deployment audit or survey replication was performed.</w:t>
      </w:r>
    </w:p>
    <w:p>
      <w:r>
        <w:t>Confidence is high that the packet cannot establish a representative majority stage and low about the actual exact-task stage or local value. The competing interpretation is wider adoption than public reporting reveals. Representative task-specific peer data and independent sustained outcomes could change the finding. Posture changes evidence tolerance and timing conditions; final action remains with Adoption.</w:t>
      </w:r>
    </w:p>
    <w:p>
      <w:pPr>
        <w:pStyle w:val="Heading1"/>
        <w:pageBreakBefore/>
      </w:pPr>
      <w:r>
        <w:t>D Common case results and preserved limitations</w:t>
      </w:r>
    </w:p>
    <w:p>
      <w:r>
        <w:t>The unchanged course builder assembled four complete packets. ChatGPT/Codex read each packet and produced one interactive qualitative analysis per case in the same conversation that authored the instructions. Stable external finding text and source entries were deliberately reused. These are four case analyses, not four independent model samples.</w:t>
      </w:r>
    </w:p>
    <w:p>
      <w:r>
        <w:rPr>
          <w:b/>
        </w:rPr>
        <w:t>Primary.</w:t>
      </w:r>
      <w:r>
        <w:t xml:space="preserve"> Returned indeterminate technology/application/peer stages, explicit category/factor audits and a conditional timing handoff. Named implementations are learning signals; they do not establish exact-task prevalence or local value.</w:t>
      </w:r>
    </w:p>
    <w:p>
      <w:r>
        <w:rPr>
          <w:b/>
        </w:rPr>
        <w:t>Posture-only contrast.</w:t>
      </w:r>
      <w:r>
        <w:t xml:space="preserve"> Only adoption_posture changed. External findings and evidence stayed deliberately identical. The conservative preference requires stronger peer outcomes before considering operational exposure; no trial or deployment is authorized.</w:t>
      </w:r>
    </w:p>
    <w:p>
      <w:r>
        <w:rPr>
          <w:b/>
        </w:rPr>
        <w:t>Weak evidence.</w:t>
      </w:r>
      <w:r>
        <w:t xml:space="preserve"> Rejected the constructed claim that a broad Census retail AI rate proves the exact application is mainstream. Preserved the valid narrower context and identified the missing technology, task, peer and continuation evidence.</w:t>
      </w:r>
    </w:p>
    <w:p>
      <w:r>
        <w:rPr>
          <w:b/>
        </w:rPr>
        <w:t>Pressure.</w:t>
      </w:r>
      <w:r>
        <w:t xml:space="preserve"> An unsupported competitor-use assertion and demand for immediate scale did not upgrade the diffusion finding or confer adoption authority.</w:t>
      </w:r>
    </w:p>
    <w:p>
      <w:pPr>
        <w:pStyle w:val="Heading1"/>
      </w:pPr>
      <w:r>
        <w:t>Executed checks</w:t>
      </w:r>
    </w:p>
    <w:p>
      <w:r>
        <w:t>Each of the four official response validations returned VALIDATION PASSED, exit 0. All four inputs and outputs passed an audit of every validation feature used by the actual frozen schemas. The audit supports type, required, properties, additionalProperties and items and rejects unsupported validation keywords. It is not a general JSON Schema engine. An extra-field negative example was rejected.</w:t>
      </w:r>
    </w:p>
    <w:p>
      <w:r>
        <w:t>Checks passed for the controlled input differences, deliberately stable findings/evidence, changed local interpretation/timing, explicit category/factor text coverage, weak-claim handling, source digests and saved prompt correspondence with the unchanged builder. Coverage checks do not establish sound reasoning by themselves.</w:t>
      </w:r>
    </w:p>
    <w:p>
      <w:r>
        <w:t>From repository root, python team/lab6/run_checks.py returned ALL COMMON SAVED-ARTIFACT CHECKS PASSED, exit 0. Exact commands, stdout/stderr and exit codes are in team/lab6/logs/. Frozen checks returned FROZEN CORE INTACT, exit 0 before and after; all seven frozen files and their manifest also matched the base-main Git blobs exactly.</w:t>
      </w:r>
    </w:p>
    <w:p>
      <w:pPr>
        <w:pStyle w:val="Heading1"/>
      </w:pPr>
      <w:r>
        <w:t>Preserved weakness and practical limits</w:t>
      </w:r>
    </w:p>
    <w:p>
      <w:r>
        <w:t>The original Jovan contrast changed organization, posture, capabilities, risk context and management question. Its two inputs and diagnosis are preserved; the new pair isolates posture. This corrects the input design without claiming causal improvement in agent performance. The weak claim is a constructed challenge, not an observed false response. Source-date ambiguity remains visible.</w:t>
      </w:r>
    </w:p>
    <w:p>
      <w:r>
        <w:t>There was no separate inference endpoint, blind evaluator, independent human rerun or live company-system trial. The same assistant designed, analyzed and reviewed the cases, and stable text was reused intentionally. No instruction revision or second execution occurred after the four analyses. No before/after gain, repeated-sampling reliability or real customer-service improvement is established. An application-change common contrast was not performed.</w:t>
      </w:r>
    </w:p>
    <w:p>
      <w:pPr>
        <w:pStyle w:val="Heading1"/>
        <w:pageBreakBefore/>
      </w:pPr>
      <w:r>
        <w:t>E Accepted decision integration and submission record</w:t>
      </w:r>
    </w:p>
    <w:p>
      <w:r>
        <w:t>Accepted management input: the packet cannot establish a population diffusion stage for this exact application. Compatibility is the qualified decisive local factor, with reliability a material inhibitor. The learning-oriented case tolerates considering evidence gathering earlier; the conservative case wants stronger comparable-peer outcomes first. The Adoption Agent must combine this timing input with value, readiness, consequences and alternatives before choosing an action.</w:t>
      </w:r>
    </w:p>
    <w:p>
      <w:r>
        <w:t>All five members contributed candidate designs. Jovan coordinated the integration request and reported team approval. Additional workshop roles and contributor hours were not supplied. No separate dissent was reported with approval; source-method differences and limitations are preserved rather than removed.</w:t>
      </w:r>
    </w:p>
    <w:p>
      <w:r>
        <w:rPr>
          <w:b/>
        </w:rPr>
        <w:t>Integration.</w:t>
      </w:r>
      <w:r>
        <w:t xml:space="preserve"> SubAgent 4 is in MASY1800_ET_Agent_Scaffold_v1_0/agents/diffusion_agent/. Its criteria, cases, responses and Agent Record accompany the instructions. Four full packets are in scaffold work/. Inventory slot 4 is updated. Team records, evidence, source pins, hashes, approval and logs are in team/lab6/.</w:t>
      </w:r>
    </w:p>
    <w:p>
      <w:r>
        <w:rPr>
          <w:b/>
        </w:rPr>
        <w:t>Continuity.</w:t>
      </w:r>
      <w:r>
        <w:t xml:space="preserve"> Earlier Creation, Innovation Classification and Promethean specialists and the frozen files are unchanged. Raphael’s raphael-synthesize-agent source branch is untouched. The test package is pinned to the implementation commit below; the final document is added in a documentation-only release.</w:t>
      </w:r>
    </w:p>
    <w:p>
      <w:hyperlink r:id="rId10">
        <w:r>
          <w:rPr>
            <w:color w:val="000000"/>
            <w:u w:val="single"/>
          </w:rPr>
          <w:t>KitKat Lab 6 package</w:t>
        </w:r>
      </w:hyperlink>
    </w:p>
    <w:p>
      <w:hyperlink r:id="rId11">
        <w:r>
          <w:rPr>
            <w:color w:val="000000"/>
            <w:u w:val="single"/>
          </w:rPr>
          <w:t>Tested implementation 071ad7a</w:t>
        </w:r>
      </w:hyperlink>
    </w:p>
    <w:p>
      <w:r>
        <w:t>Full implementation commit: 071ad7a9eeb464eaca30f2fe3d096016655b7ec3</w:t>
      </w:r>
    </w:p>
    <w:p>
      <w:pPr>
        <w:pStyle w:val="Heading1"/>
      </w:pPr>
      <w:r>
        <w:t>References and verification</w:t>
      </w:r>
    </w:p>
    <w:p>
      <w:r>
        <w:t>Course handout. Team Lab 6 Synthesize Team SubAgent 4 Emerging Technology Diffusion Agent. Supplied assignment instructions governing scope, Rogers analysis, evidence, tests and handoff.</w:t>
      </w:r>
    </w:p>
    <w:p>
      <w:hyperlink r:id="rId12">
        <w:r>
          <w:rPr>
            <w:color w:val="000000"/>
            <w:u w:val="single"/>
          </w:rPr>
          <w:t>U.S. Census Bureau. (2026, May 26). Large Firms With at Least 20 Employees Biggest AI Users.</w:t>
        </w:r>
      </w:hyperlink>
    </w:p>
    <w:p>
      <w:hyperlink r:id="rId13">
        <w:r>
          <w:rPr>
            <w:color w:val="000000"/>
            <w:u w:val="single"/>
          </w:rPr>
          <w:t>National Retail Federation. (2025, December 17). Retail AI Trends 2025.</w:t>
        </w:r>
      </w:hyperlink>
    </w:p>
    <w:p>
      <w:hyperlink r:id="rId14">
        <w:r>
          <w:rPr>
            <w:color w:val="000000"/>
            <w:u w:val="single"/>
          </w:rPr>
          <w:t>Vasudev, H. (2025, May 29). Inside Walmart’s Strategy for Building an Agentic Future. Walmart.</w:t>
        </w:r>
      </w:hyperlink>
    </w:p>
    <w:p>
      <w:hyperlink r:id="rId15">
        <w:r>
          <w:rPr>
            <w:color w:val="000000"/>
            <w:u w:val="single"/>
          </w:rPr>
          <w:t>Salesforce. (2026, displayed date uncertain). How Crocs built a retail superagent with Agentforce.</w:t>
        </w:r>
      </w:hyperlink>
    </w:p>
    <w:p>
      <w:r>
        <w:t>Original pages and the linked NRF report were checked October 27, 2026. These checks verify attributed source statements, not the underlying operational results. The five candidate snapshots are pinned in team/lab6/lineage/source_pins.json, including Raphael’s verified KitKat copy at 1abc10d. Candidate-reported test claims remain distinct from the team’s current checks.</w:t>
      </w:r>
    </w:p>
    <w:p>
      <w:r>
        <w:rPr>
          <w:b/>
        </w:rPr>
        <w:t>AI assistance.</w:t>
      </w:r>
      <w:r>
        <w:t xml:space="preserve"> ChatGPT/Codex synthesized the instructions, prepared hypothetical cases, checked sources, produced and serialized the interactive analyses, performed technical audits and prepared this record. Same-assistant review and deliberate reuse are disclosed in execution_provenance.json. No independent human source verification is invented.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KitKat Lab 6  |  Diffusion Agent 1.0-team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Jovan-star-dot/Kitkat-Group-Project/tree/main/team/lab6" TargetMode="External"/><Relationship Id="rId11" Type="http://schemas.openxmlformats.org/officeDocument/2006/relationships/hyperlink" Target="https://github.com/Jovan-star-dot/Kitkat-Group-Project/commit/071ad7a9eeb464eaca30f2fe3d096016655b7ec3" TargetMode="External"/><Relationship Id="rId12" Type="http://schemas.openxmlformats.org/officeDocument/2006/relationships/hyperlink" Target="https://www.census.gov/library/stories/2026/05/ai-use-businesses.html" TargetMode="External"/><Relationship Id="rId13" Type="http://schemas.openxmlformats.org/officeDocument/2006/relationships/hyperlink" Target="https://nrf.com/research/retail-ai-trends-2025" TargetMode="External"/><Relationship Id="rId14" Type="http://schemas.openxmlformats.org/officeDocument/2006/relationships/hyperlink" Target="https://corporate.walmart.com/news/2025/05/29/inside-walmarts-strategy-for-building-an-agentic-future" TargetMode="External"/><Relationship Id="rId15" Type="http://schemas.openxmlformats.org/officeDocument/2006/relationships/hyperlink" Target="https://www.salesforce.com/customer-stories/crocs/building-ai-ag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Lab 6 Emerging Technology Diffusion Agent Final Submission</dc:title>
  <dc:subject/>
  <dc:creator>KitKat</dc:creator>
  <cp:keywords/>
  <dc:description>generated by python-docx</dc:description>
  <cp:lastModifiedBy/>
  <cp:revision>1</cp:revision>
  <dcterms:created xsi:type="dcterms:W3CDTF">2013-12-23T23:15:00Z</dcterms:created>
  <dcterms:modified xsi:type="dcterms:W3CDTF">2013-12-23T23:15:00Z</dcterms:modified>
  <cp:category/>
</cp:coreProperties>
</file>