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Team Lab 4 Innovation Classification</w:t>
      </w:r>
    </w:p>
    <w:p>
      <w:pPr>
        <w:pStyle w:val="Subtitle"/>
      </w:pPr>
      <w:r>
        <w:t>Final Team Agent Record</w:t>
      </w:r>
    </w:p>
    <w:p>
      <w:r>
        <w:rPr>
          <w:sz w:val="20"/>
        </w:rPr>
        <w:t>KitKat  |  October 18, 2026  |  SubAgent 2  |  Version 1.0-team</w:t>
      </w:r>
    </w:p>
    <w:p>
      <w:r>
        <w:rPr>
          <w:b/>
          <w:sz w:val="20"/>
        </w:rPr>
        <w:t xml:space="preserve">Contributors </w:t>
      </w:r>
      <w:r>
        <w:rPr>
          <w:sz w:val="20"/>
        </w:rPr>
        <w:t>Jie Zhu, Jovan Diaz, Karoline He, Muhammad Arsy Uber, Raphael Hernando</w:t>
      </w:r>
    </w:p>
    <w:p>
      <w:r>
        <w:t>We approved a shared Innovation Classification Agent using Jie’s revised candidate as the base and retaining specific controls from all five designs. The agent separates what a technology changes from what its application would mean for an organization. Three common responses passed format and integrity checks; their substantive findings and limitations are recorded below.</w:t>
      </w:r>
    </w:p>
    <w:p>
      <w:pPr>
        <w:pStyle w:val="Heading1"/>
      </w:pPr>
      <w:r>
        <w:t>A Team decision and acceptance</w:t>
      </w:r>
    </w:p>
    <w:p>
      <w:r>
        <w:t>Jovan Diaz reported team approval on October 18, 2026 and coordinated repository integration. The approved package is on main. This records acceptance of the course specialist and its evidence package; operational deployment and measured business value have not been established.</w:t>
      </w:r>
    </w:p>
    <w:p>
      <w:r>
        <w:t xml:space="preserve">Repository and release: </w:t>
      </w:r>
      <w:hyperlink r:id="rId11">
        <w:r>
          <w:rPr>
            <w:color w:val="000000"/>
            <w:u w:val="single"/>
          </w:rPr>
          <w:t>KitKat repository</w:t>
        </w:r>
      </w:hyperlink>
      <w:r>
        <w:t xml:space="preserve">  |  </w:t>
      </w:r>
      <w:hyperlink r:id="rId12">
        <w:r>
          <w:rPr>
            <w:color w:val="000000"/>
            <w:u w:val="single"/>
          </w:rPr>
          <w:t>9a059e4</w:t>
        </w:r>
      </w:hyperlink>
    </w:p>
    <w:p>
      <w:pPr>
        <w:pStyle w:val="Heading1"/>
      </w:pPr>
      <w:r>
        <w:t>B Explicit classification criteria</w:t>
      </w:r>
    </w:p>
    <w:p>
      <w:r>
        <w:t>Identify the unit, actor, date and comparator before assigning a label. The technical baseline and the organization’s incumbent process must be stated separately. A startup’s feasible alternative can be its comparator without inventing a legacy business.</w:t>
      </w:r>
    </w:p>
    <w:p>
      <w:r>
        <w:rPr>
          <w:b/>
        </w:rPr>
        <w:t xml:space="preserve">Invention. </w:t>
      </w:r>
      <w:r>
        <w:t>Requires identifiable technical novelty against the scoped baseline. A new implementation, patent label or local first use does not establish a global first.</w:t>
      </w:r>
    </w:p>
    <w:p>
      <w:r>
        <w:rPr>
          <w:b/>
        </w:rPr>
        <w:t xml:space="preserve">Innovation. </w:t>
      </w:r>
      <w:r>
        <w:t>A new or significantly improved offering or process made available or brought into use. Distinguish proposal, prototype, market availability and implemented use. Existing inventions can be recombined; positive ROI is not a definitional prerequisite.</w:t>
      </w:r>
    </w:p>
    <w:p>
      <w:r>
        <w:rPr>
          <w:b/>
        </w:rPr>
        <w:t xml:space="preserve">Entrepreneurship and commercialization. </w:t>
      </w:r>
      <w:r>
        <w:t>Identify who organizes resources and risk and who brings an offering to market. Buying a product does not establish adopter entrepreneurship. A launch does not prove viable economics.</w:t>
      </w:r>
    </w:p>
    <w:p>
      <w:r>
        <w:rPr>
          <w:b/>
        </w:rPr>
        <w:t xml:space="preserve">Incremental and breakthrough. </w:t>
      </w:r>
      <w:r>
        <w:t>Assess the magnitude of change against a named capability or performance baseline. Known components can enable a breakthrough, but labels, local novelty or one benchmark cannot establish it. Breakthrough does not automatically mean disruption.</w:t>
      </w:r>
    </w:p>
    <w:p>
      <w:r>
        <w:t>Assess organizational workflow change, structural business-model impact, feasibility, likelihood and governance exposure separately. Distinguish realized from prospective impact and created, displaced and preserved value. Use Undetermined when evidence cannot support a rating; never invent costs or job elimination. Retain a credible competing interpretation, resolving evidence, confidence and reversal condition.</w:t>
      </w:r>
    </w:p>
    <w:p>
      <w:pPr>
        <w:pStyle w:val="Heading1"/>
        <w:pageBreakBefore/>
      </w:pPr>
      <w:r>
        <w:t>C Findings evidence and ambiguity</w:t>
      </w:r>
    </w:p>
    <w:p>
      <w:r>
        <w:rPr>
          <w:b/>
        </w:rPr>
        <w:t xml:space="preserve">Scope and baseline. </w:t>
      </w:r>
      <w:r>
        <w:t>The common technology is a language-model system that would choose bounded read-only order and delivery lookups and draft a missing-package explanation for a human representative. It cannot declare loss, refund, replace goods or change accounts. The horizon is 12 months. Retail is an illustrative test context and does not bind the final project’s sector.</w:t>
      </w:r>
    </w:p>
    <w:p>
      <w:r>
        <w:rPr>
          <w:b/>
        </w:rPr>
        <w:t xml:space="preserve">Technology generally. </w:t>
      </w:r>
      <w:r>
        <w:t>The general comparator is established workflow automation. Research sources E1–E3 document language-model and tool combinations by 2022–2023. E4 establishes historical provider productization in 2025. These support innovation through recombination without establishing either retailer as an inventor or a global first. Provider market introduction is distinct from adopter entrepreneurship and profitable commercialization.</w:t>
      </w:r>
    </w:p>
    <w:p>
      <w:r>
        <w:t>A provisional incremental extension is defensible for the bounded task. A breakthrough interpretation remains plausible if matched evidence shows a substantial capability discontinuity. The available evidence does not settle the degree of change. This general finding remains identical across the organization contrast.</w:t>
      </w:r>
    </w:p>
    <w:p>
      <w:r>
        <w:rPr>
          <w:b/>
        </w:rPr>
        <w:t xml:space="preserve">Application finding. </w:t>
      </w:r>
      <w:r>
        <w:t>The primary and contrast describe proposed process innovations, not demonstrated implemented use. Choosing the next permitted lookup differs from fixed orchestration, but no matched task, quality or total-cost comparison establishes superiority. In the borderline case, a fixed developer-defined trace overrides the vendor’s autonomous-breakthrough label. Useful workflow innovation remains possible; actual benefit is unestablished.</w:t>
      </w:r>
    </w:p>
    <w:p>
      <w:r>
        <w:rPr>
          <w:b/>
        </w:rPr>
        <w:t xml:space="preserve">Organizations A and B. </w:t>
      </w:r>
      <w:r>
        <w:t>A has stipulated timestamped interfaces and a mature fixed workflow. Prospective structural impact is Low only conditional on the narrow human-assist scope and preserved retail value logic; realized impact and net return are Undetermined. B has manual fragmented records, lacks equivalent reliable delivery access and has fewer integration skills. Its potential local workflow change is larger, but the required lookups cannot operate through tools it lacks. Prospective structural magnitude remains Undetermined. Local novelty and unreadiness do not prove global breakthrough or High disruption.</w:t>
      </w:r>
    </w:p>
    <w:p>
      <w:r>
        <w:rPr>
          <w:b/>
        </w:rPr>
        <w:t xml:space="preserve">Assumptions and inference. </w:t>
      </w:r>
      <w:r>
        <w:t>All company facts and the borderline trace are hypothetical stipulations authored October 18, 2026. Classifications and conditional impact judgments are inferences. No real company systems, costs, switching, margins or workforce effects were observed.</w:t>
      </w:r>
    </w:p>
    <w:p>
      <w:r>
        <w:rPr>
          <w:b/>
        </w:rPr>
        <w:t xml:space="preserve">Ambiguity confidence and reversal. </w:t>
      </w:r>
      <w:r>
        <w:t>Moderate confidence attaches to the scoped historical recombination finding; comparative value and structural magnitude remain uncertain. Complete traces showing model-controlled branching could reverse the borderline mechanism judgment. Matched capability, quality and cost evidence could support breakthrough; implemented outcomes or a changed value-capture mechanism could revise organizational significance.</w:t>
      </w:r>
    </w:p>
    <w:p>
      <w:r>
        <w:rPr>
          <w:b/>
        </w:rPr>
        <w:t xml:space="preserve">Verified evidence. </w:t>
      </w:r>
      <w:r>
        <w:t>E1–E4 were checked against primary-source abstracts/metadata and an official historical announcement on October 18, 2026. Their dates, links and limits appear on page 4 and in evidence_sources.json. They do not establish current market readiness or customer-service ROI.</w:t>
      </w:r>
    </w:p>
    <w:p>
      <w:pPr>
        <w:pStyle w:val="Heading1"/>
        <w:pageBreakBefore/>
      </w:pPr>
      <w:r>
        <w:t>D Common tests and preserved weakness</w:t>
      </w:r>
    </w:p>
    <w:p>
      <w:r>
        <w:rPr>
          <w:b/>
        </w:rPr>
        <w:t xml:space="preserve">Execution. </w:t>
      </w:r>
      <w:r>
        <w:t>The unchanged course builder generated three complete prompt packets. ChatGPT/Codex read them and produced the saved JSON analyses interactively on October 18, 2026. All cases were visible in the same session; no separate model endpoint, live customer-service tool or business experiment was run.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68"/>
        <w:gridCol w:w="1771"/>
        <w:gridCol w:w="7085"/>
      </w:tblGrid>
      <w:tr>
        <w:trPr>
          <w:cantSplit/>
          <w:tblHeader/>
        </w:trPr>
        <w:tc>
          <w:tcPr>
            <w:tcW w:type="dxa" w:w="1368"/>
            <w:vAlign w:val="center"/>
            <w:tcMar>
              <w:top w:w="90" w:type="dxa"/>
              <w:left w:w="90" w:type="dxa"/>
              <w:bottom w:w="90" w:type="dxa"/>
              <w:right w:w="90" w:type="dxa"/>
            </w:tcMar>
            <w:shd w:fill="EDEDED"/>
          </w:tcPr>
          <w:p>
            <w:pPr>
              <w:spacing w:after="40" w:before="40"/>
              <w:jc w:val="center"/>
            </w:pPr>
            <w:r>
              <w:rPr>
                <w:b/>
                <w:sz w:val="20"/>
              </w:rPr>
              <w:t>Case</w:t>
            </w:r>
          </w:p>
        </w:tc>
        <w:tc>
          <w:tcPr>
            <w:tcW w:type="dxa" w:w="1771"/>
            <w:vAlign w:val="center"/>
            <w:tcMar>
              <w:top w:w="90" w:type="dxa"/>
              <w:left w:w="90" w:type="dxa"/>
              <w:bottom w:w="90" w:type="dxa"/>
              <w:right w:w="90" w:type="dxa"/>
            </w:tcMar>
            <w:shd w:fill="EDEDED"/>
          </w:tcPr>
          <w:p>
            <w:pPr>
              <w:spacing w:after="40" w:before="40"/>
              <w:jc w:val="center"/>
            </w:pPr>
            <w:r>
              <w:rPr>
                <w:b/>
                <w:sz w:val="20"/>
              </w:rPr>
              <w:t>Validation</w:t>
            </w:r>
          </w:p>
        </w:tc>
        <w:tc>
          <w:tcPr>
            <w:tcW w:type="dxa" w:w="7085"/>
            <w:vAlign w:val="center"/>
            <w:tcMar>
              <w:top w:w="90" w:type="dxa"/>
              <w:left w:w="90" w:type="dxa"/>
              <w:bottom w:w="90" w:type="dxa"/>
              <w:right w:w="90" w:type="dxa"/>
            </w:tcMar>
            <w:shd w:fill="EDEDED"/>
          </w:tcPr>
          <w:p>
            <w:pPr>
              <w:spacing w:after="40" w:before="40"/>
            </w:pPr>
            <w:r>
              <w:rPr>
                <w:b/>
                <w:sz w:val="20"/>
              </w:rPr>
              <w:t>Observed finding</w:t>
            </w:r>
          </w:p>
        </w:tc>
      </w:tr>
      <w:tr>
        <w:trPr>
          <w:cantSplit/>
        </w:trPr>
        <w:tc>
          <w:tcPr>
            <w:tcW w:type="dxa" w:w="1368"/>
            <w:vAlign w:val="center"/>
            <w:tcMar>
              <w:top w:w="90" w:type="dxa"/>
              <w:left w:w="90" w:type="dxa"/>
              <w:bottom w:w="90" w:type="dxa"/>
              <w:right w:w="90" w:type="dxa"/>
            </w:tcMar>
          </w:tcPr>
          <w:p>
            <w:pPr>
              <w:spacing w:after="40" w:before="40"/>
              <w:jc w:val="center"/>
            </w:pPr>
            <w:r>
              <w:rPr>
                <w:b w:val="0"/>
                <w:sz w:val="20"/>
              </w:rPr>
              <w:t>Primary</w:t>
            </w:r>
          </w:p>
        </w:tc>
        <w:tc>
          <w:tcPr>
            <w:tcW w:type="dxa" w:w="1771"/>
            <w:vAlign w:val="center"/>
            <w:tcMar>
              <w:top w:w="90" w:type="dxa"/>
              <w:left w:w="90" w:type="dxa"/>
              <w:bottom w:w="90" w:type="dxa"/>
              <w:right w:w="90" w:type="dxa"/>
            </w:tcMar>
          </w:tcPr>
          <w:p>
            <w:pPr>
              <w:spacing w:after="40" w:before="40"/>
              <w:jc w:val="center"/>
            </w:pPr>
            <w:r>
              <w:rPr>
                <w:b w:val="0"/>
                <w:sz w:val="20"/>
              </w:rPr>
              <w:t>PASS</w:t>
              <w:br/>
              <w:t>exit 0</w:t>
            </w:r>
          </w:p>
        </w:tc>
        <w:tc>
          <w:tcPr>
            <w:tcW w:type="dxa" w:w="7085"/>
            <w:vAlign w:val="center"/>
            <w:tcMar>
              <w:top w:w="90" w:type="dxa"/>
              <w:left w:w="90" w:type="dxa"/>
              <w:bottom w:w="90" w:type="dxa"/>
              <w:right w:w="90" w:type="dxa"/>
            </w:tcMar>
          </w:tcPr>
          <w:p>
            <w:pPr>
              <w:spacing w:after="40" w:before="40"/>
            </w:pPr>
            <w:r>
              <w:rPr>
                <w:b w:val="0"/>
                <w:sz w:val="20"/>
              </w:rPr>
              <w:t>Proposed process innovation; no established adopter invention or breakthrough. Conditional Low structural scenario separated from unknown realized value.</w:t>
            </w:r>
          </w:p>
        </w:tc>
      </w:tr>
      <w:tr>
        <w:trPr>
          <w:cantSplit/>
        </w:trPr>
        <w:tc>
          <w:tcPr>
            <w:tcW w:type="dxa" w:w="1368"/>
            <w:vAlign w:val="center"/>
            <w:tcMar>
              <w:top w:w="90" w:type="dxa"/>
              <w:left w:w="90" w:type="dxa"/>
              <w:bottom w:w="90" w:type="dxa"/>
              <w:right w:w="90" w:type="dxa"/>
            </w:tcMar>
          </w:tcPr>
          <w:p>
            <w:pPr>
              <w:spacing w:after="40" w:before="40"/>
              <w:jc w:val="center"/>
            </w:pPr>
            <w:r>
              <w:rPr>
                <w:b w:val="0"/>
                <w:sz w:val="20"/>
              </w:rPr>
              <w:t>Contrast</w:t>
            </w:r>
          </w:p>
        </w:tc>
        <w:tc>
          <w:tcPr>
            <w:tcW w:type="dxa" w:w="1771"/>
            <w:vAlign w:val="center"/>
            <w:tcMar>
              <w:top w:w="90" w:type="dxa"/>
              <w:left w:w="90" w:type="dxa"/>
              <w:bottom w:w="90" w:type="dxa"/>
              <w:right w:w="90" w:type="dxa"/>
            </w:tcMar>
          </w:tcPr>
          <w:p>
            <w:pPr>
              <w:spacing w:after="40" w:before="40"/>
              <w:jc w:val="center"/>
            </w:pPr>
            <w:r>
              <w:rPr>
                <w:b w:val="0"/>
                <w:sz w:val="20"/>
              </w:rPr>
              <w:t>PASS</w:t>
              <w:br/>
              <w:t>exit 0</w:t>
            </w:r>
          </w:p>
        </w:tc>
        <w:tc>
          <w:tcPr>
            <w:tcW w:type="dxa" w:w="7085"/>
            <w:vAlign w:val="center"/>
            <w:tcMar>
              <w:top w:w="90" w:type="dxa"/>
              <w:left w:w="90" w:type="dxa"/>
              <w:bottom w:w="90" w:type="dxa"/>
              <w:right w:w="90" w:type="dxa"/>
            </w:tcMar>
          </w:tcPr>
          <w:p>
            <w:pPr>
              <w:spacing w:after="40" w:before="40"/>
            </w:pPr>
            <w:r>
              <w:rPr>
                <w:b w:val="0"/>
                <w:sz w:val="20"/>
              </w:rPr>
              <w:t>Only organization and capabilities change. General finding identical; larger local change and missing interfaces at B; structural magnitude Undetermined.</w:t>
            </w:r>
          </w:p>
        </w:tc>
      </w:tr>
      <w:tr>
        <w:trPr>
          <w:cantSplit/>
        </w:trPr>
        <w:tc>
          <w:tcPr>
            <w:tcW w:type="dxa" w:w="1368"/>
            <w:vAlign w:val="center"/>
            <w:tcMar>
              <w:top w:w="90" w:type="dxa"/>
              <w:left w:w="90" w:type="dxa"/>
              <w:bottom w:w="90" w:type="dxa"/>
              <w:right w:w="90" w:type="dxa"/>
            </w:tcMar>
          </w:tcPr>
          <w:p>
            <w:pPr>
              <w:spacing w:after="40" w:before="40"/>
              <w:jc w:val="center"/>
            </w:pPr>
            <w:r>
              <w:rPr>
                <w:b w:val="0"/>
                <w:sz w:val="20"/>
              </w:rPr>
              <w:t>Borderline</w:t>
            </w:r>
          </w:p>
        </w:tc>
        <w:tc>
          <w:tcPr>
            <w:tcW w:type="dxa" w:w="1771"/>
            <w:vAlign w:val="center"/>
            <w:tcMar>
              <w:top w:w="90" w:type="dxa"/>
              <w:left w:w="90" w:type="dxa"/>
              <w:bottom w:w="90" w:type="dxa"/>
              <w:right w:w="90" w:type="dxa"/>
            </w:tcMar>
          </w:tcPr>
          <w:p>
            <w:pPr>
              <w:spacing w:after="40" w:before="40"/>
              <w:jc w:val="center"/>
            </w:pPr>
            <w:r>
              <w:rPr>
                <w:b w:val="0"/>
                <w:sz w:val="20"/>
              </w:rPr>
              <w:t>PASS</w:t>
              <w:br/>
              <w:t>exit 0</w:t>
            </w:r>
          </w:p>
        </w:tc>
        <w:tc>
          <w:tcPr>
            <w:tcW w:type="dxa" w:w="7085"/>
            <w:vAlign w:val="center"/>
            <w:tcMar>
              <w:top w:w="90" w:type="dxa"/>
              <w:left w:w="90" w:type="dxa"/>
              <w:bottom w:w="90" w:type="dxa"/>
              <w:right w:w="90" w:type="dxa"/>
            </w:tcMar>
          </w:tcPr>
          <w:p>
            <w:pPr>
              <w:spacing w:after="40" w:before="40"/>
            </w:pPr>
            <w:r>
              <w:rPr>
                <w:b w:val="0"/>
                <w:sz w:val="20"/>
              </w:rPr>
              <w:t>Fixed trace classified as structured workflow despite autonomy label. Proposed/prototype stage and unresolved value retained.</w:t>
            </w:r>
          </w:p>
        </w:tc>
      </w:tr>
    </w:tbl>
    <w:p>
      <w:pPr>
        <w:spacing w:before="140"/>
      </w:pPr>
      <w:r>
        <w:rPr>
          <w:b/>
        </w:rPr>
        <w:t xml:space="preserve">Exact results. </w:t>
      </w:r>
      <w:r>
        <w:t>Each response returned VALIDATION PASSED from the official validator, exit 0. Input/output audits covered all validation keywords used in the actual frozen schemas. Context differences, saved general-finding equality and lineage digests passed. The frozen checker returned FROZEN CORE INTACT, exit 0 before and after. The combined saved-artifact check returned ALL SAVED-ARTIFACT CHECKS PASSED, exit 0.</w:t>
      </w:r>
    </w:p>
    <w:p>
      <w:r>
        <w:rPr>
          <w:sz w:val="20"/>
        </w:rPr>
        <w:t>From the scaffold, run python tools/validate_response.py against each response and python tools/check_frozen_core.py. From repository root, run python team/lab4/run_checks.py. Exact commands, output and exit statuses are preserved in team/lab4/logs/. Rechecking saved files does not invoke a model or prove semantic truth.</w:t>
      </w:r>
    </w:p>
    <w:p>
      <w:r>
        <w:rPr>
          <w:b/>
        </w:rPr>
        <w:t xml:space="preserve">Preserved failure and revision. </w:t>
      </w:r>
      <w:r>
        <w:t>Jie’s original contrast_1 response assigned High conditional disruption without substantiated substitution scale and treated client execution as added to a ranking-only tool. The paired source revision used Undetermined, separated a potentially High scenario and named missing controller, permissions and integration. Both files are preserved unchanged. The team rules generalize these controls; the new cases exercise them but are not a controlled before/after proof of correction.</w:t>
      </w:r>
    </w:p>
    <w:p>
      <w:r>
        <w:rPr>
          <w:b/>
        </w:rPr>
        <w:t xml:space="preserve">Review and remaining weakness. </w:t>
      </w:r>
      <w:r>
        <w:t>Same-assistant review found the three analytical levels, counterinterpretation, evidential restraint and specialist boundaries preserved. No further instruction revision or second common run was performed. Limits include one response per case, one sector, same-session visibility, intentional consistency, historical evidence and no independent semantic review or measured business outcomes. Not every candidate-specific edge case was retested.</w:t>
      </w:r>
    </w:p>
    <w:p>
      <w:pPr>
        <w:pStyle w:val="Heading1"/>
        <w:pageBreakBefore/>
      </w:pPr>
      <w:r>
        <w:t>E Source lineage and integration</w:t>
      </w:r>
    </w:p>
    <w:p>
      <w:r>
        <w:rPr>
          <w:b/>
        </w:rPr>
        <w:t xml:space="preserve">Synthesis. </w:t>
      </w:r>
      <w:r>
        <w:t>All five candidate designs were reviewed. We retained specific controls rather than selecting a teammate as a winner. Full source paths, pinned commits, evidence limits and original snapshots are in team/lab4/candidate_comparison.md and lineage/.</w:t>
      </w:r>
    </w:p>
    <w:p>
      <w:r>
        <w:rPr>
          <w:b/>
        </w:rPr>
        <w:t xml:space="preserve">Jie Zhu. </w:t>
      </w:r>
      <w:r>
        <w:t>Base v0.3-student, source bc8874c: separate general/application/organizational findings; actual versus potential impact; Undetermined; capability versus execution. Advertising-specific language and pilot recommendations were removed.</w:t>
      </w:r>
    </w:p>
    <w:p>
      <w:r>
        <w:rPr>
          <w:b/>
        </w:rPr>
        <w:t xml:space="preserve">Karoline He. </w:t>
      </w:r>
      <w:r>
        <w:t>v0.2-student, source 266d20e: actor, baseline, stage and realized versus prospective impact. Source retests changed evidence as well as wording, so they do not isolate one correction.</w:t>
      </w:r>
    </w:p>
    <w:p>
      <w:r>
        <w:rPr>
          <w:b/>
        </w:rPr>
        <w:t xml:space="preserve">Raphael Hernando. </w:t>
      </w:r>
      <w:r>
        <w:t>Uploaded v0.1-student ZIP: compact criteria, independent axes and counter-case. The inaccessible branch commit and a separate claimed borderline output are not asserted verified.</w:t>
      </w:r>
    </w:p>
    <w:p>
      <w:r>
        <w:rPr>
          <w:b/>
        </w:rPr>
        <w:t xml:space="preserve">Jovan Diaz. </w:t>
      </w:r>
      <w:r>
        <w:t>Source c39c4c2: classify actual implementation instead of an agentic label and distinguish proposal from use. Forced ordinal ratings were replaced with permitted abstention.</w:t>
      </w:r>
    </w:p>
    <w:p>
      <w:r>
        <w:rPr>
          <w:b/>
        </w:rPr>
        <w:t xml:space="preserve">Muhammad Arsy Uber. </w:t>
      </w:r>
      <w:r>
        <w:t>Source bc0d366: restraint on unverified displacement. Conflations of invention with pre-market stage, innovation with commercialization, and breakthrough with disruption were corrected.</w:t>
      </w:r>
    </w:p>
    <w:p>
      <w:r>
        <w:rPr>
          <w:b/>
        </w:rPr>
        <w:t xml:space="preserve">Dissent record. </w:t>
      </w:r>
      <w:r>
        <w:t>No unresolved objection to the approved synthesis was reported by Jovan. Material analytical disagreements and the evidence needed to resolve them remain in the comparison and findings. We do not infer a unanimous workshop discussion, individual signatures, attendance or independent tests.</w:t>
      </w:r>
    </w:p>
    <w:p>
      <w:r>
        <w:rPr>
          <w:b/>
        </w:rPr>
        <w:t xml:space="preserve">Repository contents. </w:t>
      </w:r>
      <w:r>
        <w:t>The agent is in the scaffold’s agents/innovation_classification_agent/ directory with criteria, metadata, three cases, responses and Team Agent Record. The three prompt packets are in the scaffold’s work/ directory and begin innovation_classification_agent_. Team records, approval, provenance and logs are in team/lab4/. Inventory slot 2 records version 1.0-team. The frozen core, official tools and Creation Agent are unchanged.</w:t>
      </w:r>
    </w:p>
    <w:p>
      <w:r>
        <w:rPr>
          <w:b/>
        </w:rPr>
        <w:t xml:space="preserve">Integration warning. </w:t>
      </w:r>
      <w:r>
        <w:t>Organizational novelty, an autonomy label or a conditional scenario must not become a claim of global invention, breakthrough, realized value or adoption permission. Technical ancestry goes to Creation, society-wide significance to Promethean, and readiness, pilots, adoption and governance decisions to the appropriate specialists and accountable managers.</w:t>
      </w:r>
    </w:p>
    <w:p>
      <w:pPr>
        <w:pStyle w:val="Heading1"/>
      </w:pPr>
      <w:r>
        <w:t>References and verification</w:t>
      </w:r>
    </w:p>
    <w:p>
      <w:r>
        <w:rPr>
          <w:sz w:val="20"/>
        </w:rPr>
      </w:r>
      <w:hyperlink r:id="rId13">
        <w:r>
          <w:rPr>
            <w:color w:val="000000"/>
            <w:u w:val="single"/>
          </w:rPr>
          <w:t>E1  Karpas et al.  MRKL Systems. May 1, 2022.</w:t>
        </w:r>
      </w:hyperlink>
    </w:p>
    <w:p>
      <w:r>
        <w:rPr>
          <w:sz w:val="20"/>
        </w:rPr>
      </w:r>
      <w:hyperlink r:id="rId14">
        <w:r>
          <w:rPr>
            <w:color w:val="000000"/>
            <w:u w:val="single"/>
          </w:rPr>
          <w:t>E2  Yao et al.  ReAct. October 6, 2022; ICLR 2023 version.</w:t>
        </w:r>
      </w:hyperlink>
    </w:p>
    <w:p>
      <w:r>
        <w:rPr>
          <w:sz w:val="20"/>
        </w:rPr>
      </w:r>
      <w:hyperlink r:id="rId15">
        <w:r>
          <w:rPr>
            <w:color w:val="000000"/>
            <w:u w:val="single"/>
          </w:rPr>
          <w:t>E3  Schick et al.  Toolformer. February 9, 2023.</w:t>
        </w:r>
      </w:hyperlink>
    </w:p>
    <w:p>
      <w:r>
        <w:rPr>
          <w:sz w:val="20"/>
        </w:rPr>
      </w:r>
      <w:hyperlink r:id="rId16">
        <w:r>
          <w:rPr>
            <w:color w:val="000000"/>
            <w:u w:val="single"/>
          </w:rPr>
          <w:t>E4  OpenAI. New tools for building agents. March 11, 2025.</w:t>
        </w:r>
      </w:hyperlink>
    </w:p>
    <w:p>
      <w:r>
        <w:rPr>
          <w:sz w:val="20"/>
        </w:rPr>
        <w:t>Research abstracts/metadata and the historical announcement were checked October 18, 2026. No full-paper replication was performed. AI assisted synthesis, source inspection, interactive analyses and deterministic checks; team approval was reported by Jovan. Case stipulations and semantic self-review are not independent factual verification.</w:t>
      </w:r>
    </w:p>
    <w:sectPr w:rsidR="00FC693F" w:rsidRPr="0006063C" w:rsidSect="00034616">
      <w:headerReference w:type="default" r:id="rId9"/>
      <w:footerReference w:type="default" r:id="rId10"/>
      <w:pgSz w:w="12240" w:h="15840"/>
      <w:pgMar w:top="936" w:right="1008" w:bottom="936" w:left="1008"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Innovation Classification 1.0-team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olor w:val="000000"/>
        <w:sz w:val="18"/>
      </w:rPr>
      <w:t>KitKat   |   Emerging Technologies   |   Team Lab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5"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Calibri" w:hAnsi="Calibr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Calibri" w:hAnsi="Calibr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asciiTheme="majorHAnsi" w:eastAsiaTheme="majorEastAsia" w:hAnsiTheme="majorHAnsi" w:cstheme="majorBidi" w:ascii="Calibri" w:hAnsi="Calibri"/>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Jovan-star-dot/Kitkat-Group-Project" TargetMode="External"/><Relationship Id="rId12" Type="http://schemas.openxmlformats.org/officeDocument/2006/relationships/hyperlink" Target="https://github.com/Jovan-star-dot/Kitkat-Group-Project/commit/9a059e4fcc941a9e287d5519e814d18538284dad" TargetMode="External"/><Relationship Id="rId13" Type="http://schemas.openxmlformats.org/officeDocument/2006/relationships/hyperlink" Target="https://arxiv.org/abs/2205.00445" TargetMode="External"/><Relationship Id="rId14" Type="http://schemas.openxmlformats.org/officeDocument/2006/relationships/hyperlink" Target="https://arxiv.org/abs/2210.03629" TargetMode="External"/><Relationship Id="rId15" Type="http://schemas.openxmlformats.org/officeDocument/2006/relationships/hyperlink" Target="https://arxiv.org/abs/2302.04761" TargetMode="External"/><Relationship Id="rId16" Type="http://schemas.openxmlformats.org/officeDocument/2006/relationships/hyperlink" Target="https://openai.com/index/new-tools-for-building-ag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Lab 4 Innovation Classification Final Team Agent Record</dc:title>
  <dc:subject>Approved SubAgent 2 version 1.0-team and common test evidence</dc:subject>
  <dc:creator>KitKat</dc:creator>
  <cp:keywords/>
  <dc:description>generated by python-docx</dc:description>
  <cp:lastModifiedBy/>
  <cp:revision>1</cp:revision>
  <dcterms:created xsi:type="dcterms:W3CDTF">2013-12-23T23:15:00Z</dcterms:created>
  <dcterms:modified xsi:type="dcterms:W3CDTF">2013-12-23T23:15:00Z</dcterms:modified>
  <cp:category/>
</cp:coreProperties>
</file>