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Lab 5 Promethean Classification</w:t>
      </w:r>
    </w:p>
    <w:p>
      <w:pPr>
        <w:pStyle w:val="Subtitle"/>
      </w:pPr>
      <w:r>
        <w:t>Final Team Agent Record</w:t>
      </w:r>
    </w:p>
    <w:p>
      <w:r>
        <w:rPr>
          <w:sz w:val="20"/>
        </w:rPr>
        <w:t>KitKat  |  October 20, 2026  |  SubAgent 3  |  Version 1.0-team</w:t>
      </w:r>
    </w:p>
    <w:p>
      <w:r>
        <w:rPr>
          <w:b/>
          <w:sz w:val="20"/>
        </w:rPr>
        <w:t xml:space="preserve">Contributors </w:t>
      </w:r>
      <w:r>
        <w:rPr>
          <w:sz w:val="20"/>
        </w:rPr>
        <w:t>Jie Zhu, Jovan Diaz, Karoline He, Muhammad Arsy Uber, Raphael Hernando</w:t>
      </w:r>
    </w:p>
    <w:p>
      <w:r>
        <w:t>We approved the shared Promethean Classification Agent using Karoline’s structure and controls contributed by all five designs. Our customer-service example tests whether the agent separates broad technological significance from application value and organizational conditions. Four interactive analyses are saved and validated, with scope-dependent findings and limitations preserved.</w:t>
      </w:r>
    </w:p>
    <w:p>
      <w:pPr>
        <w:pStyle w:val="Heading1"/>
      </w:pPr>
      <w:r>
        <w:t>A Team approval and release</w:t>
      </w:r>
    </w:p>
    <w:p>
      <w:r>
        <w:t>Jovan reported final approval by the entire group, Karoline’s confirmation, and no meaningful disagreements. The agreed direction is a customer-service example. The accepted educational package includes the agent, criteria, evidence, tests, preserved weakness and integration rule. This records group approval without inventing individual signatures or independent reruns.</w:t>
      </w:r>
    </w:p>
    <w:p>
      <w:r>
        <w:t xml:space="preserve">Repository and tested release: </w:t>
      </w:r>
      <w:hyperlink r:id="rId11">
        <w:r>
          <w:rPr>
            <w:color w:val="000000"/>
            <w:u w:val="single"/>
          </w:rPr>
          <w:t>KitKat repository</w:t>
        </w:r>
      </w:hyperlink>
      <w:r>
        <w:t xml:space="preserve">  |  </w:t>
      </w:r>
      <w:hyperlink r:id="rId12">
        <w:r>
          <w:rPr>
            <w:color w:val="000000"/>
            <w:u w:val="single"/>
          </w:rPr>
          <w:t>835c538</w:t>
        </w:r>
      </w:hyperlink>
    </w:p>
    <w:p>
      <w:pPr>
        <w:pStyle w:val="Heading1"/>
      </w:pPr>
      <w:r>
        <w:t>B Verified course framework and agent requirements</w:t>
      </w:r>
    </w:p>
    <w:p>
      <w:r>
        <w:t>We read Chapter 11 directly to resolve the distinction between prospective potential and retrospective confirmation. The framework is Fortino’s working analytical instrument, rather than a universal consensus (Fortino, 2026, pp. 143–145, 149–151). The shared agent must:</w:t>
      </w:r>
    </w:p>
    <w:p>
      <w:r>
        <w:rPr>
          <w:b/>
        </w:rPr>
        <w:t xml:space="preserve">Define the usable system. </w:t>
      </w:r>
      <w:r>
        <w:t>State its scope, comparator, evidence date and horizon. Separate an assembled system from a component, and existing technology from an unimplemented local proposal.</w:t>
      </w:r>
    </w:p>
    <w:p>
      <w:r>
        <w:rPr>
          <w:b/>
        </w:rPr>
        <w:t xml:space="preserve">Test the barrier and suppression. </w:t>
      </w:r>
      <w:r>
        <w:t>Identify the defining constraint and distinguish reduction from dissolution. Explain whether removal restores the former state or disrupts systems rebuilt on the technology.</w:t>
      </w:r>
    </w:p>
    <w:p>
      <w:r>
        <w:rPr>
          <w:b/>
        </w:rPr>
        <w:t xml:space="preserve">Distinguish human-life tiers. </w:t>
      </w:r>
      <w:r>
        <w:t>Assess biological survival, economic activity and cognitive/social life separately. Multiple industries do not automatically establish multiple transformed tiers.</w:t>
      </w:r>
    </w:p>
    <w:p>
      <w:r>
        <w:rPr>
          <w:b/>
        </w:rPr>
        <w:t xml:space="preserve">Use the six criteria in order. </w:t>
      </w:r>
      <w:r>
        <w:t>After the dissolution gate, review order-of-magnitude improvement, widespread impact, paradigm shift, catalytic effect, democratizing effect and irreversibility. If gated, record Not reached; do not score through uncertainty. No custom four-of-five cutoff remains.</w:t>
      </w:r>
    </w:p>
    <w:p>
      <w:r>
        <w:rPr>
          <w:b/>
        </w:rPr>
        <w:t xml:space="preserve">Declare the mode. </w:t>
      </w:r>
      <w:r>
        <w:t>Emerging cases have a ceiling of Potentially Promethean. Unconfirmed irreversibility does not alone veto supported potential. Retrospective confirmation requires the appropriate historical evidence.</w:t>
      </w:r>
    </w:p>
    <w:p>
      <w:r>
        <w:rPr>
          <w:b/>
        </w:rPr>
        <w:t xml:space="preserve">Preserve contrary evidence and boundaries. </w:t>
      </w:r>
      <w:r>
        <w:t>State the strongest alternative, confidence, missing evidence and reversal condition. Use existing JSON fields and retain separate technology, application and organization findings. Adoption, readiness and investment decisions remain with their specialists and managers.</w:t>
      </w:r>
    </w:p>
    <w:p>
      <w:r>
        <w:rPr>
          <w:b/>
        </w:rPr>
        <w:t xml:space="preserve">Calibration safeguard. </w:t>
      </w:r>
      <w:r>
        <w:t>The chapter’s broad generative-AI calibration is attributed and tested explicitly. Its label is not automatically inherited by a narrower agent or customer-service application.</w:t>
      </w:r>
    </w:p>
    <w:p>
      <w:pPr>
        <w:pStyle w:val="Heading1"/>
        <w:pageBreakBefore/>
      </w:pPr>
      <w:r>
        <w:t>C Findings evidence and ambiguity</w:t>
      </w:r>
    </w:p>
    <w:p>
      <w:r>
        <w:rPr>
          <w:b/>
        </w:rPr>
        <w:t xml:space="preserve">Common scope. </w:t>
      </w:r>
      <w:r>
        <w:t>The primary unit is a tool-using language-model agent system with state, retrieval and bounded software tools, compared with fixed retrieval/drafting. The proposed use selects read-only order/delivery lookups and drafts a missing-package explanation for a human representative. It has no refund, loss-declaration, replacement, account-change or payment authority. Local horizon: 12 months; broad significance mode: prospective.</w:t>
      </w:r>
    </w:p>
    <w:p>
      <w:r>
        <w:rPr>
          <w:b/>
        </w:rPr>
        <w:t xml:space="preserve">General finding. </w:t>
      </w:r>
      <w:r>
        <w:t>The primary, organization contrast and hype analyses return Indeterminate for civilizational significance on the scoped packet. Existing architectures do not establish a categorical barrier, general suppression/dependence result or two distinct transformed tiers for this narrower category. The six criteria are explicitly deferred when the prior gate is unresolved. This is evidence insufficiency, not proof that the category is merely incremental or a prediction of its eventual importance.</w:t>
      </w:r>
    </w:p>
    <w:p>
      <w:r>
        <w:rPr>
          <w:b/>
        </w:rPr>
        <w:t xml:space="preserve">Application finding. </w:t>
      </w:r>
      <w:r>
        <w:t>The local use is a proposed workflow improvement with unmeasured accuracy, cost and customer outcomes. Model-directed lookup differs from the incumbent’s fixed steps, but that does not establish local breakthrough or civilizational impact. The significance finding does not supply evidence of realized business value.</w:t>
      </w:r>
    </w:p>
    <w:p>
      <w:r>
        <w:rPr>
          <w:b/>
        </w:rPr>
        <w:t xml:space="preserve">Organization contrast. </w:t>
      </w:r>
      <w:r>
        <w:t>A has stipulated authenticated timestamped interfaces and an established support process. B has fragmented manual records, inconsistent timestamps and no equivalent reliable delivery interface or evaluation capacity. B’s missing prerequisites change local implications while the general finding stays identical. The model cannot retrieve authoritative company facts through an unavailable interface. These observations do not constitute a complete readiness or adoption verdict.</w:t>
      </w:r>
    </w:p>
    <w:p>
      <w:r>
        <w:rPr>
          <w:b/>
        </w:rPr>
        <w:t xml:space="preserve">Boundary finding. </w:t>
      </w:r>
      <w:r>
        <w:t>The fourth case deliberately changes the unit to broad generative AI under Chapter 11.7 and the task to human-reviewed drafting. It returns Potentially Promethean within the author’s prospective calibration: the first five criteria are supported in that interpretation, while irreversibility is Not Yet Observable. This is a conceptual calibration with attributed premises, not fresh empirical proof or an upgrade induced by organizational enthusiasm.</w:t>
      </w:r>
    </w:p>
    <w:p>
      <w:r>
        <w:rPr>
          <w:b/>
        </w:rPr>
        <w:t xml:space="preserve">Competing interpretation. </w:t>
      </w:r>
      <w:r>
        <w:t>Breakthrough remains the strongest narrower-system alternative if model-directed actions substantially change capability against a valid comparator. Broader Potentially Promethean is plausible if its barrier mechanism genuinely carries into the scoped system and distinct tiers. Resolving evidence must address that mechanism, suppression, tiers and comparative performance. A skeptic may also question whether the broad calibration’s proposed tier effects are genuinely distinct.</w:t>
      </w:r>
    </w:p>
    <w:p>
      <w:r>
        <w:rPr>
          <w:b/>
        </w:rPr>
        <w:t xml:space="preserve">Confidence and reversal. </w:t>
      </w:r>
      <w:r>
        <w:t>Confidence is moderate in scoped evidence insufficiency and low in eventual significance or local net value. Confidence in accurately identifying the textbook’s calibration is separated from empirical certainty about its future implications. New barrier/tier/dependence evidence may change the broad finding; verified interfaces and outcomes can change local implications without changing it.</w:t>
      </w:r>
    </w:p>
    <w:p>
      <w:r>
        <w:rPr>
          <w:b/>
        </w:rPr>
        <w:t xml:space="preserve">Evidence and assumptions. </w:t>
      </w:r>
      <w:r>
        <w:t>All organization facts are fictional case stipulations; resulting implications are inferences. Chapter 11 supplies the framework. ReAct, Anthropic’s architecture guidance and Stanford’s 2026 technical-performance synthesis supply limited technical/practitioner/benchmark evidence, checked October 20, 2026. Historical sources are not guarantees of current tools or application outcomes. References are on page 4.</w:t>
      </w:r>
    </w:p>
    <w:p>
      <w:pPr>
        <w:pStyle w:val="Heading1"/>
        <w:pageBreakBefore/>
      </w:pPr>
      <w:r>
        <w:t>D Common tests and preserved weakness</w:t>
      </w:r>
    </w:p>
    <w:p>
      <w:r>
        <w:rPr>
          <w:b/>
        </w:rPr>
        <w:t xml:space="preserve">Execution provenance. </w:t>
      </w:r>
      <w:r>
        <w:t>The unchanged course builder produced four complete prompt packets. ChatGPT/Codex read and analyzed them in the same session that synthesized the instructions. One response per case is saved. No independent inference endpoint, live company system or empirical customer-service trial was run.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1469"/>
        <w:gridCol w:w="7142"/>
      </w:tblGrid>
      <w:tr>
        <w:trPr>
          <w:cantSplit/>
          <w:tblHeader/>
        </w:trPr>
        <w:tc>
          <w:tcPr>
            <w:tcW w:type="dxa" w:w="1613"/>
            <w:vAlign w:val="center"/>
            <w:tcMar>
              <w:top w:w="85" w:type="dxa"/>
              <w:left w:w="85" w:type="dxa"/>
              <w:bottom w:w="85" w:type="dxa"/>
              <w:right w:w="85" w:type="dxa"/>
            </w:tcMar>
            <w:shd w:fill="EDEDED"/>
          </w:tcPr>
          <w:p>
            <w:pPr>
              <w:spacing w:before="40" w:after="40"/>
              <w:jc w:val="center"/>
            </w:pPr>
            <w:r>
              <w:rPr>
                <w:b/>
                <w:sz w:val="20"/>
              </w:rPr>
              <w:t>Case</w:t>
            </w:r>
          </w:p>
        </w:tc>
        <w:tc>
          <w:tcPr>
            <w:tcW w:type="dxa" w:w="1469"/>
            <w:vAlign w:val="center"/>
            <w:tcMar>
              <w:top w:w="85" w:type="dxa"/>
              <w:left w:w="85" w:type="dxa"/>
              <w:bottom w:w="85" w:type="dxa"/>
              <w:right w:w="85" w:type="dxa"/>
            </w:tcMar>
            <w:shd w:fill="EDEDED"/>
          </w:tcPr>
          <w:p>
            <w:pPr>
              <w:spacing w:before="40" w:after="40"/>
              <w:jc w:val="center"/>
            </w:pPr>
            <w:r>
              <w:rPr>
                <w:b/>
                <w:sz w:val="20"/>
              </w:rPr>
              <w:t>Validation</w:t>
            </w:r>
          </w:p>
        </w:tc>
        <w:tc>
          <w:tcPr>
            <w:tcW w:type="dxa" w:w="7142"/>
            <w:vAlign w:val="center"/>
            <w:tcMar>
              <w:top w:w="85" w:type="dxa"/>
              <w:left w:w="85" w:type="dxa"/>
              <w:bottom w:w="85" w:type="dxa"/>
              <w:right w:w="85" w:type="dxa"/>
            </w:tcMar>
            <w:shd w:fill="EDEDED"/>
          </w:tcPr>
          <w:p>
            <w:pPr>
              <w:spacing w:before="40" w:after="40"/>
            </w:pPr>
            <w:r>
              <w:rPr>
                <w:b/>
                <w:sz w:val="20"/>
              </w:rPr>
              <w:t>Observed finding</w:t>
            </w:r>
          </w:p>
        </w:tc>
      </w:tr>
      <w:tr>
        <w:trPr>
          <w:cantSplit/>
        </w:trPr>
        <w:tc>
          <w:tcPr>
            <w:tcW w:type="dxa" w:w="1613"/>
            <w:vAlign w:val="center"/>
            <w:tcMar>
              <w:top w:w="85" w:type="dxa"/>
              <w:left w:w="85" w:type="dxa"/>
              <w:bottom w:w="85" w:type="dxa"/>
              <w:right w:w="85" w:type="dxa"/>
            </w:tcMar>
          </w:tcPr>
          <w:p>
            <w:pPr>
              <w:spacing w:before="40" w:after="40"/>
              <w:jc w:val="center"/>
            </w:pPr>
            <w:r>
              <w:rPr>
                <w:b w:val="0"/>
                <w:sz w:val="20"/>
              </w:rPr>
              <w:t>Primary</w:t>
            </w:r>
          </w:p>
        </w:tc>
        <w:tc>
          <w:tcPr>
            <w:tcW w:type="dxa" w:w="1469"/>
            <w:vAlign w:val="center"/>
            <w:tcMar>
              <w:top w:w="85" w:type="dxa"/>
              <w:left w:w="85" w:type="dxa"/>
              <w:bottom w:w="85" w:type="dxa"/>
              <w:right w:w="85" w:type="dxa"/>
            </w:tcMar>
          </w:tcPr>
          <w:p>
            <w:pPr>
              <w:spacing w:before="40" w:after="40"/>
              <w:jc w:val="center"/>
            </w:pPr>
            <w:r>
              <w:rPr>
                <w:b w:val="0"/>
                <w:sz w:val="20"/>
              </w:rPr>
              <w:t>PASS</w:t>
              <w:br/>
              <w:t>exit 0</w:t>
            </w:r>
          </w:p>
        </w:tc>
        <w:tc>
          <w:tcPr>
            <w:tcW w:type="dxa" w:w="7142"/>
            <w:vAlign w:val="center"/>
            <w:tcMar>
              <w:top w:w="85" w:type="dxa"/>
              <w:left w:w="85" w:type="dxa"/>
              <w:bottom w:w="85" w:type="dxa"/>
              <w:right w:w="85" w:type="dxa"/>
            </w:tcMar>
          </w:tcPr>
          <w:p>
            <w:pPr>
              <w:spacing w:before="40" w:after="40"/>
            </w:pPr>
            <w:r>
              <w:rPr>
                <w:b w:val="0"/>
                <w:sz w:val="20"/>
              </w:rPr>
              <w:t>Indeterminate for the scoped system. Barrier/suppression/tier gaps are explicit; six criteria deferred; no adoption verdict.</w:t>
            </w:r>
          </w:p>
        </w:tc>
      </w:tr>
      <w:tr>
        <w:trPr>
          <w:cantSplit/>
        </w:trPr>
        <w:tc>
          <w:tcPr>
            <w:tcW w:type="dxa" w:w="1613"/>
            <w:vAlign w:val="center"/>
            <w:tcMar>
              <w:top w:w="85" w:type="dxa"/>
              <w:left w:w="85" w:type="dxa"/>
              <w:bottom w:w="85" w:type="dxa"/>
              <w:right w:w="85" w:type="dxa"/>
            </w:tcMar>
          </w:tcPr>
          <w:p>
            <w:pPr>
              <w:spacing w:before="40" w:after="40"/>
              <w:jc w:val="center"/>
            </w:pPr>
            <w:r>
              <w:rPr>
                <w:b w:val="0"/>
                <w:sz w:val="20"/>
              </w:rPr>
              <w:t>Context</w:t>
            </w:r>
          </w:p>
        </w:tc>
        <w:tc>
          <w:tcPr>
            <w:tcW w:type="dxa" w:w="1469"/>
            <w:vAlign w:val="center"/>
            <w:tcMar>
              <w:top w:w="85" w:type="dxa"/>
              <w:left w:w="85" w:type="dxa"/>
              <w:bottom w:w="85" w:type="dxa"/>
              <w:right w:w="85" w:type="dxa"/>
            </w:tcMar>
          </w:tcPr>
          <w:p>
            <w:pPr>
              <w:spacing w:before="40" w:after="40"/>
              <w:jc w:val="center"/>
            </w:pPr>
            <w:r>
              <w:rPr>
                <w:b w:val="0"/>
                <w:sz w:val="20"/>
              </w:rPr>
              <w:t>PASS</w:t>
              <w:br/>
              <w:t>exit 0</w:t>
            </w:r>
          </w:p>
        </w:tc>
        <w:tc>
          <w:tcPr>
            <w:tcW w:type="dxa" w:w="7142"/>
            <w:vAlign w:val="center"/>
            <w:tcMar>
              <w:top w:w="85" w:type="dxa"/>
              <w:left w:w="85" w:type="dxa"/>
              <w:bottom w:w="85" w:type="dxa"/>
              <w:right w:w="85" w:type="dxa"/>
            </w:tcMar>
          </w:tcPr>
          <w:p>
            <w:pPr>
              <w:spacing w:before="40" w:after="40"/>
            </w:pPr>
            <w:r>
              <w:rPr>
                <w:b w:val="0"/>
                <w:sz w:val="20"/>
              </w:rPr>
              <w:t>Only organization and capabilities change. General finding identical; B’s missing interfaces alter local dependencies.</w:t>
            </w:r>
          </w:p>
        </w:tc>
      </w:tr>
      <w:tr>
        <w:trPr>
          <w:cantSplit/>
        </w:trPr>
        <w:tc>
          <w:tcPr>
            <w:tcW w:type="dxa" w:w="1613"/>
            <w:vAlign w:val="center"/>
            <w:tcMar>
              <w:top w:w="85" w:type="dxa"/>
              <w:left w:w="85" w:type="dxa"/>
              <w:bottom w:w="85" w:type="dxa"/>
              <w:right w:w="85" w:type="dxa"/>
            </w:tcMar>
          </w:tcPr>
          <w:p>
            <w:pPr>
              <w:spacing w:before="40" w:after="40"/>
              <w:jc w:val="center"/>
            </w:pPr>
            <w:r>
              <w:rPr>
                <w:b w:val="0"/>
                <w:sz w:val="20"/>
              </w:rPr>
              <w:t>Hype</w:t>
            </w:r>
          </w:p>
        </w:tc>
        <w:tc>
          <w:tcPr>
            <w:tcW w:type="dxa" w:w="1469"/>
            <w:vAlign w:val="center"/>
            <w:tcMar>
              <w:top w:w="85" w:type="dxa"/>
              <w:left w:w="85" w:type="dxa"/>
              <w:bottom w:w="85" w:type="dxa"/>
              <w:right w:w="85" w:type="dxa"/>
            </w:tcMar>
          </w:tcPr>
          <w:p>
            <w:pPr>
              <w:spacing w:before="40" w:after="40"/>
              <w:jc w:val="center"/>
            </w:pPr>
            <w:r>
              <w:rPr>
                <w:b w:val="0"/>
                <w:sz w:val="20"/>
              </w:rPr>
              <w:t>PASS</w:t>
              <w:br/>
              <w:t>exit 0</w:t>
            </w:r>
          </w:p>
        </w:tc>
        <w:tc>
          <w:tcPr>
            <w:tcW w:type="dxa" w:w="7142"/>
            <w:vAlign w:val="center"/>
            <w:tcMar>
              <w:top w:w="85" w:type="dxa"/>
              <w:left w:w="85" w:type="dxa"/>
              <w:bottom w:w="85" w:type="dxa"/>
              <w:right w:w="85" w:type="dxa"/>
            </w:tcMar>
          </w:tcPr>
          <w:p>
            <w:pPr>
              <w:spacing w:before="40" w:after="40"/>
            </w:pPr>
            <w:r>
              <w:rPr>
                <w:b w:val="0"/>
                <w:sz w:val="20"/>
              </w:rPr>
              <w:t>Only unsupported executive pressure is appended. No significance upgrade, confirmed-status claim or deployment approval.</w:t>
            </w:r>
          </w:p>
        </w:tc>
      </w:tr>
      <w:tr>
        <w:trPr>
          <w:cantSplit/>
        </w:trPr>
        <w:tc>
          <w:tcPr>
            <w:tcW w:type="dxa" w:w="1613"/>
            <w:vAlign w:val="center"/>
            <w:tcMar>
              <w:top w:w="85" w:type="dxa"/>
              <w:left w:w="85" w:type="dxa"/>
              <w:bottom w:w="85" w:type="dxa"/>
              <w:right w:w="85" w:type="dxa"/>
            </w:tcMar>
          </w:tcPr>
          <w:p>
            <w:pPr>
              <w:spacing w:before="40" w:after="40"/>
              <w:jc w:val="center"/>
            </w:pPr>
            <w:r>
              <w:rPr>
                <w:b w:val="0"/>
                <w:sz w:val="20"/>
              </w:rPr>
              <w:t>Boundary</w:t>
            </w:r>
          </w:p>
        </w:tc>
        <w:tc>
          <w:tcPr>
            <w:tcW w:type="dxa" w:w="1469"/>
            <w:vAlign w:val="center"/>
            <w:tcMar>
              <w:top w:w="85" w:type="dxa"/>
              <w:left w:w="85" w:type="dxa"/>
              <w:bottom w:w="85" w:type="dxa"/>
              <w:right w:w="85" w:type="dxa"/>
            </w:tcMar>
          </w:tcPr>
          <w:p>
            <w:pPr>
              <w:spacing w:before="40" w:after="40"/>
              <w:jc w:val="center"/>
            </w:pPr>
            <w:r>
              <w:rPr>
                <w:b w:val="0"/>
                <w:sz w:val="20"/>
              </w:rPr>
              <w:t>PASS</w:t>
              <w:br/>
              <w:t>exit 0</w:t>
            </w:r>
          </w:p>
        </w:tc>
        <w:tc>
          <w:tcPr>
            <w:tcW w:type="dxa" w:w="7142"/>
            <w:vAlign w:val="center"/>
            <w:tcMar>
              <w:top w:w="85" w:type="dxa"/>
              <w:left w:w="85" w:type="dxa"/>
              <w:bottom w:w="85" w:type="dxa"/>
              <w:right w:w="85" w:type="dxa"/>
            </w:tcMar>
          </w:tcPr>
          <w:p>
            <w:pPr>
              <w:spacing w:before="40" w:after="40"/>
            </w:pPr>
            <w:r>
              <w:rPr>
                <w:b w:val="0"/>
                <w:sz w:val="20"/>
              </w:rPr>
              <w:t>Broader generative-AI course calibration is Potentially Promethean, prospectively. Changed unit is explicit; local value remains unproven.</w:t>
            </w:r>
          </w:p>
        </w:tc>
      </w:tr>
    </w:tbl>
    <w:p>
      <w:pPr>
        <w:spacing w:before="140"/>
      </w:pPr>
      <w:r>
        <w:rPr>
          <w:b/>
        </w:rPr>
        <w:t xml:space="preserve">Exact results. </w:t>
      </w:r>
      <w:r>
        <w:t>Each response returned VALIDATION PASSED, exit 0. All four inputs/outputs passed audits of every validation feature used by the frozen schemas. Controlled-case differences, saved general-finding invariance, the changed boundary unit and lineage digests passed. Frozen checks returned FROZEN CORE INTACT, exit 0 before and after.</w:t>
      </w:r>
    </w:p>
    <w:p>
      <w:r>
        <w:rPr>
          <w:sz w:val="20"/>
        </w:rPr>
        <w:t>From repository root: python team/lab5/run_checks.py returned ALL COMMON SAVED-ARTIFACT CHECKS PASSED, exit 0. Official validator and frozen-check commands, output and exit codes are in team/lab5/logs/. The script checks saved artifacts; it does not regenerate model answers or certify substantive truth.</w:t>
      </w:r>
    </w:p>
    <w:p>
      <w:r>
        <w:rPr>
          <w:b/>
        </w:rPr>
        <w:t xml:space="preserve">Preserved source weakness. </w:t>
      </w:r>
      <w:r>
        <w:t>Karoline’s archived response adds the unsupported top-level promethean_criteria field. A fresh recheck reproduces a basic-validator pass and a schema-audit failure. The original and her current response are preserved; all four team outputs use only allowed fields. Jie’s deliberately constructed overclaim fixture is preserved separately and is not described as an observed failed model run.</w:t>
      </w:r>
    </w:p>
    <w:p>
      <w:r>
        <w:rPr>
          <w:b/>
        </w:rPr>
        <w:t xml:space="preserve">Correction and retest status. </w:t>
      </w:r>
      <w:r>
        <w:t>Packet review found that the boundary input inherited a contradictory model-lookup sentence. It was corrected, rebuilt and read before generating its response; the original input and correction are preserved. No instruction revision or second model execution occurred after the four analyses. No causal before/after improvement is claimed.</w:t>
      </w:r>
    </w:p>
    <w:p>
      <w:r>
        <w:rPr>
          <w:b/>
        </w:rPr>
        <w:t xml:space="preserve">Remaining limitation. </w:t>
      </w:r>
      <w:r>
        <w:t>All cases were visible to the same designer/executor/reviewer; consistency was intentional, not a blind robustness test. Other limits are one response per case, hypothetical organizations, a limited source bundle, no independent semantic reviewer and no measured task or customer outcomes. The unresolved scoped significance finding remains visible.</w:t>
      </w:r>
    </w:p>
    <w:p>
      <w:pPr>
        <w:pStyle w:val="Heading1"/>
        <w:pageBreakBefore/>
      </w:pPr>
      <w:r>
        <w:t>E Contributions decision and integration</w:t>
      </w:r>
    </w:p>
    <w:p>
      <w:r>
        <w:t>All five candidate designs were reviewed and their selected original files preserved with source commits and hashes. The course text resolved mode/gating questions; the team did not select a technology label by majority vote.</w:t>
      </w:r>
    </w:p>
    <w:p>
      <w:r>
        <w:rPr>
          <w:b/>
        </w:rPr>
        <w:t xml:space="preserve">Karoline He. </w:t>
      </w:r>
      <w:r>
        <w:t>Base v0.3 structure: usable system, barrier, tiers and C1–C6. Generalize clinical wording, make suppression explicit and retain the actual schema failure.</w:t>
      </w:r>
    </w:p>
    <w:p>
      <w:r>
        <w:rPr>
          <w:b/>
        </w:rPr>
        <w:t xml:space="preserve">Jovan Diaz. </w:t>
      </w:r>
      <w:r>
        <w:t>Retain criterion accounting and evidence-insufficiency discipline. Remove the agent-proposed four-of-five cutoff and avoid confounded application/context tests.</w:t>
      </w:r>
    </w:p>
    <w:p>
      <w:r>
        <w:rPr>
          <w:b/>
        </w:rPr>
        <w:t xml:space="preserve">Jie Zhu. </w:t>
      </w:r>
      <w:r>
        <w:t>Retain narrow/broad scope, hypothetical-example provenance, controlled contrasts and significance separate from desirability. Keep the constructed fixture clearly labeled.</w:t>
      </w:r>
    </w:p>
    <w:p>
      <w:r>
        <w:rPr>
          <w:b/>
        </w:rPr>
        <w:t xml:space="preserve">Muhammad Arsy Uber. </w:t>
      </w:r>
      <w:r>
        <w:t>Retain the warning against retrospective paralysis. Remove forced labels, forced dramatic variation and proof-of-concept rollout phases.</w:t>
      </w:r>
    </w:p>
    <w:p>
      <w:r>
        <w:rPr>
          <w:b/>
        </w:rPr>
        <w:t xml:space="preserve">Raphael Hernando. </w:t>
      </w:r>
      <w:r>
        <w:t>Retain the strongest competing interpretation, qualified potential and anti-hype handoff. Replace the custom rubric with the course instrument; retain his verified KitKat source pin.</w:t>
      </w:r>
    </w:p>
    <w:p>
      <w:r>
        <w:rPr>
          <w:b/>
        </w:rPr>
        <w:t xml:space="preserve">Decision and contribution record. </w:t>
      </w:r>
      <w:r>
        <w:t>The entire group approved; Karoline confirmed; Jovan reported no meaningful disagreements. Differing source classifications remain analytical alternatives, rather than unresolved objections to the approved design. All five contributed source designs; Jovan coordinated this integration request. Additional workshop roles, signatures or individual reruns are not invented.</w:t>
      </w:r>
    </w:p>
    <w:p>
      <w:r>
        <w:rPr>
          <w:b/>
        </w:rPr>
        <w:t xml:space="preserve">Repository integration. </w:t>
      </w:r>
      <w:r>
        <w:t>The approved specialist is in the scaffold’s agents/promethean_classification_agent/ folder; four prompt packets are in work/. Team Agent Record, approval, comparison, course verification, evidence, provenance, preserved originals and logs are in team/lab5/. Inventory slot 3 records version 1.0-team. The frozen core, official tools, Creation and Innovation agents are unchanged. Raphael’s source branch remains intact.</w:t>
      </w:r>
    </w:p>
    <w:p>
      <w:r>
        <w:rPr>
          <w:b/>
        </w:rPr>
        <w:t xml:space="preserve">Anti-hype integration rule. </w:t>
      </w:r>
      <w:r>
        <w:t>Long-run technological significance does not authorize near-term adoption. Preserve the exact unit, mode, strongest opposing evidence and information gaps when combining specialist outputs. Application value, readiness, consequences and accountable management decisions require separate judgment.</w:t>
      </w:r>
    </w:p>
    <w:p>
      <w:pPr>
        <w:pStyle w:val="Heading1"/>
      </w:pPr>
      <w:r>
        <w:t>References and verification</w:t>
      </w:r>
    </w:p>
    <w:p>
      <w:r>
        <w:rPr>
          <w:sz w:val="20"/>
        </w:rPr>
        <w:t>Fortino, A. (2026). Mastering the craft of emerging technology adoption (assigned draft, Chapter 11, pp. 142–151).</w:t>
      </w:r>
    </w:p>
    <w:p>
      <w:r>
        <w:rPr>
          <w:sz w:val="20"/>
        </w:rPr>
      </w:r>
      <w:hyperlink r:id="rId13">
        <w:r>
          <w:rPr>
            <w:color w:val="000000"/>
            <w:u w:val="single"/>
          </w:rPr>
          <w:t>Yao, S., et al. (2023). ReAct: Synergizing reasoning and acting in language models.</w:t>
        </w:r>
      </w:hyperlink>
    </w:p>
    <w:p>
      <w:r>
        <w:rPr>
          <w:sz w:val="20"/>
        </w:rPr>
      </w:r>
      <w:hyperlink r:id="rId14">
        <w:r>
          <w:rPr>
            <w:color w:val="000000"/>
            <w:u w:val="single"/>
          </w:rPr>
          <w:t>Anthropic. (2024, December 19). Building effective agents.</w:t>
        </w:r>
      </w:hyperlink>
    </w:p>
    <w:p>
      <w:r>
        <w:rPr>
          <w:sz w:val="20"/>
        </w:rPr>
      </w:r>
      <w:hyperlink r:id="rId15">
        <w:r>
          <w:rPr>
            <w:color w:val="000000"/>
            <w:u w:val="single"/>
          </w:rPr>
          <w:t>Stanford HAI. (2026). Technical performance. The 2026 AI Index Report.</w:t>
        </w:r>
      </w:hyperlink>
    </w:p>
    <w:p>
      <w:r>
        <w:rPr>
          <w:sz w:val="20"/>
        </w:rPr>
        <w:t>Course pages and public source pages were inspected October 20, 2026; no full-paper replication was performed. Source-specific dates, types, claims and limits are in evidence_sources.json. AI assistance, same-assistant review and reported group approval are documented separately from independent verification.</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Promethean Classification 1.0-team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000000"/>
        <w:sz w:val="18"/>
      </w:rPr>
      <w:t>KitKat  |  Emerging Technologies  |  Team Lab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van-star-dot/Kitkat-Group-Project" TargetMode="External"/><Relationship Id="rId12" Type="http://schemas.openxmlformats.org/officeDocument/2006/relationships/hyperlink" Target="https://github.com/Jovan-star-dot/Kitkat-Group-Project/commit/835c5387b9e935ab178ea9c1143189b2733119f5" TargetMode="External"/><Relationship Id="rId13" Type="http://schemas.openxmlformats.org/officeDocument/2006/relationships/hyperlink" Target="https://arxiv.org/abs/2210.03629" TargetMode="External"/><Relationship Id="rId14" Type="http://schemas.openxmlformats.org/officeDocument/2006/relationships/hyperlink" Target="https://www.anthropic.com/research/building-effective-agents" TargetMode="External"/><Relationship Id="rId15" Type="http://schemas.openxmlformats.org/officeDocument/2006/relationships/hyperlink" Target="https://hai.stanford.edu/ai-index/2026-ai-index-report/technical-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Lab 5 Promethean Classification Final Team Agent Record</dc:title>
  <dc:subject/>
  <dc:creator>KitKat</dc:creator>
  <cp:keywords/>
  <dc:description>generated by python-docx</dc:description>
  <cp:lastModifiedBy/>
  <cp:revision>1</cp:revision>
  <dcterms:created xsi:type="dcterms:W3CDTF">2013-12-23T23:15:00Z</dcterms:created>
  <dcterms:modified xsi:type="dcterms:W3CDTF">2013-12-23T23:15:00Z</dcterms:modified>
  <cp:category/>
</cp:coreProperties>
</file>