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CE522" w14:textId="77777777" w:rsidR="00F53DAD" w:rsidRPr="00175EB2" w:rsidRDefault="00F53DAD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en-GB" w:eastAsia="en-GB"/>
        </w:rPr>
      </w:pPr>
      <w:r w:rsidRPr="00175EB2">
        <w:rPr>
          <w:rFonts w:ascii="Century Gothic" w:eastAsia="Times New Roman" w:hAnsi="Century Gothic" w:cs="Times New Roman"/>
          <w:b/>
          <w:lang w:val="en-GB" w:eastAsia="en-GB"/>
        </w:rPr>
        <w:t>Residential exposure model</w:t>
      </w:r>
      <w:r w:rsidR="00E37A98" w:rsidRPr="00175EB2">
        <w:rPr>
          <w:rFonts w:ascii="Century Gothic" w:eastAsia="Times New Roman" w:hAnsi="Century Gothic" w:cs="Times New Roman"/>
          <w:b/>
          <w:lang w:val="en-GB" w:eastAsia="en-GB"/>
        </w:rPr>
        <w:t>:</w:t>
      </w:r>
    </w:p>
    <w:p w14:paraId="740F1A0C" w14:textId="77777777" w:rsidR="00F53DAD" w:rsidRPr="00175EB2" w:rsidRDefault="00F53DAD" w:rsidP="009B2C47">
      <w:pPr>
        <w:pStyle w:val="ListParagraph"/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02673041" w14:textId="77777777" w:rsidR="00175EB2" w:rsidRDefault="00F53DAD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>The exposure model (</w:t>
      </w:r>
      <w:r w:rsidRPr="00175EB2">
        <w:rPr>
          <w:rFonts w:ascii="Century Gothic" w:eastAsia="Times New Roman" w:hAnsi="Century Gothic" w:cs="Times New Roman"/>
          <w:b/>
          <w:lang w:val="en-GB" w:eastAsia="en-GB"/>
        </w:rPr>
        <w:t>Exposure_Res_Serbia.csv</w:t>
      </w:r>
      <w:r w:rsidRPr="00175EB2">
        <w:rPr>
          <w:rFonts w:ascii="Century Gothic" w:eastAsia="Times New Roman" w:hAnsi="Century Gothic" w:cs="Times New Roman"/>
          <w:lang w:val="en-GB" w:eastAsia="en-GB"/>
        </w:rPr>
        <w:t>) was built mainly based on the file from census 2011 that contains the year of construction of the residential dwellings combined with the number of dwellings in the buildings.</w:t>
      </w:r>
      <w:r w:rsidR="003D7A70" w:rsidRPr="00175EB2">
        <w:rPr>
          <w:rFonts w:ascii="Century Gothic" w:eastAsia="Times New Roman" w:hAnsi="Century Gothic" w:cs="Times New Roman"/>
          <w:lang w:val="en-GB" w:eastAsia="en-GB"/>
        </w:rPr>
        <w:t xml:space="preserve"> The </w:t>
      </w:r>
      <w:r w:rsidR="003D7A70" w:rsidRPr="00175EB2">
        <w:rPr>
          <w:rFonts w:ascii="Century Gothic" w:eastAsia="Times New Roman" w:hAnsi="Century Gothic" w:cs="Times New Roman"/>
          <w:b/>
          <w:lang w:val="en-GB" w:eastAsia="en-GB"/>
        </w:rPr>
        <w:t xml:space="preserve">processed_Serbia.xlsx </w:t>
      </w:r>
      <w:r w:rsidR="003D7A70" w:rsidRPr="00175EB2">
        <w:rPr>
          <w:rFonts w:ascii="Century Gothic" w:eastAsia="Times New Roman" w:hAnsi="Century Gothic" w:cs="Times New Roman"/>
          <w:lang w:val="en-GB" w:eastAsia="en-GB"/>
        </w:rPr>
        <w:t xml:space="preserve">contains the initial census file. The information is separated in the census for urban </w:t>
      </w:r>
      <w:r w:rsidR="004A405A" w:rsidRPr="00175EB2">
        <w:rPr>
          <w:rFonts w:ascii="Century Gothic" w:eastAsia="Times New Roman" w:hAnsi="Century Gothic" w:cs="Times New Roman"/>
          <w:lang w:val="en-GB" w:eastAsia="en-GB"/>
        </w:rPr>
        <w:t xml:space="preserve">and rural municipalities. </w:t>
      </w:r>
    </w:p>
    <w:p w14:paraId="4BB2E4AF" w14:textId="77777777" w:rsidR="00DD1D03" w:rsidRDefault="00DD1D03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28FBFAD3" w14:textId="77777777" w:rsidR="00175EB2" w:rsidRDefault="004A405A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>We developed</w:t>
      </w:r>
      <w:r w:rsidR="003D7A70" w:rsidRPr="00175EB2">
        <w:rPr>
          <w:rFonts w:ascii="Century Gothic" w:eastAsia="Times New Roman" w:hAnsi="Century Gothic" w:cs="Times New Roman"/>
          <w:lang w:val="en-GB" w:eastAsia="en-GB"/>
        </w:rPr>
        <w:t xml:space="preserve"> two mapping schemes – one for urban and one for rural municipalities (see attached </w:t>
      </w:r>
      <w:r w:rsidR="003D7A70" w:rsidRPr="00175EB2">
        <w:rPr>
          <w:rFonts w:ascii="Century Gothic" w:eastAsia="Times New Roman" w:hAnsi="Century Gothic" w:cs="Times New Roman"/>
          <w:b/>
          <w:lang w:val="en-GB" w:eastAsia="en-GB"/>
        </w:rPr>
        <w:t>mapping_Res_Serbia.xlsx</w:t>
      </w:r>
      <w:r w:rsidR="00175EB2">
        <w:rPr>
          <w:rFonts w:ascii="Century Gothic" w:eastAsia="Times New Roman" w:hAnsi="Century Gothic" w:cs="Times New Roman"/>
          <w:lang w:val="en-GB" w:eastAsia="en-GB"/>
        </w:rPr>
        <w:t xml:space="preserve">). </w:t>
      </w:r>
      <w:r w:rsidR="003D7A70" w:rsidRPr="00175EB2">
        <w:rPr>
          <w:rFonts w:ascii="Century Gothic" w:eastAsia="Times New Roman" w:hAnsi="Century Gothic" w:cs="Times New Roman"/>
          <w:lang w:val="en-GB" w:eastAsia="en-GB"/>
        </w:rPr>
        <w:t xml:space="preserve">The number of dwellings in the building was used as a proxy for the number of storeys. For example, if there is one dwelling in the building it was assumed that the building has 1 or 2 number of storeys. </w:t>
      </w:r>
    </w:p>
    <w:p w14:paraId="65D234AF" w14:textId="77777777" w:rsidR="00175EB2" w:rsidRDefault="00175EB2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4C3C1B14" w14:textId="77777777" w:rsidR="00BE1D9F" w:rsidRPr="00175EB2" w:rsidRDefault="003D7A70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Since we did not have information on the material of construction and lateral load resisting system from the census, a literature review was conducted to first identify the main building classes likely to be found in Serbia and neighbouring countries, which are expected to have similar building typologies. </w:t>
      </w:r>
      <w:r w:rsidR="007C69CD" w:rsidRPr="00175EB2">
        <w:rPr>
          <w:rFonts w:ascii="Century Gothic" w:eastAsia="Times New Roman" w:hAnsi="Century Gothic" w:cs="Times New Roman"/>
          <w:lang w:val="en-GB" w:eastAsia="en-GB"/>
        </w:rPr>
        <w:t xml:space="preserve">In that step, the publications attached were quite useful to start building the mapping schemes. For example, </w:t>
      </w:r>
      <w:r w:rsidR="007C69CD" w:rsidRPr="000B6977">
        <w:rPr>
          <w:rFonts w:ascii="Century Gothic" w:eastAsia="Times New Roman" w:hAnsi="Century Gothic" w:cs="Times New Roman"/>
          <w:highlight w:val="yellow"/>
          <w:lang w:val="en-GB" w:eastAsia="en-GB"/>
        </w:rPr>
        <w:t>Cukovic_etal.pdf</w:t>
      </w:r>
      <w:bookmarkStart w:id="0" w:name="_GoBack"/>
      <w:bookmarkEnd w:id="0"/>
      <w:r w:rsidR="007C69CD" w:rsidRPr="009B2C47">
        <w:rPr>
          <w:rFonts w:ascii="Century Gothic" w:eastAsia="Times New Roman" w:hAnsi="Century Gothic" w:cs="Times New Roman"/>
          <w:lang w:val="en-GB" w:eastAsia="en-GB"/>
        </w:rPr>
        <w:t xml:space="preserve"> mention that prefabricated buildings started to be constructed mainly between 1966-1980; </w:t>
      </w:r>
      <w:r w:rsidR="007C69CD" w:rsidRPr="000B6977">
        <w:rPr>
          <w:rFonts w:ascii="Century Gothic" w:eastAsia="Times New Roman" w:hAnsi="Century Gothic" w:cs="Times New Roman"/>
          <w:highlight w:val="yellow"/>
          <w:lang w:val="en-GB" w:eastAsia="en-GB"/>
        </w:rPr>
        <w:t>ademovic2013</w:t>
      </w:r>
      <w:r w:rsidR="007C69CD" w:rsidRPr="009B2C47">
        <w:rPr>
          <w:rFonts w:ascii="Century Gothic" w:eastAsia="Times New Roman" w:hAnsi="Century Gothic" w:cs="Times New Roman"/>
          <w:lang w:val="en-GB" w:eastAsia="en-GB"/>
        </w:rPr>
        <w:t xml:space="preserve"> and </w:t>
      </w:r>
      <w:proofErr w:type="spellStart"/>
      <w:r w:rsidR="007C69CD" w:rsidRPr="000B6977">
        <w:rPr>
          <w:rFonts w:ascii="Century Gothic" w:eastAsia="Times New Roman" w:hAnsi="Century Gothic" w:cs="Times New Roman"/>
          <w:highlight w:val="yellow"/>
          <w:lang w:val="en-GB" w:eastAsia="en-GB"/>
        </w:rPr>
        <w:t>Ademovic&amp;Nyarko</w:t>
      </w:r>
      <w:proofErr w:type="spellEnd"/>
      <w:r w:rsidR="007C69CD" w:rsidRPr="00175EB2">
        <w:rPr>
          <w:rFonts w:ascii="Century Gothic" w:eastAsia="Times New Roman" w:hAnsi="Century Gothic" w:cs="Times New Roman"/>
          <w:lang w:val="en-GB" w:eastAsia="en-GB"/>
        </w:rPr>
        <w:t xml:space="preserve"> (studies for </w:t>
      </w:r>
      <w:proofErr w:type="spellStart"/>
      <w:r w:rsidR="007C69CD" w:rsidRPr="00175EB2">
        <w:rPr>
          <w:rFonts w:ascii="Century Gothic" w:eastAsia="Times New Roman" w:hAnsi="Century Gothic" w:cs="Times New Roman"/>
          <w:lang w:val="en-GB" w:eastAsia="en-GB"/>
        </w:rPr>
        <w:t>Bosnia_and_Herzegovina</w:t>
      </w:r>
      <w:proofErr w:type="spellEnd"/>
      <w:r w:rsidR="007C69CD" w:rsidRPr="00175EB2">
        <w:rPr>
          <w:rFonts w:ascii="Century Gothic" w:eastAsia="Times New Roman" w:hAnsi="Century Gothic" w:cs="Times New Roman"/>
          <w:lang w:val="en-GB" w:eastAsia="en-GB"/>
        </w:rPr>
        <w:t>) mention that the typical construction till 1960s was unreinforced masonry and confi</w:t>
      </w:r>
      <w:r w:rsidR="0056240D" w:rsidRPr="00175EB2">
        <w:rPr>
          <w:rFonts w:ascii="Century Gothic" w:eastAsia="Times New Roman" w:hAnsi="Century Gothic" w:cs="Times New Roman"/>
          <w:lang w:val="en-GB" w:eastAsia="en-GB"/>
        </w:rPr>
        <w:t xml:space="preserve">ned masonry started after 1963. </w:t>
      </w:r>
      <w:r w:rsidR="00BE1D9F" w:rsidRPr="00175EB2">
        <w:rPr>
          <w:rFonts w:ascii="Century Gothic" w:eastAsia="Times New Roman" w:hAnsi="Century Gothic" w:cs="Times New Roman"/>
          <w:lang w:val="en-GB" w:eastAsia="en-GB"/>
        </w:rPr>
        <w:t>Thus, the percentages in the mapping scheme a</w:t>
      </w:r>
      <w:r w:rsidR="004A405A" w:rsidRPr="00175EB2">
        <w:rPr>
          <w:rFonts w:ascii="Century Gothic" w:eastAsia="Times New Roman" w:hAnsi="Century Gothic" w:cs="Times New Roman"/>
          <w:lang w:val="en-GB" w:eastAsia="en-GB"/>
        </w:rPr>
        <w:t xml:space="preserve">re assumptions that incorporate, however, </w:t>
      </w:r>
      <w:r w:rsidR="00BE1D9F" w:rsidRPr="00175EB2">
        <w:rPr>
          <w:rFonts w:ascii="Century Gothic" w:eastAsia="Times New Roman" w:hAnsi="Century Gothic" w:cs="Times New Roman"/>
          <w:lang w:val="en-GB" w:eastAsia="en-GB"/>
        </w:rPr>
        <w:t xml:space="preserve">as much as possible the information found in </w:t>
      </w:r>
      <w:r w:rsidR="004A405A" w:rsidRPr="00175EB2">
        <w:rPr>
          <w:rFonts w:ascii="Century Gothic" w:eastAsia="Times New Roman" w:hAnsi="Century Gothic" w:cs="Times New Roman"/>
          <w:lang w:val="en-GB" w:eastAsia="en-GB"/>
        </w:rPr>
        <w:t xml:space="preserve">various </w:t>
      </w:r>
      <w:r w:rsidR="00BE1D9F" w:rsidRPr="00175EB2">
        <w:rPr>
          <w:rFonts w:ascii="Century Gothic" w:eastAsia="Times New Roman" w:hAnsi="Century Gothic" w:cs="Times New Roman"/>
          <w:lang w:val="en-GB" w:eastAsia="en-GB"/>
        </w:rPr>
        <w:t>publications.</w:t>
      </w:r>
    </w:p>
    <w:p w14:paraId="38E7B19F" w14:textId="77777777" w:rsidR="00BE1D9F" w:rsidRPr="00175EB2" w:rsidRDefault="00BE1D9F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2B95F50F" w14:textId="77777777" w:rsidR="00BE1D9F" w:rsidRPr="00175EB2" w:rsidRDefault="00BE1D9F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It was assumed that dwellings constructed &lt;1960 are with no seismic code (CDN), between 1961-1980 are low code (CDL) and after 1981 with medium code (CDM). Also, all the unreinforced masonry </w:t>
      </w:r>
      <w:proofErr w:type="gramStart"/>
      <w:r w:rsidRPr="00175EB2">
        <w:rPr>
          <w:rFonts w:ascii="Century Gothic" w:eastAsia="Times New Roman" w:hAnsi="Century Gothic" w:cs="Times New Roman"/>
          <w:lang w:val="en-GB" w:eastAsia="en-GB"/>
        </w:rPr>
        <w:t>are</w:t>
      </w:r>
      <w:proofErr w:type="gramEnd"/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assumed to be CDN.</w:t>
      </w:r>
    </w:p>
    <w:p w14:paraId="32E70130" w14:textId="77777777" w:rsidR="00175EB2" w:rsidRDefault="00175EB2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632565E1" w14:textId="77777777" w:rsidR="00BE1D9F" w:rsidRDefault="00FD5DD6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It was assumed that the area per dwelling is changing based on the number of storeys of the building. 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More details in the </w:t>
      </w:r>
      <w:r w:rsidR="00D6015B" w:rsidRPr="00175EB2">
        <w:rPr>
          <w:rFonts w:ascii="Century Gothic" w:eastAsia="Times New Roman" w:hAnsi="Century Gothic" w:cs="Times New Roman"/>
          <w:b/>
          <w:lang w:val="en-GB" w:eastAsia="en-GB"/>
        </w:rPr>
        <w:t>‘Summaries.xlsx’.</w:t>
      </w:r>
    </w:p>
    <w:p w14:paraId="2CC2419B" w14:textId="77777777" w:rsidR="00175EB2" w:rsidRPr="00175EB2" w:rsidRDefault="00175EB2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335B9B1F" w14:textId="77777777" w:rsidR="00D6015B" w:rsidRPr="00175EB2" w:rsidRDefault="00FD5DD6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In order to convert the number of dwellings to number of buildings we divided the 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 xml:space="preserve">total number of dwellings in each region 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and </w:t>
      </w:r>
      <w:r w:rsidR="00175EB2">
        <w:rPr>
          <w:rFonts w:ascii="Century Gothic" w:eastAsia="Times New Roman" w:hAnsi="Century Gothic" w:cs="Times New Roman"/>
          <w:lang w:val="en-GB" w:eastAsia="en-GB"/>
        </w:rPr>
        <w:t>each building typology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 xml:space="preserve"> with the 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total 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>number of floors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 of each building class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 xml:space="preserve"> and 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the 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>number of dwellings per floor. The assumptions taken for this conversion are shown in ‘</w:t>
      </w:r>
      <w:r w:rsidR="00203551" w:rsidRPr="00175EB2">
        <w:rPr>
          <w:rFonts w:ascii="Century Gothic" w:eastAsia="Times New Roman" w:hAnsi="Century Gothic" w:cs="Times New Roman"/>
          <w:b/>
          <w:lang w:val="en-GB" w:eastAsia="en-GB"/>
        </w:rPr>
        <w:t xml:space="preserve">dwlngs_to_bldngs_Serbia.csv’. </w:t>
      </w:r>
      <w:r w:rsidR="00203551" w:rsidRPr="00175EB2">
        <w:rPr>
          <w:rFonts w:ascii="Century Gothic" w:eastAsia="Times New Roman" w:hAnsi="Century Gothic" w:cs="Times New Roman"/>
          <w:lang w:val="en-GB" w:eastAsia="en-GB"/>
        </w:rPr>
        <w:t>The TABULA project indicates 2.246.000 residential buildings in Serbia.</w:t>
      </w:r>
    </w:p>
    <w:p w14:paraId="5C5AB67F" w14:textId="77777777" w:rsidR="00175EB2" w:rsidRDefault="00175EB2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1F1815DB" w14:textId="77777777" w:rsidR="0003314D" w:rsidRPr="00175EB2" w:rsidRDefault="00203551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>Regarding the cost</w:t>
      </w:r>
      <w:r w:rsidR="00501F7F" w:rsidRPr="00175EB2">
        <w:rPr>
          <w:rFonts w:ascii="Century Gothic" w:eastAsia="Times New Roman" w:hAnsi="Century Gothic" w:cs="Times New Roman"/>
          <w:lang w:val="en-GB" w:eastAsia="en-GB"/>
        </w:rPr>
        <w:t xml:space="preserve"> per </w:t>
      </w:r>
      <w:proofErr w:type="spellStart"/>
      <w:r w:rsidR="00501F7F" w:rsidRPr="00175EB2">
        <w:rPr>
          <w:rFonts w:ascii="Century Gothic" w:eastAsia="Times New Roman" w:hAnsi="Century Gothic" w:cs="Times New Roman"/>
          <w:lang w:val="en-GB" w:eastAsia="en-GB"/>
        </w:rPr>
        <w:t>sq.m</w:t>
      </w:r>
      <w:proofErr w:type="spellEnd"/>
      <w:r w:rsidR="00501F7F" w:rsidRPr="00175EB2">
        <w:rPr>
          <w:rFonts w:ascii="Century Gothic" w:eastAsia="Times New Roman" w:hAnsi="Century Gothic" w:cs="Times New Roman"/>
          <w:lang w:val="en-GB" w:eastAsia="en-GB"/>
        </w:rPr>
        <w:t xml:space="preserve"> of a dwelling,</w:t>
      </w: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</w:t>
      </w:r>
      <w:r w:rsidR="00501F7F" w:rsidRPr="00175EB2">
        <w:rPr>
          <w:rFonts w:ascii="Century Gothic" w:eastAsia="Times New Roman" w:hAnsi="Century Gothic" w:cs="Times New Roman"/>
          <w:lang w:val="en-GB" w:eastAsia="en-GB"/>
        </w:rPr>
        <w:t xml:space="preserve">the values </w:t>
      </w:r>
      <w:r w:rsidR="004D2A2B" w:rsidRPr="00175EB2">
        <w:rPr>
          <w:rFonts w:ascii="Century Gothic" w:eastAsia="Times New Roman" w:hAnsi="Century Gothic" w:cs="Times New Roman"/>
          <w:lang w:val="en-GB" w:eastAsia="en-GB"/>
        </w:rPr>
        <w:t xml:space="preserve">mentioned in the file </w:t>
      </w:r>
      <w:r w:rsidR="004D2A2B" w:rsidRPr="00175EB2">
        <w:rPr>
          <w:rFonts w:ascii="Century Gothic" w:eastAsia="Times New Roman" w:hAnsi="Century Gothic" w:cs="Times New Roman"/>
          <w:b/>
          <w:lang w:val="en-GB" w:eastAsia="en-GB"/>
        </w:rPr>
        <w:t>G20121068_cost.doc</w:t>
      </w:r>
      <w:r w:rsidR="004D2A2B" w:rsidRPr="00175EB2">
        <w:rPr>
          <w:rFonts w:ascii="Century Gothic" w:eastAsia="Times New Roman" w:hAnsi="Century Gothic" w:cs="Times New Roman"/>
          <w:lang w:val="en-GB" w:eastAsia="en-GB"/>
        </w:rPr>
        <w:t xml:space="preserve"> for the respective areas</w:t>
      </w:r>
      <w:r w:rsidR="00501F7F" w:rsidRPr="00175EB2">
        <w:rPr>
          <w:rFonts w:ascii="Century Gothic" w:eastAsia="Times New Roman" w:hAnsi="Century Gothic" w:cs="Times New Roman"/>
          <w:lang w:val="en-GB" w:eastAsia="en-GB"/>
        </w:rPr>
        <w:t xml:space="preserve"> were adopted</w:t>
      </w:r>
      <w:r w:rsidR="007D5A0E" w:rsidRPr="00175EB2">
        <w:rPr>
          <w:rFonts w:ascii="Century Gothic" w:eastAsia="Times New Roman" w:hAnsi="Century Gothic" w:cs="Times New Roman"/>
          <w:lang w:val="en-GB" w:eastAsia="en-GB"/>
        </w:rPr>
        <w:t xml:space="preserve"> (converted to EUR – column ‘price of construction works’)</w:t>
      </w:r>
      <w:r w:rsidR="004D2A2B" w:rsidRPr="00175EB2">
        <w:rPr>
          <w:rFonts w:ascii="Century Gothic" w:eastAsia="Times New Roman" w:hAnsi="Century Gothic" w:cs="Times New Roman"/>
          <w:lang w:val="en-GB" w:eastAsia="en-GB"/>
        </w:rPr>
        <w:t xml:space="preserve">, while for the </w:t>
      </w:r>
      <w:r w:rsidR="00501F7F" w:rsidRPr="00175EB2">
        <w:rPr>
          <w:rFonts w:ascii="Century Gothic" w:eastAsia="Times New Roman" w:hAnsi="Century Gothic" w:cs="Times New Roman"/>
          <w:lang w:val="en-GB" w:eastAsia="en-GB"/>
        </w:rPr>
        <w:t>municipaliti</w:t>
      </w:r>
      <w:r w:rsidR="00242F52">
        <w:rPr>
          <w:rFonts w:ascii="Century Gothic" w:eastAsia="Times New Roman" w:hAnsi="Century Gothic" w:cs="Times New Roman"/>
          <w:lang w:val="en-GB" w:eastAsia="en-GB"/>
        </w:rPr>
        <w:t>es not mentioned in the file it was assumed a value of 600 Euros per square meter for the urban areas and 300 Euros per square meter for the rural areas</w:t>
      </w:r>
      <w:r w:rsidR="00A77943">
        <w:rPr>
          <w:rFonts w:ascii="Century Gothic" w:eastAsia="Times New Roman" w:hAnsi="Century Gothic" w:cs="Times New Roman"/>
          <w:lang w:val="en-GB" w:eastAsia="en-GB"/>
        </w:rPr>
        <w:t xml:space="preserve"> in each municipality</w:t>
      </w:r>
      <w:r w:rsidR="00501F7F" w:rsidRPr="00175EB2">
        <w:rPr>
          <w:rFonts w:ascii="Century Gothic" w:eastAsia="Times New Roman" w:hAnsi="Century Gothic" w:cs="Times New Roman"/>
          <w:lang w:val="en-GB" w:eastAsia="en-GB"/>
        </w:rPr>
        <w:t>.</w:t>
      </w:r>
      <w:r w:rsidR="00D6015B" w:rsidRPr="00175EB2">
        <w:rPr>
          <w:rFonts w:ascii="Century Gothic" w:eastAsia="Times New Roman" w:hAnsi="Century Gothic" w:cs="Times New Roman"/>
          <w:lang w:val="en-GB" w:eastAsia="en-GB"/>
        </w:rPr>
        <w:t xml:space="preserve"> </w:t>
      </w:r>
      <w:r w:rsidR="00C81E72">
        <w:rPr>
          <w:rFonts w:ascii="Century Gothic" w:eastAsia="Times New Roman" w:hAnsi="Century Gothic" w:cs="Times New Roman"/>
          <w:lang w:val="en-GB" w:eastAsia="en-GB"/>
        </w:rPr>
        <w:t>You can find</w:t>
      </w:r>
      <w:r w:rsidR="009C15EC" w:rsidRPr="00175EB2">
        <w:rPr>
          <w:rFonts w:ascii="Century Gothic" w:eastAsia="Times New Roman" w:hAnsi="Century Gothic" w:cs="Times New Roman"/>
          <w:lang w:val="en-GB" w:eastAsia="en-GB"/>
        </w:rPr>
        <w:t xml:space="preserve"> the values adopted in each municipality in the </w:t>
      </w:r>
      <w:r w:rsidR="009C15EC" w:rsidRPr="00175EB2">
        <w:rPr>
          <w:rFonts w:ascii="Century Gothic" w:eastAsia="Times New Roman" w:hAnsi="Century Gothic" w:cs="Times New Roman"/>
          <w:b/>
          <w:lang w:val="en-GB" w:eastAsia="en-GB"/>
        </w:rPr>
        <w:t xml:space="preserve">processed_Serbia.xlsx. </w:t>
      </w:r>
      <w:r w:rsidR="00700D34" w:rsidRPr="00175EB2">
        <w:rPr>
          <w:rFonts w:ascii="Century Gothic" w:eastAsia="Times New Roman" w:hAnsi="Century Gothic" w:cs="Times New Roman"/>
          <w:lang w:val="en-GB" w:eastAsia="en-GB"/>
        </w:rPr>
        <w:t xml:space="preserve">The COST_PER_AREA_EUR in the exposure file indicates the structural and non-structural cost per square meter. The TOTAL_REPL_COST_EUR contains also the value of the contents. </w:t>
      </w:r>
      <w:r w:rsidR="00D66068" w:rsidRPr="00175EB2">
        <w:rPr>
          <w:rFonts w:ascii="Century Gothic" w:eastAsia="Times New Roman" w:hAnsi="Century Gothic" w:cs="Times New Roman"/>
          <w:lang w:val="en-GB" w:eastAsia="en-GB"/>
        </w:rPr>
        <w:t xml:space="preserve">It was assumed that for the residential buildings 30% </w:t>
      </w:r>
      <w:r w:rsidR="00700D34" w:rsidRPr="00175EB2">
        <w:rPr>
          <w:rFonts w:ascii="Century Gothic" w:eastAsia="Times New Roman" w:hAnsi="Century Gothic" w:cs="Times New Roman"/>
          <w:lang w:val="en-GB" w:eastAsia="en-GB"/>
        </w:rPr>
        <w:t>of the total replacement cost accounts</w:t>
      </w:r>
      <w:r w:rsidR="00D66068" w:rsidRPr="00175EB2">
        <w:rPr>
          <w:rFonts w:ascii="Century Gothic" w:eastAsia="Times New Roman" w:hAnsi="Century Gothic" w:cs="Times New Roman"/>
          <w:lang w:val="en-GB" w:eastAsia="en-GB"/>
        </w:rPr>
        <w:t xml:space="preserve"> for structural components</w:t>
      </w:r>
      <w:r w:rsidR="00700D34" w:rsidRPr="00175EB2">
        <w:rPr>
          <w:rFonts w:ascii="Century Gothic" w:eastAsia="Times New Roman" w:hAnsi="Century Gothic" w:cs="Times New Roman"/>
          <w:lang w:val="en-GB" w:eastAsia="en-GB"/>
        </w:rPr>
        <w:t xml:space="preserve">, 50% for </w:t>
      </w:r>
      <w:r w:rsidR="00D66068" w:rsidRPr="00175EB2">
        <w:rPr>
          <w:rFonts w:ascii="Century Gothic" w:eastAsia="Times New Roman" w:hAnsi="Century Gothic" w:cs="Times New Roman"/>
          <w:lang w:val="en-GB" w:eastAsia="en-GB"/>
        </w:rPr>
        <w:t>non-structural and 20% for the contents.</w:t>
      </w:r>
    </w:p>
    <w:p w14:paraId="7A0B45BA" w14:textId="77777777" w:rsidR="0072393E" w:rsidRPr="00175EB2" w:rsidRDefault="0072393E" w:rsidP="009B2C47">
      <w:pPr>
        <w:pStyle w:val="ListParagraph"/>
        <w:spacing w:after="0" w:line="240" w:lineRule="auto"/>
        <w:ind w:left="1440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1D7EE23D" w14:textId="77777777" w:rsidR="0072393E" w:rsidRPr="00175EB2" w:rsidRDefault="0072393E" w:rsidP="009B2C47">
      <w:pPr>
        <w:pStyle w:val="ListParagraph"/>
        <w:spacing w:after="0" w:line="240" w:lineRule="auto"/>
        <w:ind w:left="1440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27BA06C4" w14:textId="77777777" w:rsidR="004E2188" w:rsidRPr="00C81E72" w:rsidRDefault="0072393E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en-GB" w:eastAsia="en-GB"/>
        </w:rPr>
      </w:pPr>
      <w:r w:rsidRPr="00C81E72">
        <w:rPr>
          <w:rFonts w:ascii="Century Gothic" w:eastAsia="Times New Roman" w:hAnsi="Century Gothic" w:cs="Times New Roman"/>
          <w:b/>
          <w:lang w:val="en-GB" w:eastAsia="en-GB"/>
        </w:rPr>
        <w:t>Industrial exposure model:</w:t>
      </w:r>
    </w:p>
    <w:p w14:paraId="26A2676B" w14:textId="77777777" w:rsidR="004E2188" w:rsidRPr="009B2C47" w:rsidRDefault="0072393E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</w:t>
      </w:r>
    </w:p>
    <w:p w14:paraId="3F664206" w14:textId="77777777" w:rsidR="004E2188" w:rsidRPr="009B2C47" w:rsidRDefault="004E2188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Some general information on the methodology (more information in the </w:t>
      </w:r>
      <w:r w:rsidRPr="009B2C47">
        <w:rPr>
          <w:rFonts w:ascii="Century Gothic" w:eastAsia="Times New Roman" w:hAnsi="Century Gothic" w:cs="Times New Roman"/>
          <w:b/>
          <w:lang w:val="en-GB" w:eastAsia="en-GB"/>
        </w:rPr>
        <w:t>‘Summaries.xlsx’</w:t>
      </w: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 attached:</w:t>
      </w:r>
    </w:p>
    <w:p w14:paraId="50FFA4F7" w14:textId="77777777" w:rsidR="004E2188" w:rsidRPr="00175EB2" w:rsidRDefault="004E2188" w:rsidP="009B2C47">
      <w:pPr>
        <w:pStyle w:val="ListParagraph"/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7A6867D3" w14:textId="77777777" w:rsidR="0072393E" w:rsidRPr="009B2C47" w:rsidRDefault="0072393E" w:rsidP="009B2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9B2C47">
        <w:rPr>
          <w:rFonts w:ascii="Century Gothic" w:eastAsia="Times New Roman" w:hAnsi="Century Gothic" w:cs="Times New Roman"/>
          <w:lang w:val="en-GB" w:eastAsia="en-GB"/>
        </w:rPr>
        <w:t>The area of the industrial bu</w:t>
      </w:r>
      <w:r w:rsidR="009B2C47">
        <w:rPr>
          <w:rFonts w:ascii="Century Gothic" w:eastAsia="Times New Roman" w:hAnsi="Century Gothic" w:cs="Times New Roman"/>
          <w:lang w:val="en-GB" w:eastAsia="en-GB"/>
        </w:rPr>
        <w:t xml:space="preserve">ildings was provided by Sousa et al and the methodology is described in </w:t>
      </w:r>
      <w:r w:rsidR="004E2188" w:rsidRPr="009B2C47">
        <w:rPr>
          <w:rFonts w:ascii="Century Gothic" w:eastAsia="Times New Roman" w:hAnsi="Century Gothic" w:cs="Times New Roman"/>
          <w:b/>
          <w:lang w:val="en-GB" w:eastAsia="en-GB"/>
        </w:rPr>
        <w:t>Sousa2017.pdf</w:t>
      </w:r>
      <w:r w:rsidR="009B2C47">
        <w:rPr>
          <w:rFonts w:ascii="Century Gothic" w:eastAsia="Times New Roman" w:hAnsi="Century Gothic" w:cs="Times New Roman"/>
          <w:lang w:val="en-GB" w:eastAsia="en-GB"/>
        </w:rPr>
        <w:t xml:space="preserve">, which is </w:t>
      </w: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attached. </w:t>
      </w:r>
      <w:r w:rsidR="008F1A83" w:rsidRPr="009B2C47">
        <w:rPr>
          <w:rFonts w:ascii="Century Gothic" w:eastAsia="Times New Roman" w:hAnsi="Century Gothic" w:cs="Times New Roman"/>
          <w:lang w:val="en-GB" w:eastAsia="en-GB"/>
        </w:rPr>
        <w:t xml:space="preserve">The area </w:t>
      </w:r>
      <w:r w:rsidR="009B2C47">
        <w:rPr>
          <w:rFonts w:ascii="Century Gothic" w:eastAsia="Times New Roman" w:hAnsi="Century Gothic" w:cs="Times New Roman"/>
          <w:lang w:val="en-GB" w:eastAsia="en-GB"/>
        </w:rPr>
        <w:t xml:space="preserve">that it was provided </w:t>
      </w:r>
      <w:r w:rsidR="008F1A83" w:rsidRPr="009B2C47">
        <w:rPr>
          <w:rFonts w:ascii="Century Gothic" w:eastAsia="Times New Roman" w:hAnsi="Century Gothic" w:cs="Times New Roman"/>
          <w:lang w:val="en-GB" w:eastAsia="en-GB"/>
        </w:rPr>
        <w:t>is</w:t>
      </w: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 spatially distributed </w:t>
      </w:r>
      <w:r w:rsidR="004E2188" w:rsidRPr="009B2C47">
        <w:rPr>
          <w:rFonts w:ascii="Century Gothic" w:eastAsia="Times New Roman" w:hAnsi="Century Gothic" w:cs="Times New Roman"/>
          <w:lang w:val="en-GB" w:eastAsia="en-GB"/>
        </w:rPr>
        <w:t>across Serbia at a</w:t>
      </w: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 </w:t>
      </w:r>
      <w:proofErr w:type="gramStart"/>
      <w:r w:rsidRPr="009B2C47">
        <w:rPr>
          <w:rFonts w:ascii="Century Gothic" w:eastAsia="Times New Roman" w:hAnsi="Century Gothic" w:cs="Times New Roman"/>
          <w:lang w:val="en-GB" w:eastAsia="en-GB"/>
        </w:rPr>
        <w:t>30 arc</w:t>
      </w:r>
      <w:proofErr w:type="gramEnd"/>
      <w:r w:rsidR="004E2188" w:rsidRPr="009B2C47">
        <w:rPr>
          <w:rFonts w:ascii="Century Gothic" w:eastAsia="Times New Roman" w:hAnsi="Century Gothic" w:cs="Times New Roman"/>
          <w:lang w:val="en-GB" w:eastAsia="en-GB"/>
        </w:rPr>
        <w:t xml:space="preserve"> sec</w:t>
      </w:r>
      <w:r w:rsidRPr="009B2C47">
        <w:rPr>
          <w:rFonts w:ascii="Century Gothic" w:eastAsia="Times New Roman" w:hAnsi="Century Gothic" w:cs="Times New Roman"/>
          <w:lang w:val="en-GB" w:eastAsia="en-GB"/>
        </w:rPr>
        <w:t xml:space="preserve"> resolution.</w:t>
      </w:r>
    </w:p>
    <w:p w14:paraId="12641087" w14:textId="77777777" w:rsidR="00795A6F" w:rsidRPr="00175EB2" w:rsidRDefault="00254A4E" w:rsidP="009B2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The </w:t>
      </w:r>
      <w:r w:rsidR="008F1A83" w:rsidRPr="00175EB2">
        <w:rPr>
          <w:rFonts w:ascii="Century Gothic" w:eastAsia="Times New Roman" w:hAnsi="Century Gothic" w:cs="Times New Roman"/>
          <w:lang w:val="en-GB" w:eastAsia="en-GB"/>
        </w:rPr>
        <w:t xml:space="preserve">total </w:t>
      </w:r>
      <w:r w:rsidRPr="00175EB2">
        <w:rPr>
          <w:rFonts w:ascii="Century Gothic" w:eastAsia="Times New Roman" w:hAnsi="Century Gothic" w:cs="Times New Roman"/>
          <w:lang w:val="en-GB" w:eastAsia="en-GB"/>
        </w:rPr>
        <w:t>industrial buildings</w:t>
      </w:r>
      <w:r w:rsidR="008F1A83" w:rsidRPr="00175EB2">
        <w:rPr>
          <w:rFonts w:ascii="Century Gothic" w:eastAsia="Times New Roman" w:hAnsi="Century Gothic" w:cs="Times New Roman"/>
          <w:lang w:val="en-GB" w:eastAsia="en-GB"/>
        </w:rPr>
        <w:t xml:space="preserve"> in Serbia </w:t>
      </w:r>
      <w:r w:rsidRPr="00175EB2">
        <w:rPr>
          <w:rFonts w:ascii="Century Gothic" w:eastAsia="Times New Roman" w:hAnsi="Century Gothic" w:cs="Times New Roman"/>
          <w:lang w:val="en-GB" w:eastAsia="en-GB"/>
        </w:rPr>
        <w:t>were distributed at the 30 arc</w:t>
      </w:r>
      <w:r w:rsidR="008F1A83" w:rsidRPr="00175EB2">
        <w:rPr>
          <w:rFonts w:ascii="Century Gothic" w:eastAsia="Times New Roman" w:hAnsi="Century Gothic" w:cs="Times New Roman"/>
          <w:lang w:val="en-GB" w:eastAsia="en-GB"/>
        </w:rPr>
        <w:t>-sec resolution</w:t>
      </w: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proportionally to the area given by Sousa et al</w:t>
      </w:r>
      <w:r w:rsidR="008F1A83" w:rsidRPr="00175EB2">
        <w:rPr>
          <w:rFonts w:ascii="Century Gothic" w:eastAsia="Times New Roman" w:hAnsi="Century Gothic" w:cs="Times New Roman"/>
          <w:lang w:val="en-GB" w:eastAsia="en-GB"/>
        </w:rPr>
        <w:t>.</w:t>
      </w:r>
    </w:p>
    <w:p w14:paraId="23DABCB9" w14:textId="77777777" w:rsidR="00254A4E" w:rsidRDefault="008F1A83" w:rsidP="009B2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One mapping scheme was developed - </w:t>
      </w:r>
      <w:r w:rsidR="00254A4E" w:rsidRPr="00175EB2">
        <w:rPr>
          <w:rFonts w:ascii="Century Gothic" w:eastAsia="Times New Roman" w:hAnsi="Century Gothic" w:cs="Times New Roman"/>
          <w:lang w:val="en-GB" w:eastAsia="en-GB"/>
        </w:rPr>
        <w:t xml:space="preserve">the </w:t>
      </w: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mapping scheme is </w:t>
      </w:r>
      <w:proofErr w:type="gramStart"/>
      <w:r w:rsidRPr="00175EB2">
        <w:rPr>
          <w:rFonts w:ascii="Century Gothic" w:eastAsia="Times New Roman" w:hAnsi="Century Gothic" w:cs="Times New Roman"/>
          <w:lang w:val="en-GB" w:eastAsia="en-GB"/>
        </w:rPr>
        <w:t>similar to</w:t>
      </w:r>
      <w:proofErr w:type="gramEnd"/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Croatia, which </w:t>
      </w:r>
      <w:r w:rsidR="00254A4E" w:rsidRPr="00175EB2">
        <w:rPr>
          <w:rFonts w:ascii="Century Gothic" w:eastAsia="Times New Roman" w:hAnsi="Century Gothic" w:cs="Times New Roman"/>
          <w:lang w:val="en-GB" w:eastAsia="en-GB"/>
        </w:rPr>
        <w:t xml:space="preserve">comes from the feedback of the </w:t>
      </w:r>
      <w:r w:rsidR="009B2C47">
        <w:rPr>
          <w:rFonts w:ascii="Century Gothic" w:eastAsia="Times New Roman" w:hAnsi="Century Gothic" w:cs="Times New Roman"/>
          <w:lang w:val="en-GB" w:eastAsia="en-GB"/>
        </w:rPr>
        <w:t xml:space="preserve">local </w:t>
      </w:r>
      <w:r w:rsidR="00254A4E" w:rsidRPr="00175EB2">
        <w:rPr>
          <w:rFonts w:ascii="Century Gothic" w:eastAsia="Times New Roman" w:hAnsi="Century Gothic" w:cs="Times New Roman"/>
          <w:lang w:val="en-GB" w:eastAsia="en-GB"/>
        </w:rPr>
        <w:t>experts during</w:t>
      </w:r>
      <w:r w:rsidRPr="00175EB2">
        <w:rPr>
          <w:rFonts w:ascii="Century Gothic" w:eastAsia="Times New Roman" w:hAnsi="Century Gothic" w:cs="Times New Roman"/>
          <w:lang w:val="en-GB" w:eastAsia="en-GB"/>
        </w:rPr>
        <w:t xml:space="preserve"> the exposure workshop in Pavia.</w:t>
      </w:r>
    </w:p>
    <w:p w14:paraId="1986C918" w14:textId="77777777" w:rsidR="001F649F" w:rsidRPr="001F649F" w:rsidRDefault="001F649F" w:rsidP="001F64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>
        <w:rPr>
          <w:rFonts w:ascii="Century Gothic" w:eastAsia="Times New Roman" w:hAnsi="Century Gothic" w:cs="Times New Roman"/>
          <w:lang w:val="en-GB" w:eastAsia="en-GB"/>
        </w:rPr>
        <w:t>It was assumed that for the industrial buildings 15% of the total replacement cost accounts for the structural components, 25% for the non-structural and 60% for the contents.</w:t>
      </w:r>
    </w:p>
    <w:p w14:paraId="62DD66EC" w14:textId="77777777" w:rsidR="008F1A83" w:rsidRPr="00175EB2" w:rsidRDefault="008F1A83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62C25754" w14:textId="77777777" w:rsidR="008F1A83" w:rsidRPr="009B2C47" w:rsidRDefault="008F1A83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en-GB" w:eastAsia="en-GB"/>
        </w:rPr>
      </w:pPr>
      <w:r w:rsidRPr="009B2C47">
        <w:rPr>
          <w:rFonts w:ascii="Century Gothic" w:eastAsia="Times New Roman" w:hAnsi="Century Gothic" w:cs="Times New Roman"/>
          <w:b/>
          <w:lang w:val="en-GB" w:eastAsia="en-GB"/>
        </w:rPr>
        <w:t>Commercial exposure model:</w:t>
      </w:r>
    </w:p>
    <w:p w14:paraId="549D2B6C" w14:textId="77777777" w:rsidR="008F1A83" w:rsidRPr="00175EB2" w:rsidRDefault="008F1A83" w:rsidP="009B2C47">
      <w:pPr>
        <w:pStyle w:val="ListParagraph"/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2C97BC61" w14:textId="77777777" w:rsidR="001F649F" w:rsidRDefault="008F1A83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9B2C47">
        <w:rPr>
          <w:rFonts w:ascii="Century Gothic" w:eastAsia="Times New Roman" w:hAnsi="Century Gothic" w:cs="Times New Roman"/>
          <w:highlight w:val="yellow"/>
          <w:lang w:val="en-GB" w:eastAsia="en-GB"/>
        </w:rPr>
        <w:t xml:space="preserve">Maybe </w:t>
      </w:r>
      <w:r w:rsidRPr="009B2C47">
        <w:rPr>
          <w:rFonts w:ascii="Century Gothic" w:eastAsia="Times New Roman" w:hAnsi="Century Gothic" w:cs="Times New Roman"/>
          <w:b/>
          <w:highlight w:val="yellow"/>
          <w:lang w:val="en-GB" w:eastAsia="en-GB"/>
        </w:rPr>
        <w:t>Daniela</w:t>
      </w:r>
      <w:r w:rsidRPr="009B2C47">
        <w:rPr>
          <w:rFonts w:ascii="Century Gothic" w:eastAsia="Times New Roman" w:hAnsi="Century Gothic" w:cs="Times New Roman"/>
          <w:highlight w:val="yellow"/>
          <w:lang w:val="en-GB" w:eastAsia="en-GB"/>
        </w:rPr>
        <w:t xml:space="preserve"> could give </w:t>
      </w:r>
      <w:r w:rsidR="00E37A98" w:rsidRPr="009B2C47">
        <w:rPr>
          <w:rFonts w:ascii="Century Gothic" w:eastAsia="Times New Roman" w:hAnsi="Century Gothic" w:cs="Times New Roman"/>
          <w:highlight w:val="yellow"/>
          <w:lang w:val="en-GB" w:eastAsia="en-GB"/>
        </w:rPr>
        <w:t xml:space="preserve">some more details in this part? </w:t>
      </w:r>
      <w:r w:rsidRPr="009B2C47">
        <w:rPr>
          <w:rFonts w:ascii="Century Gothic" w:eastAsia="Times New Roman" w:hAnsi="Century Gothic" w:cs="Times New Roman"/>
          <w:highlight w:val="yellow"/>
          <w:lang w:val="en-GB" w:eastAsia="en-GB"/>
        </w:rPr>
        <w:t>I have the final exposu</w:t>
      </w:r>
      <w:r w:rsidR="00E37A98" w:rsidRPr="009B2C47">
        <w:rPr>
          <w:rFonts w:ascii="Century Gothic" w:eastAsia="Times New Roman" w:hAnsi="Century Gothic" w:cs="Times New Roman"/>
          <w:highlight w:val="yellow"/>
          <w:lang w:val="en-GB" w:eastAsia="en-GB"/>
        </w:rPr>
        <w:t>re model, which I have attached.</w:t>
      </w:r>
    </w:p>
    <w:p w14:paraId="5422AF87" w14:textId="77777777" w:rsidR="001F649F" w:rsidRDefault="001F649F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p w14:paraId="51B4A329" w14:textId="77777777" w:rsidR="001F649F" w:rsidRPr="001F649F" w:rsidRDefault="001F649F" w:rsidP="001F649F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  <w:r w:rsidRPr="001F649F">
        <w:rPr>
          <w:rFonts w:ascii="Century Gothic" w:eastAsia="Times New Roman" w:hAnsi="Century Gothic" w:cs="Times New Roman"/>
          <w:lang w:val="en-GB" w:eastAsia="en-GB"/>
        </w:rPr>
        <w:t xml:space="preserve">It was assumed that for the </w:t>
      </w:r>
      <w:r>
        <w:rPr>
          <w:rFonts w:ascii="Century Gothic" w:eastAsia="Times New Roman" w:hAnsi="Century Gothic" w:cs="Times New Roman"/>
          <w:lang w:val="en-GB" w:eastAsia="en-GB"/>
        </w:rPr>
        <w:t>commercial</w:t>
      </w:r>
      <w:r w:rsidRPr="001F649F">
        <w:rPr>
          <w:rFonts w:ascii="Century Gothic" w:eastAsia="Times New Roman" w:hAnsi="Century Gothic" w:cs="Times New Roman"/>
          <w:lang w:val="en-GB" w:eastAsia="en-GB"/>
        </w:rPr>
        <w:t xml:space="preserve"> buildings </w:t>
      </w:r>
      <w:r>
        <w:rPr>
          <w:rFonts w:ascii="Century Gothic" w:eastAsia="Times New Roman" w:hAnsi="Century Gothic" w:cs="Times New Roman"/>
          <w:lang w:val="en-GB" w:eastAsia="en-GB"/>
        </w:rPr>
        <w:t>20</w:t>
      </w:r>
      <w:r w:rsidRPr="001F649F">
        <w:rPr>
          <w:rFonts w:ascii="Century Gothic" w:eastAsia="Times New Roman" w:hAnsi="Century Gothic" w:cs="Times New Roman"/>
          <w:lang w:val="en-GB" w:eastAsia="en-GB"/>
        </w:rPr>
        <w:t>% of the total replacement cost accounts f</w:t>
      </w:r>
      <w:r>
        <w:rPr>
          <w:rFonts w:ascii="Century Gothic" w:eastAsia="Times New Roman" w:hAnsi="Century Gothic" w:cs="Times New Roman"/>
          <w:lang w:val="en-GB" w:eastAsia="en-GB"/>
        </w:rPr>
        <w:t>or the structural components, 30% for the non-structural and 5</w:t>
      </w:r>
      <w:r w:rsidRPr="001F649F">
        <w:rPr>
          <w:rFonts w:ascii="Century Gothic" w:eastAsia="Times New Roman" w:hAnsi="Century Gothic" w:cs="Times New Roman"/>
          <w:lang w:val="en-GB" w:eastAsia="en-GB"/>
        </w:rPr>
        <w:t>0% for the contents.</w:t>
      </w:r>
    </w:p>
    <w:p w14:paraId="19E442EC" w14:textId="77777777" w:rsidR="001F649F" w:rsidRPr="009B2C47" w:rsidRDefault="001F649F" w:rsidP="009B2C47">
      <w:pPr>
        <w:spacing w:after="0" w:line="240" w:lineRule="auto"/>
        <w:jc w:val="both"/>
        <w:rPr>
          <w:rFonts w:ascii="Century Gothic" w:eastAsia="Times New Roman" w:hAnsi="Century Gothic" w:cs="Times New Roman"/>
          <w:lang w:val="en-GB" w:eastAsia="en-GB"/>
        </w:rPr>
      </w:pPr>
    </w:p>
    <w:sectPr w:rsidR="001F649F" w:rsidRPr="009B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8C5"/>
    <w:multiLevelType w:val="multilevel"/>
    <w:tmpl w:val="1EE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B51A2"/>
    <w:multiLevelType w:val="hybridMultilevel"/>
    <w:tmpl w:val="2006D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D0835"/>
    <w:multiLevelType w:val="multilevel"/>
    <w:tmpl w:val="0C7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633F0"/>
    <w:multiLevelType w:val="hybridMultilevel"/>
    <w:tmpl w:val="8E96A658"/>
    <w:lvl w:ilvl="0" w:tplc="08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67404516"/>
    <w:multiLevelType w:val="hybridMultilevel"/>
    <w:tmpl w:val="74149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3137F"/>
    <w:multiLevelType w:val="multilevel"/>
    <w:tmpl w:val="316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53B11"/>
    <w:multiLevelType w:val="multilevel"/>
    <w:tmpl w:val="734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09"/>
    <w:rsid w:val="00025E83"/>
    <w:rsid w:val="0003314D"/>
    <w:rsid w:val="00042CB8"/>
    <w:rsid w:val="00053DEA"/>
    <w:rsid w:val="000B6977"/>
    <w:rsid w:val="00175EB2"/>
    <w:rsid w:val="001F649F"/>
    <w:rsid w:val="00203551"/>
    <w:rsid w:val="00203ADB"/>
    <w:rsid w:val="00242F52"/>
    <w:rsid w:val="00254A4E"/>
    <w:rsid w:val="002A3FB1"/>
    <w:rsid w:val="002D7441"/>
    <w:rsid w:val="003D7A70"/>
    <w:rsid w:val="00406275"/>
    <w:rsid w:val="00407323"/>
    <w:rsid w:val="004A405A"/>
    <w:rsid w:val="004D2A2B"/>
    <w:rsid w:val="004E2188"/>
    <w:rsid w:val="00501F7F"/>
    <w:rsid w:val="0056240D"/>
    <w:rsid w:val="00566F65"/>
    <w:rsid w:val="00700D34"/>
    <w:rsid w:val="0072393E"/>
    <w:rsid w:val="00795A6F"/>
    <w:rsid w:val="007C69CD"/>
    <w:rsid w:val="007D5A0E"/>
    <w:rsid w:val="008C7B46"/>
    <w:rsid w:val="008F1A83"/>
    <w:rsid w:val="00982158"/>
    <w:rsid w:val="009B2C47"/>
    <w:rsid w:val="009C15EC"/>
    <w:rsid w:val="00A31B86"/>
    <w:rsid w:val="00A77943"/>
    <w:rsid w:val="00AC6009"/>
    <w:rsid w:val="00B818D5"/>
    <w:rsid w:val="00BE1D9F"/>
    <w:rsid w:val="00BF0697"/>
    <w:rsid w:val="00C11463"/>
    <w:rsid w:val="00C81E72"/>
    <w:rsid w:val="00CC7C7F"/>
    <w:rsid w:val="00CF346A"/>
    <w:rsid w:val="00D6015B"/>
    <w:rsid w:val="00D66068"/>
    <w:rsid w:val="00D8244A"/>
    <w:rsid w:val="00D971D9"/>
    <w:rsid w:val="00DD1D03"/>
    <w:rsid w:val="00DF20D2"/>
    <w:rsid w:val="00E37A98"/>
    <w:rsid w:val="00E730F4"/>
    <w:rsid w:val="00F53DAD"/>
    <w:rsid w:val="00F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563E"/>
  <w15:chartTrackingRefBased/>
  <w15:docId w15:val="{31B9FDB1-F978-4AF3-961F-C1D68BC0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D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Venetia Despotaki</dc:creator>
  <cp:keywords/>
  <dc:description/>
  <cp:lastModifiedBy>Jovana Borozan</cp:lastModifiedBy>
  <cp:revision>21</cp:revision>
  <dcterms:created xsi:type="dcterms:W3CDTF">2019-01-02T10:59:00Z</dcterms:created>
  <dcterms:modified xsi:type="dcterms:W3CDTF">2019-06-03T12:19:00Z</dcterms:modified>
</cp:coreProperties>
</file>