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1143000</wp:posOffset>
            </wp:positionH>
            <wp:positionV relativeFrom="page">
              <wp:posOffset>1175338</wp:posOffset>
            </wp:positionV>
            <wp:extent cx="667750" cy="667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50" cy="66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375"/>
        <w:tblGridChange w:id="0">
          <w:tblGrid>
            <w:gridCol w:w="2205"/>
            <w:gridCol w:w="637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UNIVERSITAS MARITIM RAJA ALI HAJI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FAKULTAS…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JURUSAN…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STUDI…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SILABUS MATA KULIAH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IDENTITAS MATA KULIAH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KOMPONEN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Mata Kuliah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Kode Mata Kuliah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Deskripsi 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CPL yang dibebankan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Sub-CPMK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Materi Kajian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MATRIKS BOBOT CPMK TERHADAP CPL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0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01.25"/>
              <w:gridCol w:w="501.25"/>
              <w:gridCol w:w="501.25"/>
              <w:gridCol w:w="501.25"/>
              <w:tblGridChange w:id="0">
                <w:tblGrid>
                  <w:gridCol w:w="501.25"/>
                  <w:gridCol w:w="501.25"/>
                  <w:gridCol w:w="501.25"/>
                  <w:gridCol w:w="501.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CPMK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CPL xxx (%)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CPL xxx (%)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CPL xxx (%)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CPMK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CPMK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CPMK xx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ANALISIS PEMBELAJARAN MATA KULIAH …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Capaian Pembelajaran Mata Kuliah: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Contoh Analisis Pembelajaran (Boleh dihapus jika sudah membuat Analisis Pembelajaran untuk MK ini)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7296150" cy="433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