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Jovi Automation 部署执行总说明</w:t>
      </w:r>
    </w:p>
    <w:p>
      <w:pPr>
        <w:jc w:val="center"/>
      </w:pPr>
      <w:r>
        <w:rPr>
          <w:color w:val="646464"/>
        </w:rPr>
        <w:t>Jovi Automation V1.0 | 2026-07-11</w:t>
      </w:r>
    </w:p>
    <w:p/>
    <w:p>
      <w:pPr>
        <w:spacing w:after="100" w:line="300" w:lineRule="auto"/>
      </w:pPr>
      <w:r>
        <w:t>版本：V1.0 日期：2026-07-11</w:t>
      </w:r>
    </w:p>
    <w:p>
      <w:pPr>
        <w:pStyle w:val="Heading2"/>
      </w:pPr>
      <w:r>
        <w:t>1. 执行摘要</w:t>
      </w:r>
    </w:p>
    <w:p>
      <w:pPr>
        <w:spacing w:after="100" w:line="300" w:lineRule="auto"/>
      </w:pPr>
      <w:r>
        <w:t>本项目将产品调研、规格管理、软件开发、文档、内容草稿和人工审核串成一条本地优先流水线。OpenClaw负责常驻Agent与调度，n8n负责确定性工作流，Codex负责工程实现与审查，Spec Kit负责把PRD转成可追踪的规格和任务。</w:t>
      </w:r>
    </w:p>
    <w:p>
      <w:pPr>
        <w:spacing w:after="100" w:line="300" w:lineRule="auto"/>
      </w:pPr>
      <w:r>
        <w:t>第一版部署不追求完全无人化，而追求“无人值守生产、有人负责承诺”。系统可以在夜间完成抓取、分析、测试和打包，但发布、客户沟通和交付始终由用户批准。</w:t>
      </w:r>
    </w:p>
    <w:p>
      <w:pPr>
        <w:pStyle w:val="Heading2"/>
      </w:pPr>
      <w:r>
        <w:t>2. 范围</w:t>
      </w:r>
    </w:p>
    <w:p>
      <w:pPr>
        <w:pStyle w:val="Heading3"/>
      </w:pPr>
      <w:r>
        <w:t>2.1 包含</w:t>
      </w:r>
    </w:p>
    <w:p>
      <w:pPr>
        <w:pStyle w:val="ListBullet"/>
      </w:pPr>
      <w:r>
        <w:t>核心服务部署与健康检查。</w:t>
      </w:r>
    </w:p>
    <w:p>
      <w:pPr>
        <w:pStyle w:val="ListBullet"/>
      </w:pPr>
      <w:r>
        <w:t>GitHub项目版本锁定和许可证登记。</w:t>
      </w:r>
    </w:p>
    <w:p>
      <w:pPr>
        <w:pStyle w:val="ListBullet"/>
      </w:pPr>
      <w:r>
        <w:t>OpenClaw工作区与9个专用Skill。</w:t>
      </w:r>
    </w:p>
    <w:p>
      <w:pPr>
        <w:pStyle w:val="ListBullet"/>
      </w:pPr>
      <w:r>
        <w:t>n8n工作流规格和人工审批闸门。</w:t>
      </w:r>
    </w:p>
    <w:p>
      <w:pPr>
        <w:pStyle w:val="ListBullet"/>
      </w:pPr>
      <w:r>
        <w:t>第一个嵌入式MVP的Spec Kit开发路径。</w:t>
      </w:r>
    </w:p>
    <w:p>
      <w:pPr>
        <w:pStyle w:val="ListBullet"/>
      </w:pPr>
      <w:r>
        <w:t>可选的视频生产模块。</w:t>
      </w:r>
    </w:p>
    <w:p>
      <w:pPr>
        <w:pStyle w:val="ListBullet"/>
      </w:pPr>
      <w:r>
        <w:t>备份、恢复、升级和故障处理。</w:t>
      </w:r>
    </w:p>
    <w:p>
      <w:r>
        <w:t>• Codex可直接从根目录 .agents/skills/ 发现9个仓库级Skill；同一组Skill已预置于 workspace/skills/ 供OpenClaw使用。</w:t>
      </w:r>
    </w:p>
    <w:p>
      <w:pPr>
        <w:pStyle w:val="Heading3"/>
      </w:pPr>
      <w:r>
        <w:t>2.2 不包含</w:t>
      </w:r>
    </w:p>
    <w:p>
      <w:pPr>
        <w:pStyle w:val="ListBullet"/>
      </w:pPr>
      <w:r>
        <w:t>自动控制闲鱼或其他平台账号。</w:t>
      </w:r>
    </w:p>
    <w:p>
      <w:pPr>
        <w:pStyle w:val="ListBullet"/>
      </w:pPr>
      <w:r>
        <w:t>自动支付、退款、报价和交付。</w:t>
      </w:r>
    </w:p>
    <w:p>
      <w:pPr>
        <w:pStyle w:val="ListBullet"/>
      </w:pPr>
      <w:r>
        <w:t>破解软件、课程搬运或无授权素材销售。</w:t>
      </w:r>
    </w:p>
    <w:p>
      <w:pPr>
        <w:pStyle w:val="ListBullet"/>
      </w:pPr>
      <w:r>
        <w:t>任何风控绕过、验证码自动化或批量养号。</w:t>
      </w:r>
    </w:p>
    <w:p>
      <w:pPr>
        <w:pStyle w:val="Heading2"/>
      </w:pPr>
      <w:r>
        <w:t>3. 目标架构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2F5597"/>
            <w:vAlign w:val="center"/>
          </w:tcPr>
          <w:p>
            <w:r>
              <w:rPr>
                <w:rFonts w:ascii="Noto Sans CJK SC" w:hAnsi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520"/>
            <w:shd w:fill="2F5597"/>
            <w:vAlign w:val="center"/>
          </w:tcPr>
          <w:p>
            <w:r>
              <w:rPr>
                <w:rFonts w:ascii="Noto Sans CJK SC" w:hAnsi="Noto Sans CJK SC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2520"/>
            <w:shd w:fill="2F5597"/>
            <w:vAlign w:val="center"/>
          </w:tcPr>
          <w:p>
            <w:r>
              <w:rPr>
                <w:rFonts w:ascii="Noto Sans CJK SC" w:hAnsi="Noto Sans CJK SC"/>
                <w:b/>
                <w:color w:val="FFFFFF"/>
                <w:sz w:val="18"/>
              </w:rPr>
              <w:t>责任</w:t>
            </w:r>
          </w:p>
        </w:tc>
        <w:tc>
          <w:tcPr>
            <w:tcW w:type="dxa" w:w="2520"/>
            <w:shd w:fill="2F5597"/>
            <w:vAlign w:val="center"/>
          </w:tcPr>
          <w:p>
            <w:r>
              <w:rPr>
                <w:rFonts w:ascii="Noto Sans CJK SC" w:hAnsi="Noto Sans CJK SC"/>
                <w:b/>
                <w:color w:val="FFFFFF"/>
                <w:sz w:val="18"/>
              </w:rPr>
              <w:t>部署方式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Noto Sans CJK SC" w:hAnsi="Noto Sans CJK SC"/>
                <w:sz w:val="17"/>
              </w:rPr>
              <w:t>决策与开发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Noto Sans CJK SC" w:hAnsi="Noto Sans CJK SC"/>
                <w:sz w:val="17"/>
              </w:rPr>
              <w:t>Codex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Noto Sans CJK SC" w:hAnsi="Noto Sans CJK SC"/>
                <w:sz w:val="17"/>
              </w:rPr>
              <w:t>调研、计划、编码、测试、文档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Noto Sans CJK SC" w:hAnsi="Noto Sans CJK SC"/>
                <w:sz w:val="17"/>
              </w:rPr>
              <w:t>用户已有Codex环境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Noto Sans CJK SC" w:hAnsi="Noto Sans CJK SC"/>
                <w:sz w:val="17"/>
              </w:rPr>
              <w:t>常驻调度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Noto Sans CJK SC" w:hAnsi="Noto Sans CJK SC"/>
                <w:sz w:val="17"/>
              </w:rPr>
              <w:t>OpenClaw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Noto Sans CJK SC" w:hAnsi="Noto Sans CJK SC"/>
                <w:sz w:val="17"/>
              </w:rPr>
              <w:t>Agent、Cron、会话和Skill路由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Noto Sans CJK SC" w:hAnsi="Noto Sans CJK SC"/>
                <w:sz w:val="17"/>
              </w:rPr>
              <w:t>主机/WSL守护进程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Noto Sans CJK SC" w:hAnsi="Noto Sans CJK SC"/>
                <w:sz w:val="17"/>
              </w:rPr>
              <w:t>工作流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Noto Sans CJK SC" w:hAnsi="Noto Sans CJK SC"/>
                <w:sz w:val="17"/>
              </w:rPr>
              <w:t>n8n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Noto Sans CJK SC" w:hAnsi="Noto Sans CJK SC"/>
                <w:sz w:val="17"/>
              </w:rPr>
              <w:t>定时、队列、审批和日志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Noto Sans CJK SC" w:hAnsi="Noto Sans CJK SC"/>
                <w:sz w:val="17"/>
              </w:rPr>
              <w:t>Docker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Noto Sans CJK SC" w:hAnsi="Noto Sans CJK SC"/>
                <w:sz w:val="17"/>
              </w:rPr>
              <w:t>数据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Noto Sans CJK SC" w:hAnsi="Noto Sans CJK SC"/>
                <w:sz w:val="17"/>
              </w:rPr>
              <w:t>PostgreSQL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Noto Sans CJK SC" w:hAnsi="Noto Sans CJK SC"/>
                <w:sz w:val="17"/>
              </w:rPr>
              <w:t>工作流和业务元数据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Noto Sans CJK SC" w:hAnsi="Noto Sans CJK SC"/>
                <w:sz w:val="17"/>
              </w:rPr>
              <w:t>Docker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Noto Sans CJK SC" w:hAnsi="Noto Sans CJK SC"/>
                <w:sz w:val="17"/>
              </w:rPr>
              <w:t>页面监控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Noto Sans CJK SC" w:hAnsi="Noto Sans CJK SC"/>
                <w:sz w:val="17"/>
              </w:rPr>
              <w:t>changedetection.io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Noto Sans CJK SC" w:hAnsi="Noto Sans CJK SC"/>
                <w:sz w:val="17"/>
              </w:rPr>
              <w:t>竞品、规则、Release变更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Noto Sans CJK SC" w:hAnsi="Noto Sans CJK SC"/>
                <w:sz w:val="17"/>
              </w:rPr>
              <w:t>Docker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Noto Sans CJK SC" w:hAnsi="Noto Sans CJK SC"/>
                <w:sz w:val="17"/>
              </w:rPr>
              <w:t>热点雷达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Noto Sans CJK SC" w:hAnsi="Noto Sans CJK SC"/>
                <w:sz w:val="17"/>
              </w:rPr>
              <w:t>TrendRadar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Noto Sans CJK SC" w:hAnsi="Noto Sans CJK SC"/>
                <w:sz w:val="17"/>
              </w:rPr>
              <w:t>关键词和公开信息聚合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Noto Sans CJK SC" w:hAnsi="Noto Sans CJK SC"/>
                <w:sz w:val="17"/>
              </w:rPr>
              <w:t>独立上游Compose，可选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Noto Sans CJK SC" w:hAnsi="Noto Sans CJK SC"/>
                <w:sz w:val="17"/>
              </w:rPr>
              <w:t>规格管理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Noto Sans CJK SC" w:hAnsi="Noto Sans CJK SC"/>
                <w:sz w:val="17"/>
              </w:rPr>
              <w:t>Spec Kit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Noto Sans CJK SC" w:hAnsi="Noto Sans CJK SC"/>
                <w:sz w:val="17"/>
              </w:rPr>
              <w:t>constitution/spec/plan/tasks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Noto Sans CJK SC" w:hAnsi="Noto Sans CJK SC"/>
                <w:sz w:val="17"/>
              </w:rPr>
              <w:t>uv工具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Noto Sans CJK SC" w:hAnsi="Noto Sans CJK SC"/>
                <w:sz w:val="17"/>
              </w:rPr>
              <w:t>文档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Noto Sans CJK SC" w:hAnsi="Noto Sans CJK SC"/>
                <w:sz w:val="17"/>
              </w:rPr>
              <w:t>MkDocs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Noto Sans CJK SC" w:hAnsi="Noto Sans CJK SC"/>
                <w:sz w:val="17"/>
              </w:rPr>
              <w:t>产品文档网站和离线HTML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Noto Sans CJK SC" w:hAnsi="Noto Sans CJK SC"/>
                <w:sz w:val="17"/>
              </w:rPr>
              <w:t>构建工具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Noto Sans CJK SC" w:hAnsi="Noto Sans CJK SC"/>
                <w:sz w:val="17"/>
              </w:rPr>
              <w:t>视频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Noto Sans CJK SC" w:hAnsi="Noto Sans CJK SC"/>
                <w:sz w:val="17"/>
              </w:rPr>
              <w:t>MoneyPrinterTurbo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Noto Sans CJK SC" w:hAnsi="Noto Sans CJK SC"/>
                <w:sz w:val="17"/>
              </w:rPr>
              <w:t>视频草稿和字幕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Noto Sans CJK SC" w:hAnsi="Noto Sans CJK SC"/>
                <w:sz w:val="17"/>
              </w:rPr>
              <w:t>独立GPU模块，可选</w:t>
            </w:r>
          </w:p>
        </w:tc>
      </w:tr>
    </w:tbl>
    <w:p/>
    <w:p>
      <w:pPr>
        <w:pStyle w:val="Heading2"/>
      </w:pPr>
      <w:r>
        <w:t>4. 阶段门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2F5597"/>
            <w:vAlign w:val="center"/>
          </w:tcPr>
          <w:p>
            <w:r>
              <w:rPr>
                <w:rFonts w:ascii="Noto Sans CJK SC" w:hAnsi="Noto Sans CJK SC"/>
                <w:b/>
                <w:color w:val="FFFFFF"/>
                <w:sz w:val="18"/>
              </w:rPr>
              <w:t>Gate</w:t>
            </w:r>
          </w:p>
        </w:tc>
        <w:tc>
          <w:tcPr>
            <w:tcW w:type="dxa" w:w="3360"/>
            <w:shd w:fill="2F5597"/>
            <w:vAlign w:val="center"/>
          </w:tcPr>
          <w:p>
            <w:r>
              <w:rPr>
                <w:rFonts w:ascii="Noto Sans CJK SC" w:hAnsi="Noto Sans CJK SC"/>
                <w:b/>
                <w:color w:val="FFFFFF"/>
                <w:sz w:val="18"/>
              </w:rPr>
              <w:t>通过条件</w:t>
            </w:r>
          </w:p>
        </w:tc>
        <w:tc>
          <w:tcPr>
            <w:tcW w:type="dxa" w:w="3360"/>
            <w:shd w:fill="2F5597"/>
            <w:vAlign w:val="center"/>
          </w:tcPr>
          <w:p>
            <w:r>
              <w:rPr>
                <w:rFonts w:ascii="Noto Sans CJK SC" w:hAnsi="Noto Sans CJK SC"/>
                <w:b/>
                <w:color w:val="FFFFFF"/>
                <w:sz w:val="18"/>
              </w:rPr>
              <w:t>失败处理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G0 环境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WSL2、Docker、磁盘和端口通过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不安装，输出修复清单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G1 安全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本地绑定、密钥策略和目录隔离通过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阻止启动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G2 核心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n8n、数据库和页面监控健康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回滚Compose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G3 Agent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OpenClaw doctor通过、非主沙箱启用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禁止接入消息渠道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G4 自动化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审批闸门和测试工作流通过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保持工作流禁用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G5 产品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P0测试、许可证、文档和包校验通过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进入quarantine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G6 运营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备份恢复与故障演练通过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不进入长期运行</w:t>
            </w:r>
          </w:p>
        </w:tc>
      </w:tr>
    </w:tbl>
    <w:p/>
    <w:p>
      <w:pPr>
        <w:pStyle w:val="Heading2"/>
      </w:pPr>
      <w:r>
        <w:t>5. 实施顺序</w:t>
      </w:r>
    </w:p>
    <w:p>
      <w:pPr>
        <w:pStyle w:val="ListNumber"/>
      </w:pPr>
      <w:r>
        <w:t>只读预检和版本锁定。</w:t>
      </w:r>
    </w:p>
    <w:p>
      <w:pPr>
        <w:pStyle w:val="ListNumber"/>
      </w:pPr>
      <w:r>
        <w:t>生成本地密钥，人工复核环境变量。</w:t>
      </w:r>
    </w:p>
    <w:p>
      <w:pPr>
        <w:pStyle w:val="ListNumber"/>
      </w:pPr>
      <w:r>
        <w:t>启动核心Docker服务。</w:t>
      </w:r>
    </w:p>
    <w:p>
      <w:pPr>
        <w:pStyle w:val="ListNumber"/>
      </w:pPr>
      <w:r>
        <w:t>安装OpenClaw、Spec Kit和Skill。</w:t>
      </w:r>
    </w:p>
    <w:p>
      <w:pPr>
        <w:pStyle w:val="ListNumber"/>
      </w:pPr>
      <w:r>
        <w:t>实现并验证n8n工作流。</w:t>
      </w:r>
    </w:p>
    <w:p>
      <w:pPr>
        <w:pStyle w:val="ListNumber"/>
      </w:pPr>
      <w:r>
        <w:t>完成E01主机侧MVP。</w:t>
      </w:r>
    </w:p>
    <w:p>
      <w:pPr>
        <w:pStyle w:val="ListNumber"/>
      </w:pPr>
      <w:r>
        <w:t>再接入TrendRadar和视频模块。</w:t>
      </w:r>
    </w:p>
    <w:p>
      <w:pPr>
        <w:pStyle w:val="ListNumber"/>
      </w:pPr>
      <w:r>
        <w:t>进行备份恢复、权限和人工审批测试。</w:t>
      </w:r>
    </w:p>
    <w:p>
      <w:pPr>
        <w:pStyle w:val="Heading2"/>
      </w:pPr>
      <w:r>
        <w:t>6. 运作模型</w:t>
      </w:r>
    </w:p>
    <w:p>
      <w:pPr>
        <w:spacing w:after="100" w:line="300" w:lineRule="auto"/>
      </w:pPr>
      <w:r>
        <w:t>每个任务都必须产生一个Job Manifest，记录输入、来源、权限、输出、测试和审批状态。Agent只能把产物放入`review-queue`。只有人工批准文件中的SHA256与产物一致时，工作流才能复制到`approved`。</w:t>
      </w:r>
    </w:p>
    <w:p>
      <w:pPr>
        <w:pStyle w:val="Heading2"/>
      </w:pPr>
      <w:r>
        <w:t>7. 主要成功指标</w:t>
      </w:r>
    </w:p>
    <w:p>
      <w:pPr>
        <w:pStyle w:val="ListBullet"/>
      </w:pPr>
      <w:r>
        <w:t>核心服务可用性达到本地个人使用要求。</w:t>
      </w:r>
    </w:p>
    <w:p>
      <w:pPr>
        <w:pStyle w:val="ListBullet"/>
      </w:pPr>
      <w:r>
        <w:t>P0验收通过率100%。</w:t>
      </w:r>
    </w:p>
    <w:p>
      <w:pPr>
        <w:pStyle w:val="ListBullet"/>
      </w:pPr>
      <w:r>
        <w:t>研究报告事实来源覆盖率100%。</w:t>
      </w:r>
    </w:p>
    <w:p>
      <w:pPr>
        <w:pStyle w:val="ListBullet"/>
      </w:pPr>
      <w:r>
        <w:t>未授权外部动作次数为0。</w:t>
      </w:r>
    </w:p>
    <w:p>
      <w:pPr>
        <w:pStyle w:val="ListBullet"/>
      </w:pPr>
      <w:r>
        <w:t>密钥泄漏次数为0。</w:t>
      </w:r>
    </w:p>
    <w:p>
      <w:pPr>
        <w:pStyle w:val="ListBullet"/>
      </w:pPr>
      <w:r>
        <w:t>不同客户目录交叉访问次数为0。</w:t>
      </w:r>
    </w:p>
    <w:p>
      <w:pPr>
        <w:pStyle w:val="ListBullet"/>
      </w:pPr>
      <w:r>
        <w:t>产品构建可在干净环境重复执行。</w:t>
      </w:r>
    </w:p>
    <w:p>
      <w:pPr>
        <w:pStyle w:val="Heading2"/>
      </w:pPr>
      <w:r>
        <w:t>8. 用户需要提供的信息</w:t>
      </w:r>
    </w:p>
    <w:p>
      <w:pPr>
        <w:spacing w:after="100" w:line="300" w:lineRule="auto"/>
      </w:pPr>
      <w:r>
        <w:t>部署可先进行到本地核心服务。进入硬件和外部通知前，需要确认：目标MCU/板卡/工具链、通知渠道和备份目的地。</w:t>
      </w:r>
    </w:p>
    <w:p>
      <w:pPr>
        <w:pStyle w:val="Heading2"/>
      </w:pPr>
      <w:r>
        <w:t>9. 参考来源</w:t>
      </w:r>
    </w:p>
    <w:p>
      <w:pPr>
        <w:spacing w:after="100" w:line="300" w:lineRule="auto"/>
      </w:pPr>
      <w:r>
        <w:t>详见`sources/web_sources.md`与`01_GitHub项目调研与选型报告`。</w:t>
      </w:r>
    </w:p>
    <w:p>
      <w:pPr>
        <w:pStyle w:val="Heading1"/>
      </w:pPr>
      <w:r>
        <w:t>调查来源</w:t>
      </w:r>
    </w:p>
    <w:p>
      <w:pPr>
        <w:pStyle w:val="ListBullet"/>
      </w:pPr>
      <w:r>
        <w:t>S01 OpenClaw：官方README：推荐Node 24/22.19+、onboard守护进程、工作区Skill与非主会话Docker沙箱。https://github.com/openclaw/openclaw</w:t>
      </w:r>
    </w:p>
    <w:p>
      <w:pPr>
        <w:pStyle w:val="ListBullet"/>
      </w:pPr>
      <w:r>
        <w:t>S02 Spec Kit：官方README：uv安装、Codex集成、constitution/specify/plan/tasks/implement流程。https://github.com/github/spec-kit</w:t>
      </w:r>
    </w:p>
    <w:p>
      <w:pPr>
        <w:pStyle w:val="ListBullet"/>
      </w:pPr>
      <w:r>
        <w:t>S03 n8n：官方README：Docker自托管、PostgreSQL集成、fair-code许可。https://github.com/n8n-io/n8n</w:t>
      </w:r>
    </w:p>
    <w:p>
      <w:pPr>
        <w:pStyle w:val="ListBullet"/>
      </w:pPr>
      <w:r>
        <w:t>S04 n8n-skills：14个n8n专用技能、路由和Hooks；MIT许可证。https://github.com/czlonkowski/n8n-skills</w:t>
      </w:r>
    </w:p>
    <w:p>
      <w:pPr>
        <w:pStyle w:val="ListBullet"/>
      </w:pPr>
      <w:r>
        <w:t>S05 TrendRadar：Docker Compose、关键词/AI配置、MCP服务；GPL-3.0。https://github.com/sansan0/TrendRadar</w:t>
      </w:r>
    </w:p>
    <w:p>
      <w:pPr>
        <w:pStyle w:val="ListBullet"/>
      </w:pPr>
      <w:r>
        <w:t>S06 changedetection.io：Docker部署、网页变更监控与Webhook；Apache-2.0。https://github.com/dgtlmoon/changedetection.io</w:t>
      </w:r>
    </w:p>
    <w:p>
      <w:pPr>
        <w:pStyle w:val="ListBullet"/>
      </w:pPr>
      <w:r>
        <w:t>S07 MoneyPrinterTurbo：Docker部署、视频生成API、GPU配置建议；MIT许可证。https://github.com/harry0703/MoneyPrinterTurbo</w:t>
      </w:r>
    </w:p>
    <w:p>
      <w:pPr>
        <w:pStyle w:val="ListBullet"/>
      </w:pPr>
      <w:r>
        <w:t>S08 MkDocs：Markdown静态文档生成器；BSD-2-Clause。https://github.com/mkdocs/mkdocs</w:t>
      </w:r>
    </w:p>
    <w:p>
      <w:pPr>
        <w:pStyle w:val="ListBullet"/>
      </w:pPr>
      <w:r>
        <w:t>S09 Microsoft WSL：Windows通过wsl --install安装WSL 2。https://learn.microsoft.com/en-us/windows/wsl/install</w:t>
      </w:r>
    </w:p>
    <w:p>
      <w:pPr>
        <w:pStyle w:val="ListBullet"/>
      </w:pPr>
      <w:r>
        <w:t>S10 Docker Desktop：Windows WSL 2后端与系统要求。https://docs.docker.com/desktop/setup/install/windows-install/</w:t>
      </w:r>
    </w:p>
    <w:p>
      <w:pPr>
        <w:pStyle w:val="ListBullet"/>
      </w:pPr>
      <w:r>
        <w:t>S11 NVIDIA Container Toolkit：Docker NVIDIA运行时配置。https://docs.nvidia.com/datacenter/cloud-native/container-toolkit/latest/install-guide.html</w:t>
      </w:r>
    </w:p>
    <w:p>
      <w:pPr>
        <w:pStyle w:val="ListBullet"/>
      </w:pPr>
      <w:r>
        <w:t>S12 Codex官方文档：AGENTS.md、Skills、WSL、非交互模式与安全/审批。https://learn.chatgpt.com/docs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  <w:fldChar w:fldCharType="begin"/>
      <w:instrText xml:space="preserve">PAGE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/>
        <w:color w:val="787878"/>
        <w:sz w:val="16"/>
      </w:rPr>
      <w:t>Jovi Automation 部署执行包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