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GitHub项目调研与选型报告</w:t>
      </w:r>
    </w:p>
    <w:p>
      <w:pPr>
        <w:jc w:val="center"/>
      </w:pPr>
      <w:r>
        <w:rPr>
          <w:color w:val="646464"/>
        </w:rPr>
        <w:t>Jovi Automation V1.0 | 2026-07-11</w:t>
      </w:r>
    </w:p>
    <w:p/>
    <w:p>
      <w:pPr>
        <w:pStyle w:val="Heading2"/>
      </w:pPr>
      <w:r>
        <w:t>1. 选型原则</w:t>
      </w:r>
    </w:p>
    <w:p>
      <w:pPr>
        <w:spacing w:after="100" w:line="300" w:lineRule="auto"/>
      </w:pPr>
      <w:r>
        <w:t>评估维度包括：是否解决真实流程问题、官方部署路径是否清晰、许可证能否接受、是否可隔离、是否便于版本锁定、是否存在对外账号或素材风险。</w:t>
      </w:r>
    </w:p>
    <w:p>
      <w:pPr>
        <w:pStyle w:val="Heading2"/>
      </w:pPr>
      <w:r>
        <w:t>2. 选型结论</w:t>
      </w:r>
    </w:p>
    <w:p>
      <w:pPr>
        <w:pStyle w:val="Heading3"/>
      </w:pPr>
      <w:r>
        <w:t>2.1 核心采用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2F5597"/>
            <w:vAlign w:val="center"/>
          </w:tcPr>
          <w:p>
            <w:r>
              <w:rPr>
                <w:rFonts w:ascii="Noto Sans CJK SC" w:hAnsi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3360"/>
            <w:shd w:fill="2F5597"/>
            <w:vAlign w:val="center"/>
          </w:tcPr>
          <w:p>
            <w:r>
              <w:rPr>
                <w:rFonts w:ascii="Noto Sans CJK SC" w:hAnsi="Noto Sans CJK SC"/>
                <w:b/>
                <w:color w:val="FFFFFF"/>
                <w:sz w:val="18"/>
              </w:rPr>
              <w:t>结论</w:t>
            </w:r>
          </w:p>
        </w:tc>
        <w:tc>
          <w:tcPr>
            <w:tcW w:type="dxa" w:w="3360"/>
            <w:shd w:fill="2F5597"/>
            <w:vAlign w:val="center"/>
          </w:tcPr>
          <w:p>
            <w:r>
              <w:rPr>
                <w:rFonts w:ascii="Noto Sans CJK SC" w:hAnsi="Noto Sans CJK SC"/>
                <w:b/>
                <w:color w:val="FFFFFF"/>
                <w:sz w:val="18"/>
              </w:rPr>
              <w:t>原因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Noto Sans CJK SC" w:hAnsi="Noto Sans CJK SC"/>
                <w:sz w:val="17"/>
              </w:rPr>
              <w:t>OpenClaw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Noto Sans CJK SC" w:hAnsi="Noto Sans CJK SC"/>
                <w:sz w:val="17"/>
              </w:rPr>
              <w:t>采用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Noto Sans CJK SC" w:hAnsi="Noto Sans CJK SC"/>
                <w:sz w:val="17"/>
              </w:rPr>
              <w:t>本地常驻、支持Agent工作区、Skill、Cron与沙箱；官方推荐onboard守护进程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Noto Sans CJK SC" w:hAnsi="Noto Sans CJK SC"/>
                <w:sz w:val="17"/>
              </w:rPr>
              <w:t>Spec Kit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Noto Sans CJK SC" w:hAnsi="Noto Sans CJK SC"/>
                <w:sz w:val="17"/>
              </w:rPr>
              <w:t>采用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Noto Sans CJK SC" w:hAnsi="Noto Sans CJK SC"/>
                <w:sz w:val="17"/>
              </w:rPr>
              <w:t>原生支持Codex skills模式，将PRD转成可执行规格和任务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Noto Sans CJK SC" w:hAnsi="Noto Sans CJK SC"/>
                <w:sz w:val="17"/>
              </w:rPr>
              <w:t>n8n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Noto Sans CJK SC" w:hAnsi="Noto Sans CJK SC"/>
                <w:sz w:val="17"/>
              </w:rPr>
              <w:t>采用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Noto Sans CJK SC" w:hAnsi="Noto Sans CJK SC"/>
                <w:sz w:val="17"/>
              </w:rPr>
              <w:t>确定性工作流、人工审批、凭证管理和可视化运维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Noto Sans CJK SC" w:hAnsi="Noto Sans CJK SC"/>
                <w:sz w:val="17"/>
              </w:rPr>
              <w:t>changedetection.io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Noto Sans CJK SC" w:hAnsi="Noto Sans CJK SC"/>
                <w:sz w:val="17"/>
              </w:rPr>
              <w:t>采用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Noto Sans CJK SC" w:hAnsi="Noto Sans CJK SC"/>
                <w:sz w:val="17"/>
              </w:rPr>
              <w:t>适合低频监控公开页面、规则和Release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Noto Sans CJK SC" w:hAnsi="Noto Sans CJK SC"/>
                <w:sz w:val="17"/>
              </w:rPr>
              <w:t>MkDocs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Noto Sans CJK SC" w:hAnsi="Noto Sans CJK SC"/>
                <w:sz w:val="17"/>
              </w:rPr>
              <w:t>采用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Noto Sans CJK SC" w:hAnsi="Noto Sans CJK SC"/>
                <w:sz w:val="17"/>
              </w:rPr>
              <w:t>低成本生成产品文档和离线交付</w:t>
            </w:r>
          </w:p>
        </w:tc>
      </w:tr>
    </w:tbl>
    <w:p/>
    <w:p>
      <w:pPr>
        <w:pStyle w:val="Heading3"/>
      </w:pPr>
      <w:r>
        <w:t>2.2 可选采用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2F5597"/>
            <w:vAlign w:val="center"/>
          </w:tcPr>
          <w:p>
            <w:r>
              <w:rPr>
                <w:rFonts w:ascii="Noto Sans CJK SC" w:hAnsi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3360"/>
            <w:shd w:fill="2F5597"/>
            <w:vAlign w:val="center"/>
          </w:tcPr>
          <w:p>
            <w:r>
              <w:rPr>
                <w:rFonts w:ascii="Noto Sans CJK SC" w:hAnsi="Noto Sans CJK SC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3360"/>
            <w:shd w:fill="2F5597"/>
            <w:vAlign w:val="center"/>
          </w:tcPr>
          <w:p>
            <w:r>
              <w:rPr>
                <w:rFonts w:ascii="Noto Sans CJK SC" w:hAnsi="Noto Sans CJK SC"/>
                <w:b/>
                <w:color w:val="FFFFFF"/>
                <w:sz w:val="18"/>
              </w:rPr>
              <w:t>限制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Noto Sans CJK SC" w:hAnsi="Noto Sans CJK SC"/>
                <w:sz w:val="17"/>
              </w:rPr>
              <w:t>TrendRadar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Noto Sans CJK SC" w:hAnsi="Noto Sans CJK SC"/>
                <w:sz w:val="17"/>
              </w:rPr>
              <w:t>核心稳定后的调研阶段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Noto Sans CJK SC" w:hAnsi="Noto Sans CJK SC"/>
                <w:sz w:val="17"/>
              </w:rPr>
              <w:t>GPL-3.0；作为独立服务使用，不打包转售其代码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Noto Sans CJK SC" w:hAnsi="Noto Sans CJK SC"/>
                <w:sz w:val="17"/>
              </w:rPr>
              <w:t>MoneyPrinterTurbo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Noto Sans CJK SC" w:hAnsi="Noto Sans CJK SC"/>
                <w:sz w:val="17"/>
              </w:rPr>
              <w:t>核心稳定后的视频阶段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Noto Sans CJK SC" w:hAnsi="Noto Sans CJK SC"/>
                <w:sz w:val="17"/>
              </w:rPr>
              <w:t>素材权利和API Key风险；只输出草稿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Noto Sans CJK SC" w:hAnsi="Noto Sans CJK SC"/>
                <w:sz w:val="17"/>
              </w:rPr>
              <w:t>n8n-skills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Noto Sans CJK SC" w:hAnsi="Noto Sans CJK SC"/>
                <w:sz w:val="17"/>
              </w:rPr>
              <w:t>构建n8n工作流时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Noto Sans CJK SC" w:hAnsi="Noto Sans CJK SC"/>
                <w:sz w:val="17"/>
              </w:rPr>
              <w:t>先审查并固定Commit，不能盲装所有脚本</w:t>
            </w:r>
          </w:p>
        </w:tc>
      </w:tr>
    </w:tbl>
    <w:p/>
    <w:p>
      <w:pPr>
        <w:pStyle w:val="Heading2"/>
      </w:pPr>
      <w:r>
        <w:t>3. 项目逐项分析</w:t>
      </w:r>
    </w:p>
    <w:p>
      <w:pPr>
        <w:pStyle w:val="Heading3"/>
      </w:pPr>
      <w:r>
        <w:t>3.1 OpenClaw</w:t>
      </w:r>
    </w:p>
    <w:p>
      <w:pPr>
        <w:spacing w:after="100" w:line="300" w:lineRule="auto"/>
      </w:pPr>
      <w:r>
        <w:t>官方README将其定位为运行在自有设备上的个人AI助手，推荐Node 24或22.19+，通过`openclaw onboard --install-daemon`安装常驻Gateway。其工作区可放置`AGENTS.md`、`SOUL.md`、`TOOLS.md`和`skills/&lt;skill&gt;/SKILL.md`。安全上，主会话工具默认可在宿主机运行，非主会话应启用Docker沙箱。</w:t>
      </w:r>
    </w:p>
    <w:p>
      <w:pPr>
        <w:spacing w:after="100" w:line="300" w:lineRule="auto"/>
      </w:pPr>
      <w:r>
        <w:t>选型决定：OpenClaw不纳入核心Docker Compose，而按官方推荐以主机/WSL守护进程运行。这样更符合其渠道、节点和本地工具设计，也避免容器内再控制宿主机Docker的高权限做法。</w:t>
      </w:r>
    </w:p>
    <w:p>
      <w:pPr>
        <w:pStyle w:val="Heading3"/>
      </w:pPr>
      <w:r>
        <w:t>3.2 Spec Kit</w:t>
      </w:r>
    </w:p>
    <w:p>
      <w:pPr>
        <w:spacing w:after="100" w:line="300" w:lineRule="auto"/>
      </w:pPr>
      <w:r>
        <w:t>官方流程为constitution、specify、plan、tasks、implement，并支持`specify init . --integration codex --integration-options="--skills"`。适合把既有PRD变成可追踪的工程过程。</w:t>
      </w:r>
    </w:p>
    <w:p>
      <w:pPr>
        <w:spacing w:after="100" w:line="300" w:lineRule="auto"/>
      </w:pPr>
      <w:r>
        <w:t>选型决定：所有正式产品使用Spec Kit；一次性小脚本可以走简化流程，但仍需验收和版本记录。</w:t>
      </w:r>
    </w:p>
    <w:p>
      <w:pPr>
        <w:pStyle w:val="Heading3"/>
      </w:pPr>
      <w:r>
        <w:t>3.3 n8n</w:t>
      </w:r>
    </w:p>
    <w:p>
      <w:pPr>
        <w:spacing w:after="100" w:line="300" w:lineRule="auto"/>
      </w:pPr>
      <w:r>
        <w:t>n8n支持Docker自托管、代码节点、人工审批和大量集成。其许可证是Sustainable Use License/Enterprise License，适合内部自用，但不能未经核对将n8n包装为对外商业托管产品。</w:t>
      </w:r>
    </w:p>
    <w:p>
      <w:pPr>
        <w:spacing w:after="100" w:line="300" w:lineRule="auto"/>
      </w:pPr>
      <w:r>
        <w:t>选型决定：只作为个人内部自动化基础设施，不向客户提供n8n本身。</w:t>
      </w:r>
    </w:p>
    <w:p>
      <w:pPr>
        <w:pStyle w:val="Heading3"/>
      </w:pPr>
      <w:r>
        <w:t>3.4 changedetection.io</w:t>
      </w:r>
    </w:p>
    <w:p>
      <w:pPr>
        <w:spacing w:after="100" w:line="300" w:lineRule="auto"/>
      </w:pPr>
      <w:r>
        <w:t>项目提供Docker部署、CSS/XPath/JSON过滤和多种通知。Apache-2.0许可证较宽松。</w:t>
      </w:r>
    </w:p>
    <w:p>
      <w:pPr>
        <w:spacing w:after="100" w:line="300" w:lineRule="auto"/>
      </w:pPr>
      <w:r>
        <w:t>选型决定：只监控公开页面和官方Release，限制频率，不用于登录态高频抓取或平台风控绕过。</w:t>
      </w:r>
    </w:p>
    <w:p>
      <w:pPr>
        <w:pStyle w:val="Heading3"/>
      </w:pPr>
      <w:r>
        <w:t>3.5 TrendRadar</w:t>
      </w:r>
    </w:p>
    <w:p>
      <w:pPr>
        <w:spacing w:after="100" w:line="300" w:lineRule="auto"/>
      </w:pPr>
      <w:r>
        <w:t>项目支持Docker Compose、关键词配置、AI分析和MCP，许可证GPL-3.0。</w:t>
      </w:r>
    </w:p>
    <w:p>
      <w:pPr>
        <w:spacing w:after="100" w:line="300" w:lineRule="auto"/>
      </w:pPr>
      <w:r>
        <w:t>选型决定：作为独立服务运行；配置和生成的报告可用于内部研究，但若修改并分发其程序，需要遵守GPL义务。</w:t>
      </w:r>
    </w:p>
    <w:p>
      <w:pPr>
        <w:pStyle w:val="Heading3"/>
      </w:pPr>
      <w:r>
        <w:t>3.6 MoneyPrinterTurbo</w:t>
      </w:r>
    </w:p>
    <w:p>
      <w:pPr>
        <w:spacing w:after="100" w:line="300" w:lineRule="auto"/>
      </w:pPr>
      <w:r>
        <w:t>项目可从主题生成文案、素材、字幕、音乐和视频，官方提供预构建Docker镜像和API；GPU不是必需，但8GB以上显存适合本地转录和批量处理。项目为MIT许可证。</w:t>
      </w:r>
    </w:p>
    <w:p>
      <w:pPr>
        <w:spacing w:after="100" w:line="300" w:lineRule="auto"/>
      </w:pPr>
      <w:r>
        <w:t>选型决定：在核心系统稳定后接入；使用4070S做本地转录和批量渲染。外部素材默认不进入商业产品，优先使用用户原创素材。</w:t>
      </w:r>
    </w:p>
    <w:p>
      <w:pPr>
        <w:pStyle w:val="Heading3"/>
      </w:pPr>
      <w:r>
        <w:t>3.7 n8n-skills</w:t>
      </w:r>
    </w:p>
    <w:p>
      <w:pPr>
        <w:spacing w:after="100" w:line="300" w:lineRule="auto"/>
      </w:pPr>
      <w:r>
        <w:t>该仓库包含14个互补技能、路由和Hooks，明确支持Codex插件安装场景，并以MIT许可发布。</w:t>
      </w:r>
    </w:p>
    <w:p>
      <w:pPr>
        <w:spacing w:after="100" w:line="300" w:lineRule="auto"/>
      </w:pPr>
      <w:r>
        <w:t>选型决定：借鉴其“路由Skill+专业Skill+验证Hook”架构；实际安装时固定Commit并阅读全部脚本。</w:t>
      </w:r>
    </w:p>
    <w:p>
      <w:pPr>
        <w:pStyle w:val="Heading2"/>
      </w:pPr>
      <w:r>
        <w:t>4. 不建议直接采用的模式</w:t>
      </w:r>
    </w:p>
    <w:p>
      <w:pPr>
        <w:pStyle w:val="ListBullet"/>
      </w:pPr>
      <w:r>
        <w:t>号称一键自动赚钱、自动养号或自动私信的项目。</w:t>
      </w:r>
    </w:p>
    <w:p>
      <w:pPr>
        <w:pStyle w:val="ListBullet"/>
      </w:pPr>
      <w:r>
        <w:t>需要上传浏览器Cookie到第三方服务器的项目。</w:t>
      </w:r>
    </w:p>
    <w:p>
      <w:pPr>
        <w:pStyle w:val="ListBullet"/>
      </w:pPr>
      <w:r>
        <w:t>没有License、Security和活跃维护记录的Skill合集。</w:t>
      </w:r>
    </w:p>
    <w:p>
      <w:pPr>
        <w:pStyle w:val="ListBullet"/>
      </w:pPr>
      <w:r>
        <w:t>直接把别人的课程、软件、预设和源码打包售卖的资源仓库。</w:t>
      </w:r>
    </w:p>
    <w:p>
      <w:pPr>
        <w:pStyle w:val="ListBullet"/>
      </w:pPr>
      <w:r>
        <w:t>自动追随`latest`且没有回滚机制的生产部署。</w:t>
      </w:r>
    </w:p>
    <w:p>
      <w:pPr>
        <w:pStyle w:val="Heading2"/>
      </w:pPr>
      <w:r>
        <w:t>5. 许可证结论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2F5597"/>
            <w:vAlign w:val="center"/>
          </w:tcPr>
          <w:p>
            <w:r>
              <w:rPr>
                <w:rFonts w:ascii="Noto Sans CJK SC" w:hAnsi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3360"/>
            <w:shd w:fill="2F5597"/>
            <w:vAlign w:val="center"/>
          </w:tcPr>
          <w:p>
            <w:r>
              <w:rPr>
                <w:rFonts w:ascii="Noto Sans CJK SC" w:hAnsi="Noto Sans CJK SC"/>
                <w:b/>
                <w:color w:val="FFFFFF"/>
                <w:sz w:val="18"/>
              </w:rPr>
              <w:t>许可证</w:t>
            </w:r>
          </w:p>
        </w:tc>
        <w:tc>
          <w:tcPr>
            <w:tcW w:type="dxa" w:w="3360"/>
            <w:shd w:fill="2F5597"/>
            <w:vAlign w:val="center"/>
          </w:tcPr>
          <w:p>
            <w:r>
              <w:rPr>
                <w:rFonts w:ascii="Noto Sans CJK SC" w:hAnsi="Noto Sans CJK SC"/>
                <w:b/>
                <w:color w:val="FFFFFF"/>
                <w:sz w:val="18"/>
              </w:rPr>
              <w:t>本项目用法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Noto Sans CJK SC" w:hAnsi="Noto Sans CJK SC"/>
                <w:sz w:val="17"/>
              </w:rPr>
              <w:t>OpenClaw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Noto Sans CJK SC" w:hAnsi="Noto Sans CJK SC"/>
                <w:sz w:val="17"/>
              </w:rPr>
              <w:t>MIT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Noto Sans CJK SC" w:hAnsi="Noto Sans CJK SC"/>
                <w:sz w:val="17"/>
              </w:rPr>
              <w:t>可内部使用和修改，保留声明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Noto Sans CJK SC" w:hAnsi="Noto Sans CJK SC"/>
                <w:sz w:val="17"/>
              </w:rPr>
              <w:t>Spec Kit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Noto Sans CJK SC" w:hAnsi="Noto Sans CJK SC"/>
                <w:sz w:val="17"/>
              </w:rPr>
              <w:t>MIT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Noto Sans CJK SC" w:hAnsi="Noto Sans CJK SC"/>
                <w:sz w:val="17"/>
              </w:rPr>
              <w:t>可使用和定制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Noto Sans CJK SC" w:hAnsi="Noto Sans CJK SC"/>
                <w:sz w:val="17"/>
              </w:rPr>
              <w:t>n8n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Noto Sans CJK SC" w:hAnsi="Noto Sans CJK SC"/>
                <w:sz w:val="17"/>
              </w:rPr>
              <w:t>Sustainable Use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Noto Sans CJK SC" w:hAnsi="Noto Sans CJK SC"/>
                <w:sz w:val="17"/>
              </w:rPr>
              <w:t>内部自托管；商业再分发需单独核对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Noto Sans CJK SC" w:hAnsi="Noto Sans CJK SC"/>
                <w:sz w:val="17"/>
              </w:rPr>
              <w:t>n8n-skills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Noto Sans CJK SC" w:hAnsi="Noto Sans CJK SC"/>
                <w:sz w:val="17"/>
              </w:rPr>
              <w:t>MIT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Noto Sans CJK SC" w:hAnsi="Noto Sans CJK SC"/>
                <w:sz w:val="17"/>
              </w:rPr>
              <w:t>可借鉴、固定Commit并保留声明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Noto Sans CJK SC" w:hAnsi="Noto Sans CJK SC"/>
                <w:sz w:val="17"/>
              </w:rPr>
              <w:t>TrendRadar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Noto Sans CJK SC" w:hAnsi="Noto Sans CJK SC"/>
                <w:sz w:val="17"/>
              </w:rPr>
              <w:t>GPL-3.0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Noto Sans CJK SC" w:hAnsi="Noto Sans CJK SC"/>
                <w:sz w:val="17"/>
              </w:rPr>
              <w:t>独立运行；分发修改版需遵守GPL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Noto Sans CJK SC" w:hAnsi="Noto Sans CJK SC"/>
                <w:sz w:val="17"/>
              </w:rPr>
              <w:t>changedetection.io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Noto Sans CJK SC" w:hAnsi="Noto Sans CJK SC"/>
                <w:sz w:val="17"/>
              </w:rPr>
              <w:t>Apache-2.0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Noto Sans CJK SC" w:hAnsi="Noto Sans CJK SC"/>
                <w:sz w:val="17"/>
              </w:rPr>
              <w:t>可内部使用，保留Notice要求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Noto Sans CJK SC" w:hAnsi="Noto Sans CJK SC"/>
                <w:sz w:val="17"/>
              </w:rPr>
              <w:t>MoneyPrinterTurbo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Noto Sans CJK SC" w:hAnsi="Noto Sans CJK SC"/>
                <w:sz w:val="17"/>
              </w:rPr>
              <w:t>MIT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Noto Sans CJK SC" w:hAnsi="Noto Sans CJK SC"/>
                <w:sz w:val="17"/>
              </w:rPr>
              <w:t>可二次开发；素材权利另行审核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Noto Sans CJK SC" w:hAnsi="Noto Sans CJK SC"/>
                <w:sz w:val="17"/>
              </w:rPr>
              <w:t>MkDocs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Noto Sans CJK SC" w:hAnsi="Noto Sans CJK SC"/>
                <w:sz w:val="17"/>
              </w:rPr>
              <w:t>BSD-2-Clause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Noto Sans CJK SC" w:hAnsi="Noto Sans CJK SC"/>
                <w:sz w:val="17"/>
              </w:rPr>
              <w:t>可用于文档构建，保留许可</w:t>
            </w:r>
          </w:p>
        </w:tc>
      </w:tr>
    </w:tbl>
    <w:p/>
    <w:p>
      <w:pPr>
        <w:pStyle w:val="Heading2"/>
      </w:pPr>
      <w:r>
        <w:t>6. 版本策略</w:t>
      </w:r>
    </w:p>
    <w:p>
      <w:pPr>
        <w:spacing w:after="100" w:line="300" w:lineRule="auto"/>
      </w:pPr>
      <w:r>
        <w:t>首次拉取可以查询最新稳定Release，但部署通过后必须锁定Tag、Commit或镜像Digest。大版本升级必须单独分支、备份、迁移演练和回滚验证。</w:t>
      </w:r>
    </w:p>
    <w:p>
      <w:pPr>
        <w:pStyle w:val="Heading2"/>
      </w:pPr>
      <w:r>
        <w:t>7. 资料来源</w:t>
      </w:r>
    </w:p>
    <w:p>
      <w:pPr>
        <w:spacing w:after="100" w:line="300" w:lineRule="auto"/>
      </w:pPr>
      <w:r>
        <w:t>完整链接见`sources/web_sources.md`。</w:t>
      </w:r>
    </w:p>
    <w:p>
      <w:pPr>
        <w:pStyle w:val="Heading1"/>
      </w:pPr>
      <w:r>
        <w:t>调查来源</w:t>
      </w:r>
    </w:p>
    <w:p>
      <w:pPr>
        <w:pStyle w:val="ListBullet"/>
      </w:pPr>
      <w:r>
        <w:t>S01 OpenClaw：官方README：推荐Node 24/22.19+、onboard守护进程、工作区Skill与非主会话Docker沙箱。https://github.com/openclaw/openclaw</w:t>
      </w:r>
    </w:p>
    <w:p>
      <w:pPr>
        <w:pStyle w:val="ListBullet"/>
      </w:pPr>
      <w:r>
        <w:t>S02 Spec Kit：官方README：uv安装、Codex集成、constitution/specify/plan/tasks/implement流程。https://github.com/github/spec-kit</w:t>
      </w:r>
    </w:p>
    <w:p>
      <w:pPr>
        <w:pStyle w:val="ListBullet"/>
      </w:pPr>
      <w:r>
        <w:t>S03 n8n：官方README：Docker自托管、PostgreSQL集成、fair-code许可。https://github.com/n8n-io/n8n</w:t>
      </w:r>
    </w:p>
    <w:p>
      <w:pPr>
        <w:pStyle w:val="ListBullet"/>
      </w:pPr>
      <w:r>
        <w:t>S04 n8n-skills：14个n8n专用技能、路由和Hooks；MIT许可证。https://github.com/czlonkowski/n8n-skills</w:t>
      </w:r>
    </w:p>
    <w:p>
      <w:pPr>
        <w:pStyle w:val="ListBullet"/>
      </w:pPr>
      <w:r>
        <w:t>S05 TrendRadar：Docker Compose、关键词/AI配置、MCP服务；GPL-3.0。https://github.com/sansan0/TrendRadar</w:t>
      </w:r>
    </w:p>
    <w:p>
      <w:pPr>
        <w:pStyle w:val="ListBullet"/>
      </w:pPr>
      <w:r>
        <w:t>S06 changedetection.io：Docker部署、网页变更监控与Webhook；Apache-2.0。https://github.com/dgtlmoon/changedetection.io</w:t>
      </w:r>
    </w:p>
    <w:p>
      <w:pPr>
        <w:pStyle w:val="ListBullet"/>
      </w:pPr>
      <w:r>
        <w:t>S07 MoneyPrinterTurbo：Docker部署、视频生成API、GPU配置建议；MIT许可证。https://github.com/harry0703/MoneyPrinterTurbo</w:t>
      </w:r>
    </w:p>
    <w:p>
      <w:pPr>
        <w:pStyle w:val="ListBullet"/>
      </w:pPr>
      <w:r>
        <w:t>S08 MkDocs：Markdown静态文档生成器；BSD-2-Clause。https://github.com/mkdocs/mkdocs</w:t>
      </w:r>
    </w:p>
    <w:p>
      <w:pPr>
        <w:pStyle w:val="ListBullet"/>
      </w:pPr>
      <w:r>
        <w:t>S09 Microsoft WSL：Windows通过wsl --install安装WSL 2。https://learn.microsoft.com/en-us/windows/wsl/install</w:t>
      </w:r>
    </w:p>
    <w:p>
      <w:pPr>
        <w:pStyle w:val="ListBullet"/>
      </w:pPr>
      <w:r>
        <w:t>S10 Docker Desktop：Windows WSL 2后端与系统要求。https://docs.docker.com/desktop/setup/install/windows-install/</w:t>
      </w:r>
    </w:p>
    <w:p>
      <w:pPr>
        <w:pStyle w:val="ListBullet"/>
      </w:pPr>
      <w:r>
        <w:t>S11 NVIDIA Container Toolkit：Docker NVIDIA运行时配置。https://docs.nvidia.com/datacenter/cloud-native/container-toolkit/latest/install-guide.html</w:t>
      </w:r>
    </w:p>
    <w:p>
      <w:pPr>
        <w:pStyle w:val="ListBullet"/>
      </w:pPr>
      <w:r>
        <w:t>S12 Codex官方文档：AGENTS.md、Skills、WSL、非交互模式与安全/审批。https://learn.chatgpt.com/docs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 </w:t>
      <w:fldChar w:fldCharType="begin"/>
      <w:instrText xml:space="preserve">PAGE</w:instrText>
      <w:fldChar w:fldCharType="end"/>
    </w:r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/>
        <w:color w:val="787878"/>
        <w:sz w:val="16"/>
      </w:rPr>
      <w:t>Jovi Automation 部署执行包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