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系统架构与安全基线</w:t>
      </w:r>
    </w:p>
    <w:p>
      <w:pPr>
        <w:jc w:val="center"/>
      </w:pPr>
      <w:r>
        <w:rPr>
          <w:color w:val="646464"/>
        </w:rPr>
        <w:t>Jovi Automation V1.0 | 2026-07-11</w:t>
      </w:r>
    </w:p>
    <w:p/>
    <w:p>
      <w:pPr>
        <w:pStyle w:val="Heading2"/>
      </w:pPr>
      <w:r>
        <w:t>1. 信任边界</w:t>
      </w:r>
    </w:p>
    <w:p>
      <w:pPr>
        <w:spacing w:after="100" w:line="300" w:lineRule="auto"/>
      </w:pPr>
      <w:r>
        <w:t>系统分为五个信任区：</w:t>
      </w:r>
    </w:p>
    <w:p>
      <w:pPr>
        <w:pStyle w:val="ListNumber"/>
      </w:pPr>
      <w:r>
        <w:t>用户控制区：Codex界面、审批文件和密钥输入。</w:t>
      </w:r>
    </w:p>
    <w:p>
      <w:pPr>
        <w:pStyle w:val="ListNumber"/>
      </w:pPr>
      <w:r>
        <w:t>主机Agent区：OpenClaw主会话，仅用户本人可触发。</w:t>
      </w:r>
    </w:p>
    <w:p>
      <w:pPr>
        <w:pStyle w:val="ListNumber"/>
      </w:pPr>
      <w:r>
        <w:t>沙箱执行区：非主Agent和客户任务，只挂载指定目录。</w:t>
      </w:r>
    </w:p>
    <w:p>
      <w:pPr>
        <w:pStyle w:val="ListNumber"/>
      </w:pPr>
      <w:r>
        <w:t>容器服务区：n8n、PostgreSQL、changedetection.io。</w:t>
      </w:r>
    </w:p>
    <w:p>
      <w:pPr>
        <w:pStyle w:val="ListNumber"/>
      </w:pPr>
      <w:r>
        <w:t>外部互联网区：公开网页、GitHub、模型API和通知渠道。</w:t>
      </w:r>
    </w:p>
    <w:p>
      <w:pPr>
        <w:spacing w:after="100" w:line="300" w:lineRule="auto"/>
      </w:pPr>
      <w:r>
        <w:t>任何从外部进入的文字、网页、消息和Skill都视为不可信输入。</w:t>
      </w:r>
    </w:p>
    <w:p>
      <w:pPr>
        <w:pStyle w:val="Heading2"/>
      </w:pPr>
      <w:r>
        <w:t>2. 数据流</w:t>
      </w:r>
    </w:p>
    <w:p>
      <w:pPr>
        <w:spacing w:after="100" w:line="300" w:lineRule="auto"/>
      </w:pPr>
      <w:r>
        <w:t>公开来源先进入研究区，经过清洗、去重和来源检查后进入候选主题。用户批准后才生成产品任务。Codex在隔离工作区实现并测试，产物进入review-queue。人工审批文件校验哈希后，产物才能进入approved。</w:t>
      </w:r>
    </w:p>
    <w:p>
      <w:pPr>
        <w:pStyle w:val="Heading2"/>
      </w:pPr>
      <w:r>
        <w:t>3. 目录隔离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3360"/>
            <w:shd w:fill="2F5597"/>
            <w:vAlign w:val="center"/>
          </w:tcPr>
          <w:p>
            <w:r>
              <w:rPr>
                <w:rFonts w:ascii="Noto Sans CJK SC" w:hAnsi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`workspace/research`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研究Agent可写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带来源的调研结果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`workspace/products`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产品Agent按项目读写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产品源码和文档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`workspace/review-queue`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Agent只写，用户审核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候选交付物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`workspace/approved`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工作流按审批复制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已批准产物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`workspace/quarantine`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只用于拒绝和可疑文件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隔离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`vendor`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默认只读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锁定第三方源代码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`backups`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备份脚本写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Noto Sans CJK SC" w:hAnsi="Noto Sans CJK SC"/>
                <w:sz w:val="17"/>
              </w:rPr>
              <w:t>数据恢复</w:t>
            </w:r>
          </w:p>
        </w:tc>
      </w:tr>
    </w:tbl>
    <w:p/>
    <w:p>
      <w:pPr>
        <w:spacing w:after="100" w:line="300" w:lineRule="auto"/>
      </w:pPr>
      <w:r>
        <w:t>客户任务必须使用独立目录和Git仓库。不同客户之间不能共享工作树、缓存、提示上下文或输出目录。</w:t>
      </w:r>
    </w:p>
    <w:p>
      <w:pPr>
        <w:pStyle w:val="Heading2"/>
      </w:pPr>
      <w:r>
        <w:t>4. 网络基线</w:t>
      </w:r>
    </w:p>
    <w:p>
      <w:pPr>
        <w:pStyle w:val="ListBullet"/>
      </w:pPr>
      <w:r>
        <w:t>所有Web UI只绑定127.0.0.1。</w:t>
      </w:r>
    </w:p>
    <w:p>
      <w:pPr>
        <w:pStyle w:val="ListBullet"/>
      </w:pPr>
      <w:r>
        <w:t>数据库不暴露宿主机端口。</w:t>
      </w:r>
    </w:p>
    <w:p>
      <w:pPr>
        <w:pStyle w:val="ListBullet"/>
      </w:pPr>
      <w:r>
        <w:t>禁止路由器端口转发。</w:t>
      </w:r>
    </w:p>
    <w:p>
      <w:pPr>
        <w:pStyle w:val="ListBullet"/>
      </w:pPr>
      <w:r>
        <w:t>禁止默认启用局域网访问。</w:t>
      </w:r>
    </w:p>
    <w:p>
      <w:pPr>
        <w:pStyle w:val="ListBullet"/>
      </w:pPr>
      <w:r>
        <w:t>外部Webhook必须经过用户批准，并优先使用出站通知而非入站公网服务。</w:t>
      </w:r>
    </w:p>
    <w:p>
      <w:pPr>
        <w:pStyle w:val="ListBullet"/>
      </w:pPr>
      <w:r>
        <w:t>如未来需要远程访问，另行完成Tailscale/反向代理威胁模型，不直接修改本配置。</w:t>
      </w:r>
    </w:p>
    <w:p>
      <w:pPr>
        <w:pStyle w:val="Heading2"/>
      </w:pPr>
      <w:r>
        <w:t>5. 凭证基线</w:t>
      </w:r>
    </w:p>
    <w:p>
      <w:pPr>
        <w:pStyle w:val="ListBullet"/>
      </w:pPr>
      <w:r>
        <w:t>`.env`、`config.toml`和OpenClaw真实配置不提交Git。</w:t>
      </w:r>
    </w:p>
    <w:p>
      <w:pPr>
        <w:pStyle w:val="ListBullet"/>
      </w:pPr>
      <w:r>
        <w:t>n8n凭证只保存在Credential Store，并由N8N_ENCRYPTION_KEY保护。</w:t>
      </w:r>
    </w:p>
    <w:p>
      <w:pPr>
        <w:pStyle w:val="ListBullet"/>
      </w:pPr>
      <w:r>
        <w:t>日志必须脱敏，不输出完整Token、Cookie、手机号、客户代码和模型请求原文。</w:t>
      </w:r>
    </w:p>
    <w:p>
      <w:pPr>
        <w:pStyle w:val="ListBullet"/>
      </w:pPr>
      <w:r>
        <w:t>密钥轮换后重新运行端到端测试。</w:t>
      </w:r>
    </w:p>
    <w:p>
      <w:pPr>
        <w:pStyle w:val="ListBullet"/>
      </w:pPr>
      <w:r>
        <w:t>备份中的密钥必须加密或单独离线保存。</w:t>
      </w:r>
    </w:p>
    <w:p>
      <w:pPr>
        <w:pStyle w:val="Heading2"/>
      </w:pPr>
      <w:r>
        <w:t>6. Agent权限</w:t>
      </w:r>
    </w:p>
    <w:p>
      <w:pPr>
        <w:spacing w:after="100" w:line="300" w:lineRule="auto"/>
      </w:pPr>
      <w:r>
        <w:t>默认允许：读取分配文件、写入本任务目录、运行构建和测试、生成报告。</w:t>
      </w:r>
    </w:p>
    <w:p>
      <w:pPr>
        <w:spacing w:after="100" w:line="300" w:lineRule="auto"/>
      </w:pPr>
      <w:r>
        <w:t>默认拒绝：浏览器登录、系统全盘读取、支付、发布、消息发送、删除、网络代理设置、SSH密钥、浏览器资料和密码库。</w:t>
      </w:r>
    </w:p>
    <w:p>
      <w:pPr>
        <w:spacing w:after="100" w:line="300" w:lineRule="auto"/>
      </w:pPr>
      <w:r>
        <w:t>主会话虽然可拥有更多权限，也不得用于处理不可信客户输入。客户输入必须派发到沙箱Agent。</w:t>
      </w:r>
    </w:p>
    <w:p>
      <w:pPr>
        <w:pStyle w:val="Heading2"/>
      </w:pPr>
      <w:r>
        <w:t>7. 人工审批协议</w:t>
      </w:r>
    </w:p>
    <w:p>
      <w:pPr>
        <w:spacing w:after="100" w:line="300" w:lineRule="auto"/>
      </w:pPr>
      <w:r>
        <w:t>批准文件至少包含：产物相对路径、SHA256、审批人、时间、结论和备注。产物任何字节变化都会使批准失效。超时、无响应和工作流成功均不能被解释为批准。</w:t>
      </w:r>
    </w:p>
    <w:p>
      <w:pPr>
        <w:pStyle w:val="Heading2"/>
      </w:pPr>
      <w:r>
        <w:t>8. 软件供应链</w:t>
      </w:r>
    </w:p>
    <w:p>
      <w:pPr>
        <w:pStyle w:val="ListBullet"/>
      </w:pPr>
      <w:r>
        <w:t>运行第三方脚本前阅读全部文件。</w:t>
      </w:r>
    </w:p>
    <w:p>
      <w:pPr>
        <w:pStyle w:val="ListBullet"/>
      </w:pPr>
      <w:r>
        <w:t>记录Tag、Commit、镜像Digest和许可证。</w:t>
      </w:r>
    </w:p>
    <w:p>
      <w:pPr>
        <w:pStyle w:val="ListBullet"/>
      </w:pPr>
      <w:r>
        <w:t>不执行来源不明的PowerShell、curl pipe shell或二进制。</w:t>
      </w:r>
    </w:p>
    <w:p>
      <w:pPr>
        <w:pStyle w:val="ListBullet"/>
      </w:pPr>
      <w:r>
        <w:t>镜像先扫描，再进入正式Compose。</w:t>
      </w:r>
    </w:p>
    <w:p>
      <w:pPr>
        <w:pStyle w:val="ListBullet"/>
      </w:pPr>
      <w:r>
        <w:t>依赖更新使用单独PR和回滚测试。</w:t>
      </w:r>
    </w:p>
    <w:p>
      <w:pPr>
        <w:pStyle w:val="Heading2"/>
      </w:pPr>
      <w:r>
        <w:t>9. 内容与版权</w:t>
      </w:r>
    </w:p>
    <w:p>
      <w:pPr>
        <w:spacing w:after="100" w:line="300" w:lineRule="auto"/>
      </w:pPr>
      <w:r>
        <w:t>技术产品和视频有两层权利检查：代码许可证和素材许可证。MIT等代码许可证不代表网上找到的图片、音乐和视频也可商用。所有交付包必须包含第三方清单，并排除公司/客户机密。</w:t>
      </w:r>
    </w:p>
    <w:p>
      <w:pPr>
        <w:pStyle w:val="Heading2"/>
      </w:pPr>
      <w:r>
        <w:t>10. 事件响应</w:t>
      </w:r>
    </w:p>
    <w:p>
      <w:pPr>
        <w:spacing w:after="100" w:line="300" w:lineRule="auto"/>
      </w:pPr>
      <w:r>
        <w:t>发现密钥泄漏、异常公网端口、客户目录交叉、可疑Skill或未授权发布时：立即停止相关容器和工作流；保留日志；轮换密钥；隔离产物；确认影响范围；修复后重新执行P0验收。</w:t>
      </w:r>
    </w:p>
    <w:p>
      <w:pPr>
        <w:pStyle w:val="Heading1"/>
      </w:pPr>
      <w:r>
        <w:t>调查来源</w:t>
      </w:r>
    </w:p>
    <w:p>
      <w:pPr>
        <w:pStyle w:val="ListBullet"/>
      </w:pPr>
      <w:r>
        <w:t>S01 OpenClaw：官方README：推荐Node 24/22.19+、onboard守护进程、工作区Skill与非主会话Docker沙箱。https://github.com/openclaw/openclaw</w:t>
      </w:r>
    </w:p>
    <w:p>
      <w:pPr>
        <w:pStyle w:val="ListBullet"/>
      </w:pPr>
      <w:r>
        <w:t>S02 Spec Kit：官方README：uv安装、Codex集成、constitution/specify/plan/tasks/implement流程。https://github.com/github/spec-kit</w:t>
      </w:r>
    </w:p>
    <w:p>
      <w:pPr>
        <w:pStyle w:val="ListBullet"/>
      </w:pPr>
      <w:r>
        <w:t>S03 n8n：官方README：Docker自托管、PostgreSQL集成、fair-code许可。https://github.com/n8n-io/n8n</w:t>
      </w:r>
    </w:p>
    <w:p>
      <w:pPr>
        <w:pStyle w:val="ListBullet"/>
      </w:pPr>
      <w:r>
        <w:t>S04 n8n-skills：14个n8n专用技能、路由和Hooks；MIT许可证。https://github.com/czlonkowski/n8n-skills</w:t>
      </w:r>
    </w:p>
    <w:p>
      <w:pPr>
        <w:pStyle w:val="ListBullet"/>
      </w:pPr>
      <w:r>
        <w:t>S05 TrendRadar：Docker Compose、关键词/AI配置、MCP服务；GPL-3.0。https://github.com/sansan0/TrendRadar</w:t>
      </w:r>
    </w:p>
    <w:p>
      <w:pPr>
        <w:pStyle w:val="ListBullet"/>
      </w:pPr>
      <w:r>
        <w:t>S06 changedetection.io：Docker部署、网页变更监控与Webhook；Apache-2.0。https://github.com/dgtlmoon/changedetection.io</w:t>
      </w:r>
    </w:p>
    <w:p>
      <w:pPr>
        <w:pStyle w:val="ListBullet"/>
      </w:pPr>
      <w:r>
        <w:t>S07 MoneyPrinterTurbo：Docker部署、视频生成API、GPU配置建议；MIT许可证。https://github.com/harry0703/MoneyPrinterTurbo</w:t>
      </w:r>
    </w:p>
    <w:p>
      <w:pPr>
        <w:pStyle w:val="ListBullet"/>
      </w:pPr>
      <w:r>
        <w:t>S08 MkDocs：Markdown静态文档生成器；BSD-2-Clause。https://github.com/mkdocs/mkdocs</w:t>
      </w:r>
    </w:p>
    <w:p>
      <w:pPr>
        <w:pStyle w:val="ListBullet"/>
      </w:pPr>
      <w:r>
        <w:t>S09 Microsoft WSL：Windows通过wsl --install安装WSL 2。https://learn.microsoft.com/en-us/windows/wsl/install</w:t>
      </w:r>
    </w:p>
    <w:p>
      <w:pPr>
        <w:pStyle w:val="ListBullet"/>
      </w:pPr>
      <w:r>
        <w:t>S10 Docker Desktop：Windows WSL 2后端与系统要求。https://docs.docker.com/desktop/setup/install/windows-install/</w:t>
      </w:r>
    </w:p>
    <w:p>
      <w:pPr>
        <w:pStyle w:val="ListBullet"/>
      </w:pPr>
      <w:r>
        <w:t>S11 NVIDIA Container Toolkit：Docker NVIDIA运行时配置。https://docs.nvidia.com/datacenter/cloud-native/container-toolkit/latest/install-guide.html</w:t>
      </w:r>
    </w:p>
    <w:p>
      <w:pPr>
        <w:pStyle w:val="ListBullet"/>
      </w:pPr>
      <w:r>
        <w:t>S12 Codex官方文档：AGENTS.md、Skills、WSL、非交互模式与安全/审批。https://learn.chatgpt.com/docs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Jovi Automation 部署执行包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