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52"/>
        </w:rPr>
        <w:t>项目总览与文档索引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6"/>
        </w:rPr>
        <w:t>从市场验证到产品上线的标准化执行资料包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项目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Jovi 嵌入式与摄影数字产品项目</w:t>
            </w:r>
          </w:p>
        </w:tc>
      </w:tr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文档版本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V1.0</w:t>
            </w:r>
          </w:p>
        </w:tc>
      </w:tr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编制日期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2026年7月11日</w:t>
            </w:r>
          </w:p>
        </w:tc>
      </w:tr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文档状态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可执行草案 / 待市场验证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用途：用于个人数字产品项目的立项、验证、开发、上线与复盘。</w:t>
      </w:r>
    </w:p>
    <w:p>
      <w:r>
        <w:br w:type="page"/>
      </w:r>
    </w:p>
    <w:p>
      <w:pPr>
        <w:pStyle w:val="Heading1"/>
      </w:pPr>
      <w:r>
        <w:t>1. 项目决策摘要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  <w:tcBorders>
              <w:top w:val="single" w:sz="6" w:color="7EA6CE"/>
              <w:left w:val="single" w:sz="10" w:color="2F5597"/>
              <w:bottom w:val="single" w:sz="6" w:color="7EA6CE"/>
              <w:right w:val="single" w:sz="6" w:color="7EA6CE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建议立项：</w:t>
            </w:r>
            <w:r>
              <w:rPr>
                <w:rFonts w:ascii="Noto Sans CJK SC" w:hAnsi="Noto Sans CJK SC" w:eastAsia="Noto Sans CJK SC"/>
                <w:sz w:val="21"/>
              </w:rPr>
              <w:t>采用“双产品线、两阶段验证”策略：嵌入式线优先销售可编译模板、诊断工具与技术服务；摄影线优先销售原创预设、练习RAW、机位指南与点评服务。严禁把未经授权的网课、破解软件、账号或他人素材作为商品。</w:t>
            </w:r>
          </w:p>
        </w:tc>
      </w:tr>
    </w:tbl>
    <w:p>
      <w:r>
        <w:rPr>
          <w:rFonts w:ascii="Noto Sans CJK SC" w:hAnsi="Noto Sans CJK SC" w:eastAsia="Noto Sans CJK SC"/>
          <w:sz w:val="21"/>
        </w:rPr>
        <w:t>第一阶段不追求全自动经营，而是建立“内容获客—闲鱼成交—人工审核—标准化交付”的半自动闭环。Codex只进入资料整理、代码生成、测试、文案和打包环节；发布、报价、承诺、收款、退款与最终交付保留人工确认。</w:t>
      </w:r>
    </w:p>
    <w:p>
      <w:pPr>
        <w:pStyle w:val="Heading1"/>
      </w:pPr>
      <w:r>
        <w:t>2. 文档包结构与阅读顺序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96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835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4025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核心用途</w:t>
            </w:r>
          </w:p>
        </w:tc>
        <w:tc>
          <w:tcPr>
            <w:tcW w:type="dxa" w:w="1247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使用时点</w:t>
            </w:r>
          </w:p>
        </w:tc>
      </w:tr>
      <w:tr>
        <w:trPr>
          <w:cantSplit/>
        </w:trPr>
        <w:tc>
          <w:tcPr>
            <w:tcW w:type="dxa" w:w="96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DOC-00</w:t>
            </w:r>
          </w:p>
        </w:tc>
        <w:tc>
          <w:tcPr>
            <w:tcW w:type="dxa" w:w="28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项目总览与文档索引</w:t>
            </w:r>
          </w:p>
        </w:tc>
        <w:tc>
          <w:tcPr>
            <w:tcW w:type="dxa" w:w="402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明确目标、边界、阶段门和文件用途</w:t>
            </w:r>
          </w:p>
        </w:tc>
        <w:tc>
          <w:tcPr>
            <w:tcW w:type="dxa" w:w="124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先读</w:t>
            </w:r>
          </w:p>
        </w:tc>
      </w:tr>
      <w:tr>
        <w:trPr>
          <w:cantSplit/>
        </w:trPr>
        <w:tc>
          <w:tcPr>
            <w:tcW w:type="dxa" w:w="96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DOC-01</w:t>
            </w:r>
          </w:p>
        </w:tc>
        <w:tc>
          <w:tcPr>
            <w:tcW w:type="dxa" w:w="28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市场调研与机会评估报告</w:t>
            </w:r>
          </w:p>
        </w:tc>
        <w:tc>
          <w:tcPr>
            <w:tcW w:type="dxa" w:w="402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判断平台、需求、竞争、资源可得性和机会优先级</w:t>
            </w:r>
          </w:p>
        </w:tc>
        <w:tc>
          <w:tcPr>
            <w:tcW w:type="dxa" w:w="124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立项前</w:t>
            </w:r>
          </w:p>
        </w:tc>
      </w:tr>
      <w:tr>
        <w:trPr>
          <w:cantSplit/>
        </w:trPr>
        <w:tc>
          <w:tcPr>
            <w:tcW w:type="dxa" w:w="96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DOC-02</w:t>
            </w:r>
          </w:p>
        </w:tc>
        <w:tc>
          <w:tcPr>
            <w:tcW w:type="dxa" w:w="28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用户调研方案与访谈问卷</w:t>
            </w:r>
          </w:p>
        </w:tc>
        <w:tc>
          <w:tcPr>
            <w:tcW w:type="dxa" w:w="402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用真实用户验证需求、价格与交付形式</w:t>
            </w:r>
          </w:p>
        </w:tc>
        <w:tc>
          <w:tcPr>
            <w:tcW w:type="dxa" w:w="124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第1-3周</w:t>
            </w:r>
          </w:p>
        </w:tc>
      </w:tr>
      <w:tr>
        <w:trPr>
          <w:cantSplit/>
        </w:trPr>
        <w:tc>
          <w:tcPr>
            <w:tcW w:type="dxa" w:w="96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DOC-03</w:t>
            </w:r>
          </w:p>
        </w:tc>
        <w:tc>
          <w:tcPr>
            <w:tcW w:type="dxa" w:w="28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产品组合与商业模式设计</w:t>
            </w:r>
          </w:p>
        </w:tc>
        <w:tc>
          <w:tcPr>
            <w:tcW w:type="dxa" w:w="402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确定产品阶梯、渠道、定价假设和单位经济</w:t>
            </w:r>
          </w:p>
        </w:tc>
        <w:tc>
          <w:tcPr>
            <w:tcW w:type="dxa" w:w="124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调研后</w:t>
            </w:r>
          </w:p>
        </w:tc>
      </w:tr>
      <w:tr>
        <w:trPr>
          <w:cantSplit/>
        </w:trPr>
        <w:tc>
          <w:tcPr>
            <w:tcW w:type="dxa" w:w="96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DOC-04</w:t>
            </w:r>
          </w:p>
        </w:tc>
        <w:tc>
          <w:tcPr>
            <w:tcW w:type="dxa" w:w="28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PRD：嵌入式知识产品MVP</w:t>
            </w:r>
          </w:p>
        </w:tc>
        <w:tc>
          <w:tcPr>
            <w:tcW w:type="dxa" w:w="402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指导首个嵌入式产品开发与验收</w:t>
            </w:r>
          </w:p>
        </w:tc>
        <w:tc>
          <w:tcPr>
            <w:tcW w:type="dxa" w:w="124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第3-6周</w:t>
            </w:r>
          </w:p>
        </w:tc>
      </w:tr>
      <w:tr>
        <w:trPr>
          <w:cantSplit/>
        </w:trPr>
        <w:tc>
          <w:tcPr>
            <w:tcW w:type="dxa" w:w="96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DOC-05</w:t>
            </w:r>
          </w:p>
        </w:tc>
        <w:tc>
          <w:tcPr>
            <w:tcW w:type="dxa" w:w="28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PRD：摄影数字产品MVP</w:t>
            </w:r>
          </w:p>
        </w:tc>
        <w:tc>
          <w:tcPr>
            <w:tcW w:type="dxa" w:w="402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指导首个摄影产品开发与验收</w:t>
            </w:r>
          </w:p>
        </w:tc>
        <w:tc>
          <w:tcPr>
            <w:tcW w:type="dxa" w:w="124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第3-6周</w:t>
            </w:r>
          </w:p>
        </w:tc>
      </w:tr>
      <w:tr>
        <w:trPr>
          <w:cantSplit/>
        </w:trPr>
        <w:tc>
          <w:tcPr>
            <w:tcW w:type="dxa" w:w="96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DOC-06</w:t>
            </w:r>
          </w:p>
        </w:tc>
        <w:tc>
          <w:tcPr>
            <w:tcW w:type="dxa" w:w="28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渠道上线与内容运营方案</w:t>
            </w:r>
          </w:p>
        </w:tc>
        <w:tc>
          <w:tcPr>
            <w:tcW w:type="dxa" w:w="402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安排B站/小红书/抖音/闲鱼的角色和内容节奏</w:t>
            </w:r>
          </w:p>
        </w:tc>
        <w:tc>
          <w:tcPr>
            <w:tcW w:type="dxa" w:w="124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第4周起</w:t>
            </w:r>
          </w:p>
        </w:tc>
      </w:tr>
      <w:tr>
        <w:trPr>
          <w:cantSplit/>
        </w:trPr>
        <w:tc>
          <w:tcPr>
            <w:tcW w:type="dxa" w:w="96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DOC-07</w:t>
            </w:r>
          </w:p>
        </w:tc>
        <w:tc>
          <w:tcPr>
            <w:tcW w:type="dxa" w:w="28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90天执行计划与SOP</w:t>
            </w:r>
          </w:p>
        </w:tc>
        <w:tc>
          <w:tcPr>
            <w:tcW w:type="dxa" w:w="402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按周执行、复盘、决策和处理异常</w:t>
            </w:r>
          </w:p>
        </w:tc>
        <w:tc>
          <w:tcPr>
            <w:tcW w:type="dxa" w:w="124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持续使用</w:t>
            </w:r>
          </w:p>
        </w:tc>
      </w:tr>
      <w:tr>
        <w:trPr>
          <w:cantSplit/>
        </w:trPr>
        <w:tc>
          <w:tcPr>
            <w:tcW w:type="dxa" w:w="96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DOC-08</w:t>
            </w:r>
          </w:p>
        </w:tc>
        <w:tc>
          <w:tcPr>
            <w:tcW w:type="dxa" w:w="28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版权合规与风险控制手册</w:t>
            </w:r>
          </w:p>
        </w:tc>
        <w:tc>
          <w:tcPr>
            <w:tcW w:type="dxa" w:w="402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发布前审核权利、平台、隐私和售后风险</w:t>
            </w:r>
          </w:p>
        </w:tc>
        <w:tc>
          <w:tcPr>
            <w:tcW w:type="dxa" w:w="124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每次发布前</w:t>
            </w:r>
          </w:p>
        </w:tc>
      </w:tr>
      <w:tr>
        <w:trPr>
          <w:cantSplit/>
        </w:trPr>
        <w:tc>
          <w:tcPr>
            <w:tcW w:type="dxa" w:w="96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XLS-01</w:t>
            </w:r>
          </w:p>
        </w:tc>
        <w:tc>
          <w:tcPr>
            <w:tcW w:type="dxa" w:w="28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执行管理看板</w:t>
            </w:r>
          </w:p>
        </w:tc>
        <w:tc>
          <w:tcPr>
            <w:tcW w:type="dxa" w:w="402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任务、KPI、内容、调研、实验、收入和风险跟踪</w:t>
            </w:r>
          </w:p>
        </w:tc>
        <w:tc>
          <w:tcPr>
            <w:tcW w:type="dxa" w:w="124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每周更新</w:t>
            </w:r>
          </w:p>
        </w:tc>
      </w:tr>
    </w:tbl>
    <w:p/>
    <w:p>
      <w:pPr>
        <w:pStyle w:val="Heading1"/>
      </w:pPr>
      <w:r>
        <w:t>3. 项目边界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允许：原创课程、原创代码、原创文档、原创照片与预设、取得商业授权的素材、合规使用的开源组件、技术咨询与适配服务。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谨慎：使用公司任职期间完成的代码、使用客户工程、引用第三方源码、使用免费字体/照片/音乐、提供远程调试。必须先确认权利与许可证。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禁止：盗版网课、破解软件、激活工具、共享账号、未经许可的源码/电子书/插件/预设、绕平台风控、自动批量私信、虚假宣传和无法验证的“永久更新”。</w:t>
      </w:r>
    </w:p>
    <w:p>
      <w:pPr>
        <w:pStyle w:val="Heading1"/>
      </w:pPr>
      <w:r>
        <w:t>4. 标准阶段门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17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阶段门</w:t>
            </w:r>
          </w:p>
        </w:tc>
        <w:tc>
          <w:tcPr>
            <w:tcW w:type="dxa" w:w="3515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要完成的工作</w:t>
            </w:r>
          </w:p>
        </w:tc>
        <w:tc>
          <w:tcPr>
            <w:tcW w:type="dxa" w:w="4139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141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G0 立项</w:t>
            </w:r>
          </w:p>
        </w:tc>
        <w:tc>
          <w:tcPr>
            <w:tcW w:type="dxa" w:w="351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确认时间预算、产品线和合规红线</w:t>
            </w:r>
          </w:p>
        </w:tc>
        <w:tc>
          <w:tcPr>
            <w:tcW w:type="dxa" w:w="4139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每周可投入≥8小时；不依赖盗版资源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G1 问题验证</w:t>
            </w:r>
          </w:p>
        </w:tc>
        <w:tc>
          <w:tcPr>
            <w:tcW w:type="dxa" w:w="351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完成用户访谈和竞品抽样</w:t>
            </w:r>
          </w:p>
        </w:tc>
        <w:tc>
          <w:tcPr>
            <w:tcW w:type="dxa" w:w="4139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每条产品线至少10名合格访谈；≥60%确认真实痛点</w:t>
            </w:r>
          </w:p>
        </w:tc>
      </w:tr>
      <w:tr>
        <w:trPr>
          <w:cantSplit/>
        </w:trPr>
        <w:tc>
          <w:tcPr>
            <w:tcW w:type="dxa" w:w="141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G2 付费验证</w:t>
            </w:r>
          </w:p>
        </w:tc>
        <w:tc>
          <w:tcPr>
            <w:tcW w:type="dxa" w:w="351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用预售或小规模服务验证价格</w:t>
            </w:r>
          </w:p>
        </w:tc>
        <w:tc>
          <w:tcPr>
            <w:tcW w:type="dxa" w:w="4139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至少5个真实付费订单或明确拒绝原因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G3 MVP验收</w:t>
            </w:r>
          </w:p>
        </w:tc>
        <w:tc>
          <w:tcPr>
            <w:tcW w:type="dxa" w:w="351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产品可用、可交付、可支持</w:t>
            </w:r>
          </w:p>
        </w:tc>
        <w:tc>
          <w:tcPr>
            <w:tcW w:type="dxa" w:w="4139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验收项100%通过；无高风险版权缺口</w:t>
            </w:r>
          </w:p>
        </w:tc>
      </w:tr>
      <w:tr>
        <w:trPr>
          <w:cantSplit/>
        </w:trPr>
        <w:tc>
          <w:tcPr>
            <w:tcW w:type="dxa" w:w="141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G4 上线</w:t>
            </w:r>
          </w:p>
        </w:tc>
        <w:tc>
          <w:tcPr>
            <w:tcW w:type="dxa" w:w="351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完成商品页、内容、客服和交付SOP</w:t>
            </w:r>
          </w:p>
        </w:tc>
        <w:tc>
          <w:tcPr>
            <w:tcW w:type="dxa" w:w="4139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支付、交付、退款、版本记录均可追溯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G5 扩张</w:t>
            </w:r>
          </w:p>
        </w:tc>
        <w:tc>
          <w:tcPr>
            <w:tcW w:type="dxa" w:w="351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复制有效渠道和产品</w:t>
            </w:r>
          </w:p>
        </w:tc>
        <w:tc>
          <w:tcPr>
            <w:tcW w:type="dxa" w:w="4139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连续4周贡献毛利为正，售后时间可控</w:t>
            </w:r>
          </w:p>
        </w:tc>
      </w:tr>
    </w:tbl>
    <w:p/>
    <w:p>
      <w:pPr>
        <w:pStyle w:val="Heading1"/>
      </w:pPr>
      <w:r>
        <w:t>5. 默认资源与预算假设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803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默认假设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人员</w:t>
            </w:r>
          </w:p>
        </w:tc>
        <w:tc>
          <w:tcPr>
            <w:tcW w:type="dxa" w:w="6803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个人主理；Codex辅助；必要时采购设计/法务审阅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硬件</w:t>
            </w:r>
          </w:p>
        </w:tc>
        <w:tc>
          <w:tcPr>
            <w:tcW w:type="dxa" w:w="6803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现有Windows电脑与RTX 4070 Super，嵌入式开发板和摄影器材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初始现金预算</w:t>
            </w:r>
          </w:p>
        </w:tc>
        <w:tc>
          <w:tcPr>
            <w:tcW w:type="dxa" w:w="6803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0-3000元，优先用于样品、存储备份、域名/工具与必要授权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时间预算</w:t>
            </w:r>
          </w:p>
        </w:tc>
        <w:tc>
          <w:tcPr>
            <w:tcW w:type="dxa" w:w="6803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每周8-12小时；90天形成两个MVP和稳定发布节奏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收入目标</w:t>
            </w:r>
          </w:p>
        </w:tc>
        <w:tc>
          <w:tcPr>
            <w:tcW w:type="dxa" w:w="6803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先验证10-30个真实付费订单，不把“月入”作为首轮成功标准</w:t>
            </w:r>
          </w:p>
        </w:tc>
      </w:tr>
    </w:tbl>
    <w:p/>
    <w:p>
      <w:pPr>
        <w:pStyle w:val="Heading1"/>
      </w:pPr>
      <w:r>
        <w:t>6. 每周使用方式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周一：打开执行看板，确认本周唯一最高优先级结果。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周三：检查访谈、开发、内容和合规阻塞项。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周五：更新KPI、实验结果、收入成本和风险登记。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周日：根据DOC-07的决策规则决定继续、调整、暂停或下架。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66666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color w:val="666666"/>
        <w:sz w:val="16"/>
      </w:rPr>
      <w:t>Jovi 嵌入式与摄影数字产品项目  |  DOC-00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198" w:right="198"/>
    </w:pPr>
    <w:rPr>
      <w:rFonts w:ascii="Noto Sans CJK SC" w:hAnsi="Noto Sans CJK SC" w:eastAsia="Noto Sans CJK S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00_项目总览与文档索引</dc:title>
  <dc:subject>Jovi 嵌入式与摄影数字产品项目</dc:subject>
  <dc:creator/>
  <cp:keywords/>
  <dc:description>Generated for Jovi project planning.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