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项目初衷</w:t>
      </w:r>
    </w:p>
    <w:p>
      <w:r>
        <w:rPr>
          <w:rFonts w:ascii="Noto Sans CJK SC" w:hAnsi="Noto Sans CJK SC" w:eastAsia="Noto Sans CJK SC"/>
          <w:sz w:val="21"/>
        </w:rPr>
        <w:t>用户希望家中电脑在无人持续控制时，由Codex完成调研、产品开发、测试、文档和内容草稿，减少重复工作并形成收入。工程不追求未经监管的自动交易，而是把可验证的生产环节自动化，把账号、承诺、支付和争议保留给用户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用户优势与产品方向</w:t>
      </w:r>
    </w:p>
    <w:p>
      <w:r>
        <w:rPr>
          <w:rFonts w:ascii="Noto Sans CJK SC" w:hAnsi="Noto Sans CJK SC" w:eastAsia="Noto Sans CJK SC"/>
          <w:sz w:val="21"/>
        </w:rPr>
        <w:t>用户是嵌入式工程师，优势包括STM32/GD32、FreeRTOS、Modbus、4G、MQTT、OTA、Bootloader、HardFault和状态机。摄影是第二产品线，必须使用用户原创且权利清晰的素材。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首个嵌入式MVP</w:t>
      </w:r>
    </w:p>
    <w:p>
      <w:r>
        <w:rPr>
          <w:rFonts w:ascii="Noto Sans CJK SC" w:hAnsi="Noto Sans CJK SC" w:eastAsia="Noto Sans CJK SC"/>
          <w:sz w:val="21"/>
        </w:rPr>
        <w:t>首个产品为“Modbus RTU诊断与模板工具包”。V3.0已经预制主机侧Alpha：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十六进制帧解析；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CRC16/Modbus；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FC03、FC04、FC06、FC16；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异常码；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CLI；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12项标准库单元测试；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SBOM、第三方声明和Alpha打包。</w:t>
      </w:r>
    </w:p>
    <w:p>
      <w:r>
        <w:rPr>
          <w:rFonts w:ascii="Noto Sans CJK SC" w:hAnsi="Noto Sans CJK SC" w:eastAsia="Noto Sans CJK SC"/>
          <w:sz w:val="21"/>
        </w:rPr>
        <w:t>板级工程等待用户明确MCU、开发板和工具链。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摄影MVP</w:t>
      </w:r>
    </w:p>
    <w:p>
      <w:r>
        <w:rPr>
          <w:rFonts w:ascii="Noto Sans CJK SC" w:hAnsi="Noto Sans CJK SC" w:eastAsia="Noto Sans CJK SC"/>
          <w:sz w:val="21"/>
        </w:rPr>
        <w:t>“金鸡湖城市风光调色与机位工具包”包括原创XMP、练习RAW、原片与成片、调色视频和机位指南。没有原创素材时不阻塞嵌入式主线。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渠道结论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主渠道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成交渠道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嵌入式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B站、抖音、小红书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闲鱼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技术信任、故障演示、搜索图文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摄影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小红书、抖音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闲鱼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视觉结果和原创工具包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微博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同步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非主成交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低投入维护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6. 知识和资源销售边界</w:t>
      </w:r>
    </w:p>
    <w:p>
      <w:r>
        <w:rPr>
          <w:rFonts w:ascii="Noto Sans CJK SC" w:hAnsi="Noto Sans CJK SC" w:eastAsia="Noto Sans CJK SC"/>
          <w:sz w:val="21"/>
        </w:rPr>
        <w:t>不卖资料数量，卖经过验证的结果。禁止未经授权的课程、破解软件、共享账号、他人预设、公司代码和权利不明源码。允许原创产品、明确商业授权资源、合规开源组件和官方免费软件的配置服务。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技术与科研路线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核心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Codex、项目AGENTS、Skill和Hook；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轻量变更记录，较大产品可使用Spec Kit；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Promptfoo、Gitleaks、Trivy和MkDocs；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Track I按需部署n8n、PostgreSQL和changedetection。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嵌入式增强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主机侧Python测试；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Ceedling、Unity和CMock；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PlatformIO跨平台构建；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Renode在目标SoC支持时做虚拟板级测试。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研究和供应链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Docling处理有权使用的本地文档；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PaperQA2用于文献密集研究；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Syft生成SBOM；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Cosign在稳定发布后签名；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OpenClaw、Langfuse和视频工具延后。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方法论参考</w:t>
      </w:r>
    </w:p>
    <w:p>
      <w:r>
        <w:rPr>
          <w:rFonts w:ascii="Noto Sans CJK SC" w:hAnsi="Noto Sans CJK SC" w:eastAsia="Noto Sans CJK SC"/>
          <w:sz w:val="21"/>
        </w:rPr>
        <w:t>OpenSpec、BMAD、Superpowers和12-Factor Agents只借鉴规格、TDD、调试、状态和人工介入原则，不在首期同时安装多套总控框架。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调研冻结</w:t>
      </w:r>
    </w:p>
    <w:p>
      <w:r>
        <w:rPr>
          <w:rFonts w:ascii="Noto Sans CJK SC" w:hAnsi="Noto Sans CJK SC" w:eastAsia="Noto Sans CJK SC"/>
          <w:sz w:val="21"/>
        </w:rPr>
        <w:t>渠道、MVP、架构和大范围选型已冻结。Codex只刷新易变化的Release、Security、License、平台规则和本机事实。详细策略见：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context/06_RESEARCH_FREEZE_POLICY.md</w:t>
        <w:br/>
        <w:t>sources/technology_route_review_2026-07-12.md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项目初衷 需求PRD与科研复核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