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30"/>
        </w:rPr>
        <w:t>1. 接入决策</w:t>
      </w:r>
    </w:p>
    <w:p>
      <w:r>
        <w:rPr>
          <w:rFonts w:ascii="Noto Sans CJK SC" w:hAnsi="Noto Sans CJK SC" w:eastAsia="Noto Sans CJK SC"/>
          <w:sz w:val="21"/>
        </w:rPr>
        <w:t>选择将</w:t>
      </w:r>
      <w:r>
        <w:rPr>
          <w:rFonts w:ascii="Noto Sans Mono CJK SC" w:hAnsi="Noto Sans Mono CJK SC" w:eastAsia="Noto Sans Mono CJK SC"/>
          <w:sz w:val="19"/>
        </w:rPr>
        <w:t>E:\project\xianyu-auto-reply</w:t>
      </w:r>
      <w:r>
        <w:rPr>
          <w:rFonts w:ascii="Noto Sans CJK SC" w:hAnsi="Noto Sans CJK SC" w:eastAsia="Noto Sans CJK SC"/>
          <w:sz w:val="21"/>
        </w:rPr>
        <w:t>作为独立执行适配器，不平行开发第二套后台，不合并源码和数据库，不让Jovi直接写闲鱼SQLite。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2. 已知能力</w:t>
      </w:r>
    </w:p>
    <w:p>
      <w:r>
        <w:rPr>
          <w:rFonts w:ascii="Noto Sans CJK SC" w:hAnsi="Noto Sans CJK SC" w:eastAsia="Noto Sans CJK SC"/>
          <w:sz w:val="21"/>
        </w:rPr>
        <w:t>上游项目基于FastAPI、SQLite、Playwright/DrissionPage和Docker Compose，具备多账号、关键词回复、AI回复、自动发货、商品、订单、日志和健康检查等能力。</w:t>
      </w:r>
    </w:p>
    <w:p>
      <w:r>
        <w:rPr>
          <w:rFonts w:ascii="Noto Sans CJK SC" w:hAnsi="Noto Sans CJK SC" w:eastAsia="Noto Sans CJK SC"/>
          <w:sz w:val="21"/>
        </w:rPr>
        <w:t>本地实际版本、修改和配置只能由X0审计确认。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3. 上游基线风险</w:t>
      </w:r>
    </w:p>
    <w:p>
      <w:r>
        <w:rPr>
          <w:rFonts w:ascii="Noto Sans CJK SC" w:hAnsi="Noto Sans CJK SC" w:eastAsia="Noto Sans CJK SC"/>
          <w:sz w:val="21"/>
        </w:rPr>
        <w:t>公开Compose曾出现：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9000、5900和6080非本机限定；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root容器和整个源码读写挂载；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默认管理员密码和JWT示例；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自动回复和发货默认开启；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VNC、远程滑块或后备验证能力；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9"/>
        </w:rPr>
        <w:t>latest</w:t>
      </w:r>
      <w:r>
        <w:rPr>
          <w:rFonts w:ascii="Noto Sans CJK SC" w:hAnsi="Noto Sans CJK SC" w:eastAsia="Noto Sans CJK SC"/>
          <w:sz w:val="21"/>
        </w:rPr>
        <w:t>镜像。</w:t>
      </w:r>
    </w:p>
    <w:p>
      <w:r>
        <w:rPr>
          <w:rFonts w:ascii="Noto Sans CJK SC" w:hAnsi="Noto Sans CJK SC" w:eastAsia="Noto Sans CJK SC"/>
          <w:sz w:val="21"/>
        </w:rPr>
        <w:t>这些是上游基线，不等于本地事实。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4. X0隐私审计</w:t>
      </w:r>
    </w:p>
    <w:p>
      <w:r>
        <w:rPr>
          <w:rFonts w:ascii="Noto Sans CJK SC" w:hAnsi="Noto Sans CJK SC" w:eastAsia="Noto Sans CJK SC"/>
          <w:sz w:val="21"/>
        </w:rPr>
        <w:t>X0允许：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HEAD、分支、工作区状态数量和状态码；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严格短版本号；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Compose风险布尔值、端口、镜像和环境变量名；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容器状态、健康和OpenAPI路径/方法。</w:t>
      </w:r>
    </w:p>
    <w:p>
      <w:r>
        <w:rPr>
          <w:rFonts w:ascii="Noto Sans CJK SC" w:hAnsi="Noto Sans CJK SC" w:eastAsia="Noto Sans CJK SC"/>
          <w:sz w:val="21"/>
        </w:rPr>
        <w:t>X0不允许：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输出Git变更路径；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打开、哈希或列出SQLite文件名；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读取Cookie、买家消息、卡密和Profile；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输出配置值；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启停容器或调用写接口。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5. X0-X4阶段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52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</w:t>
            </w:r>
          </w:p>
        </w:tc>
        <w:tc>
          <w:tcPr>
            <w:tcW w:type="dxa" w:w="252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</w:t>
            </w:r>
          </w:p>
        </w:tc>
        <w:tc>
          <w:tcPr>
            <w:tcW w:type="dxa" w:w="252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退出条件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X0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脱敏只读事实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修改和秘密内容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审计报告</w:t>
            </w:r>
          </w:p>
        </w:tc>
      </w:tr>
      <w:tr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X1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Jovi目录中的并行加固提案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覆盖或重启闲鱼工程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提案SHA256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X2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虚构商品、消息、订单和空交付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真实账号和真实写动作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正负向测试通过</w:t>
            </w:r>
          </w:p>
        </w:tc>
      </w:tr>
      <w:tr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X3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固定回复候选，用户手工启用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生成式AI直接发送</w:t>
            </w:r>
          </w:p>
        </w:tc>
        <w:tc>
          <w:tcPr>
            <w:tcW w:type="dxa" w:w="252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小范围观察和停用验证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X4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单个原创SKU，用户手工启用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权利不明和批量资源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幂等、退款和回滚验证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30"/>
        </w:rPr>
        <w:t>6. 文件契约</w:t>
      </w:r>
    </w:p>
    <w:p>
      <w:r>
        <w:rPr>
          <w:rFonts w:ascii="Noto Sans CJK SC" w:hAnsi="Noto Sans CJK SC" w:eastAsia="Noto Sans CJK SC"/>
          <w:sz w:val="21"/>
        </w:rPr>
        <w:t>候选包包含：</w:t>
      </w:r>
    </w:p>
    <w:p>
      <w:pPr>
        <w:spacing w:before="60" w:after="120"/>
        <w:ind w:left="259" w:right="259"/>
        <w:shd w:fill="F3F6F9"/>
      </w:pPr>
      <w:r>
        <w:rPr>
          <w:rFonts w:ascii="Noto Sans Mono CJK SC" w:hAnsi="Noto Sans Mono CJK SC" w:eastAsia="Noto Sans Mono CJK SC"/>
          <w:sz w:val="17"/>
        </w:rPr>
        <w:t>bundle.json</w:t>
        <w:br/>
        <w:t>listing_draft.md</w:t>
        <w:br/>
        <w:t>reply_rules.json</w:t>
        <w:br/>
        <w:t>delivery_catalog.json</w:t>
        <w:br/>
        <w:t>rights_evidence/</w:t>
        <w:br/>
        <w:t>test_report.md</w:t>
        <w:br/>
        <w:t>manifest.sha256.json</w:t>
        <w:br/>
        <w:t>package.sha256.txt</w:t>
      </w:r>
    </w:p>
    <w:p>
      <w:r>
        <w:rPr>
          <w:rFonts w:ascii="Noto Sans CJK SC" w:hAnsi="Noto Sans CJK SC" w:eastAsia="Noto Sans CJK SC"/>
          <w:sz w:val="21"/>
        </w:rPr>
        <w:t>外部动作必须全部为false，批准回执与候选包分离。任何文件变化、缺失或新增未列文件都会使批准失效。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7. AI回复策略</w:t>
      </w:r>
    </w:p>
    <w:p>
      <w:r>
        <w:rPr>
          <w:rFonts w:ascii="Noto Sans CJK SC" w:hAnsi="Noto Sans CJK SC" w:eastAsia="Noto Sans CJK SC"/>
          <w:sz w:val="21"/>
        </w:rPr>
        <w:t>只允许支持范围、所需资料、工作时间、购买前须知和固定FAQ候选。报价、议价、工期、投诉、退款、争议、高风险问题和站外联系必须转人工。</w:t>
      </w:r>
    </w:p>
    <w:p>
      <w:r>
        <w:rPr>
          <w:rFonts w:ascii="Noto Sans CJK SC" w:hAnsi="Noto Sans CJK SC" w:eastAsia="Noto Sans CJK SC"/>
          <w:sz w:val="21"/>
        </w:rPr>
        <w:t>X3前必须通过Promptfoo合成评测。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8. 许可证和平台</w:t>
      </w:r>
    </w:p>
    <w:p>
      <w:r>
        <w:rPr>
          <w:rFonts w:ascii="Noto Sans CJK SC" w:hAnsi="Noto Sans CJK SC" w:eastAsia="Noto Sans CJK SC"/>
          <w:sz w:val="21"/>
        </w:rPr>
        <w:t>上游License为AGPL-3.0，README另有学习研究提示。真实商业使用前必须澄清许可证和源码义务，并重新核验当前闲鱼平台规则。</w:t>
      </w:r>
    </w:p>
    <w:p>
      <w:r>
        <w:rPr>
          <w:rFonts w:ascii="Noto Sans CJK SC" w:hAnsi="Noto Sans CJK SC" w:eastAsia="Noto Sans CJK SC"/>
          <w:sz w:val="21"/>
        </w:rPr>
        <w:t>不通过改名、拆分目录或服务隔离规避义务。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9. 风控与紧急停止</w:t>
      </w:r>
    </w:p>
    <w:p>
      <w:r>
        <w:rPr>
          <w:rFonts w:ascii="Noto Sans CJK SC" w:hAnsi="Noto Sans CJK SC" w:eastAsia="Noto Sans CJK SC"/>
          <w:sz w:val="21"/>
        </w:rPr>
        <w:t>本工程不实现验证码、滑块、人脸、设备指纹或平台风控绕过。出现验证时由用户按正常平台流程处理。</w:t>
      </w:r>
    </w:p>
    <w:p>
      <w:r>
        <w:rPr>
          <w:rFonts w:ascii="Noto Sans CJK SC" w:hAnsi="Noto Sans CJK SC" w:eastAsia="Noto Sans CJK SC"/>
          <w:sz w:val="21"/>
        </w:rPr>
        <w:t>发生误回复、错误发货、隐私或账号异常时：用户先关闭Web后台开关，必要时停止容器，保留脱敏现场，不清理数据库、日志或浏览器Profile，完成根因分析后再恢复。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本地优先 · 可审计 · 分阶段批准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Jovi Automation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闲鱼本地系统接入方案</dc:title>
  <dc:subject>Jovi Automation final handoff documentation</dc:subject>
  <dc:creator>Jovi</dc:creator>
  <cp:keywords/>
  <dc:description>Generated from the Markdown source in this package.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