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sz w:val="30"/>
        </w:rPr>
        <w:t>1. Codex总原则</w:t>
      </w:r>
    </w:p>
    <w:p>
      <w:r>
        <w:rPr>
          <w:rFonts w:ascii="Noto Sans CJK SC" w:hAnsi="Noto Sans CJK SC" w:eastAsia="Noto Sans CJK SC"/>
          <w:sz w:val="21"/>
        </w:rPr>
        <w:t>Codex使用包内上下文，不重新进行广泛调研。每个阶段先读取当前状态、验证回执、执行限定范围、生成证据、更新状态并停止。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2. Phase 0/A/X0</w:t>
      </w:r>
    </w:p>
    <w:p>
      <w:r>
        <w:rPr>
          <w:rFonts w:ascii="Noto Sans CJK SC" w:hAnsi="Noto Sans CJK SC" w:eastAsia="Noto Sans CJK SC"/>
          <w:sz w:val="21"/>
        </w:rPr>
        <w:t>第一次只运行：</w:t>
      </w:r>
    </w:p>
    <w:p>
      <w:pPr>
        <w:spacing w:before="60" w:after="120"/>
        <w:ind w:left="259" w:right="259"/>
        <w:shd w:fill="F3F6F9"/>
      </w:pPr>
      <w:r>
        <w:rPr>
          <w:rFonts w:ascii="Noto Sans Mono CJK SC" w:hAnsi="Noto Sans Mono CJK SC" w:eastAsia="Noto Sans Mono CJK SC"/>
          <w:sz w:val="17"/>
        </w:rPr>
        <w:t>.\scripts\00-run-readonly-audit.ps1 `</w:t>
        <w:br/>
        <w:t xml:space="preserve">  -XianyuRepoPath 'E:\project\xianyu-auto-reply'</w:t>
      </w:r>
    </w:p>
    <w:p>
      <w:r>
        <w:rPr>
          <w:rFonts w:ascii="Noto Sans CJK SC" w:hAnsi="Noto Sans CJK SC" w:eastAsia="Noto Sans CJK SC"/>
          <w:sz w:val="21"/>
        </w:rPr>
        <w:t>产物：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包验证和离线测试；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本机能力报告；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易变上游版本报告；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X0脱敏报告；</w:t>
      </w:r>
    </w:p>
    <w:p>
      <w:pPr>
        <w:pStyle w:val="ListBullet"/>
      </w:pPr>
      <w:r>
        <w:rPr>
          <w:rFonts w:ascii="Noto Sans Mono CJK SC" w:hAnsi="Noto Sans Mono CJK SC" w:eastAsia="Noto Sans Mono CJK SC"/>
          <w:sz w:val="19"/>
        </w:rPr>
        <w:t>GATE_A_PLAN.json</w:t>
      </w:r>
      <w:r>
        <w:rPr>
          <w:rFonts w:ascii="Noto Sans CJK SC" w:hAnsi="Noto Sans CJK SC" w:eastAsia="Noto Sans CJK SC"/>
          <w:sz w:val="21"/>
        </w:rPr>
        <w:t>和SHA256；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更新后的状态。</w:t>
      </w:r>
    </w:p>
    <w:p>
      <w:r>
        <w:rPr>
          <w:rFonts w:ascii="Noto Sans CJK SC" w:hAnsi="Noto Sans CJK SC" w:eastAsia="Noto Sans CJK SC"/>
          <w:sz w:val="21"/>
        </w:rPr>
        <w:t>完成后必须停止。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3. GATE_A分轨道</w:t>
      </w:r>
    </w:p>
    <w:p>
      <w:pPr>
        <w:spacing w:before="60" w:after="120"/>
        <w:ind w:left="259" w:right="259"/>
        <w:shd w:fill="F3F6F9"/>
      </w:pPr>
      <w:r>
        <w:rPr>
          <w:rFonts w:ascii="Noto Sans Mono CJK SC" w:hAnsi="Noto Sans Mono CJK SC" w:eastAsia="Noto Sans Mono CJK SC"/>
          <w:sz w:val="17"/>
        </w:rPr>
        <w:t>GATE_A.P → 产品快速轨道</w:t>
        <w:br/>
        <w:t>GATE_A.I → 基础设施轨道</w:t>
      </w:r>
    </w:p>
    <w:p>
      <w:r>
        <w:rPr>
          <w:rFonts w:ascii="Noto Sans CJK SC" w:hAnsi="Noto Sans CJK SC" w:eastAsia="Noto Sans CJK SC"/>
          <w:sz w:val="21"/>
        </w:rPr>
        <w:t>回执分别为：</w:t>
      </w:r>
    </w:p>
    <w:p>
      <w:pPr>
        <w:spacing w:before="60" w:after="120"/>
        <w:ind w:left="259" w:right="259"/>
        <w:shd w:fill="F3F6F9"/>
      </w:pPr>
      <w:r>
        <w:rPr>
          <w:rFonts w:ascii="Noto Sans Mono CJK SC" w:hAnsi="Noto Sans Mono CJK SC" w:eastAsia="Noto Sans Mono CJK SC"/>
          <w:sz w:val="17"/>
        </w:rPr>
        <w:t>workspace/approvals/GATE_A.P.approval.json</w:t>
        <w:br/>
        <w:t>workspace/approvals/GATE_A.I.approval.json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4. Track P</w:t>
      </w:r>
    </w:p>
    <w:p>
      <w:r>
        <w:rPr>
          <w:rFonts w:ascii="Noto Sans CJK SC" w:hAnsi="Noto Sans CJK SC" w:eastAsia="Noto Sans CJK SC"/>
          <w:sz w:val="21"/>
        </w:rPr>
        <w:t>前置：验证Track P回执。</w:t>
      </w:r>
    </w:p>
    <w:p>
      <w:r>
        <w:rPr>
          <w:rFonts w:ascii="Noto Sans CJK SC" w:hAnsi="Noto Sans CJK SC" w:eastAsia="Noto Sans CJK SC"/>
          <w:sz w:val="21"/>
        </w:rPr>
        <w:t>使用现有</w:t>
      </w:r>
      <w:r>
        <w:rPr>
          <w:rFonts w:ascii="Noto Sans Mono CJK SC" w:hAnsi="Noto Sans Mono CJK SC" w:eastAsia="Noto Sans Mono CJK SC"/>
          <w:sz w:val="19"/>
        </w:rPr>
        <w:t>products/modbus-rtu-toolkit/</w:t>
      </w:r>
      <w:r>
        <w:rPr>
          <w:rFonts w:ascii="Noto Sans CJK SC" w:hAnsi="Noto Sans CJK SC" w:eastAsia="Noto Sans CJK SC"/>
          <w:sz w:val="21"/>
        </w:rPr>
        <w:t>，执行：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单元测试和CLI示例；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代码、规格、SBOM和许可证审查；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补充真实报文和错误测试；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构建Alpha ZIP、SHA256和报告；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生成访谈、商品和内容草稿；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写入review-queue；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更新状态并停止。</w:t>
      </w:r>
    </w:p>
    <w:p>
      <w:r>
        <w:rPr>
          <w:rFonts w:ascii="Noto Sans CJK SC" w:hAnsi="Noto Sans CJK SC" w:eastAsia="Noto Sans CJK SC"/>
          <w:sz w:val="21"/>
        </w:rPr>
        <w:t>不启动Docker，不修改闲鱼工程，不做板级猜测。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5. Track I</w:t>
      </w:r>
    </w:p>
    <w:p>
      <w:r>
        <w:rPr>
          <w:rFonts w:ascii="Noto Sans CJK SC" w:hAnsi="Noto Sans CJK SC" w:eastAsia="Noto Sans CJK SC"/>
          <w:sz w:val="21"/>
        </w:rPr>
        <w:t>前置：验证Track I回执。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刷新正式Release并锁定镜像Tag/RepoDigest；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用户审阅</w:t>
      </w:r>
      <w:r>
        <w:rPr>
          <w:rFonts w:ascii="Noto Sans Mono CJK SC" w:hAnsi="Noto Sans Mono CJK SC" w:eastAsia="Noto Sans Mono CJK SC"/>
          <w:sz w:val="19"/>
        </w:rPr>
        <w:t>.env</w:t>
      </w:r>
      <w:r>
        <w:rPr>
          <w:rFonts w:ascii="Noto Sans CJK SC" w:hAnsi="Noto Sans CJK SC" w:eastAsia="Noto Sans CJK SC"/>
          <w:sz w:val="21"/>
        </w:rPr>
        <w:t>并输入秘密；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启动PostgreSQL和n8n；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健康检查和本机端口检查；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备份数据库、n8n数据和加密密钥；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隔离临时恢复；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按需启用changedetection；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生成报告并停止。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6. X1/X2</w:t>
      </w:r>
    </w:p>
    <w:p>
      <w:r>
        <w:rPr>
          <w:rFonts w:ascii="Noto Sans CJK SC" w:hAnsi="Noto Sans CJK SC" w:eastAsia="Noto Sans CJK SC"/>
          <w:sz w:val="21"/>
        </w:rPr>
        <w:t>X1只在Jovi报告目录生成并行加固提案，不覆盖闲鱼文件。X2只用合成数据运行候选包和AI回复正负向测试。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7. X3/X4</w:t>
      </w:r>
    </w:p>
    <w:p>
      <w:r>
        <w:rPr>
          <w:rFonts w:ascii="Noto Sans CJK SC" w:hAnsi="Noto Sans CJK SC" w:eastAsia="Noto Sans CJK SC"/>
          <w:sz w:val="21"/>
        </w:rPr>
        <w:t>Codex只生成固定回复和单SKU导入候选。用户本人在闲鱼后台启用；Codex不能代替用户点击、调用写API或修改数据库。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8. 研究和内容</w:t>
      </w:r>
    </w:p>
    <w:p>
      <w:r>
        <w:rPr>
          <w:rFonts w:ascii="Noto Sans CJK SC" w:hAnsi="Noto Sans CJK SC" w:eastAsia="Noto Sans CJK SC"/>
          <w:sz w:val="21"/>
        </w:rPr>
        <w:t>公开研究任务只输出带来源的证据卡和审核草稿。Docling和PaperQA2仅处理用户有权处理的材料。内容和视频都先进入review-queue，不自动发布。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9. 报告格式</w:t>
      </w:r>
    </w:p>
    <w:p>
      <w:r>
        <w:rPr>
          <w:rFonts w:ascii="Noto Sans CJK SC" w:hAnsi="Noto Sans CJK SC" w:eastAsia="Noto Sans CJK SC"/>
          <w:sz w:val="21"/>
        </w:rPr>
        <w:t>每阶段报告包含范围、输入、版本、命令、结果、失败、风险、许可证、变更、测试、回滚、证据、计划SHA256和停止点。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79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本地优先 · 可审计 · 分阶段批准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Jovi Automation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62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Codex分阶段部署执行书</dc:title>
  <dc:subject>Jovi Automation final handoff documentation</dc:subject>
  <dc:creator>Jovi</dc:creator>
  <cp:keywords/>
  <dc:description>Generated from the Markdown source in this package.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