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officeDocument/2006/relationships/officeDocument" Target="word/document.xml"></Relationship>
  <Relationship Id="rId2" Type="http://schemas.openxmlformats.org/package/2006/relationships/metadata/core-properties" Target="docProps/core.xml"></Relationship>
  <Relationship Id="rId3" Type="http://schemas.openxmlformats.org/officeDocument/2006/relationships/extended-properties" Target="docProps/app.xml"></Relationship>
  <Relationship Id="rId4" Type="http://schemas.openxmlformats.org/officeDocument/2006/relationships/custom-properties" Target="docProps/custom.xml"></Relationship>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4596"/>
            </w:pPr>
          </w:p>
          <w:p>
            <w:pPr>
              <w:pBdr>
                <w:bottom w:val="single" w:color="37DCF2" w:sz="6" w:space="8"/>
              </w:pBdr>
              <w:spacing w:after="500"/>
              <w:ind w:left="1200" w:right="800"/>
            </w:pPr>
            <w:r>
              <w:rPr>
                <w:rFonts w:ascii="Calibri" w:eastAsia="SimHei"/>
                <w:color w:val="37DCF2"/>
                <w:spacing w:val="40"/>
                <w:sz w:val="18"/>
                <w:szCs w:val="18"/>
              </w:rPr>
              <w:t xml:space="preserve">P  R  D     v  2  .  0</w:t>
            </w:r>
          </w:p>
          <w:p>
            <w:pPr>
              <w:spacing w:after="300" w:line="920" w:lineRule="atLeast"/>
              <w:ind w:left="1200"/>
            </w:pPr>
            <w:r>
              <w:rPr>
                <w:rFonts w:ascii="Arial" w:eastAsia="SimHei"/>
                <w:b/>
                <w:bCs/>
                <w:color w:val="FFFFFF"/>
                <w:sz w:val="80"/>
                <w:szCs w:val="80"/>
              </w:rPr>
              <w:t xml:space="preserve">抖音视频知识归档系统</w:t>
            </w:r>
          </w:p>
          <w:p>
            <w:pPr>
              <w:spacing w:after="800"/>
              <w:ind w:left="1200"/>
            </w:pPr>
            <w:r>
              <w:rPr>
                <w:rFonts w:ascii="Arial" w:eastAsia="Microsoft YaHei"/>
                <w:color w:val="B0B8C0"/>
                <w:sz w:val="24"/>
                <w:szCs w:val="24"/>
              </w:rPr>
              <w:t xml:space="preserve">飞书bot→OpenClaw编排 / 字幕优先+GPU兜底 / 三层同步</w:t>
            </w:r>
          </w:p>
          <w:p>
            <w:pPr>
              <w:pBdr>
                <w:left w:val="single" w:color="37DCF2" w:sz="8" w:space="12"/>
              </w:pBdr>
              <w:spacing w:after="80"/>
              <w:ind w:left="1400"/>
            </w:pPr>
            <w:r>
              <w:rPr>
                <w:rFonts w:ascii="Arial" w:eastAsia="Microsoft YaHei"/>
                <w:color w:val="90989F"/>
                <w:sz w:val="24"/>
                <w:szCs w:val="24"/>
              </w:rPr>
              <w:t xml:space="preserve">文档版本：v2.0</w:t>
            </w:r>
          </w:p>
          <w:p>
            <w:pPr>
              <w:pBdr>
                <w:left w:val="single" w:color="37DCF2" w:sz="8" w:space="12"/>
              </w:pBdr>
              <w:spacing w:after="80"/>
              <w:ind w:left="1400"/>
            </w:pPr>
            <w:r>
              <w:rPr>
                <w:rFonts w:ascii="Arial" w:eastAsia="Microsoft YaHei"/>
                <w:color w:val="90989F"/>
                <w:sz w:val="24"/>
                <w:szCs w:val="24"/>
              </w:rPr>
              <w:t xml:space="preserve">发布日期：2026-06-19</w:t>
            </w:r>
          </w:p>
          <w:p>
            <w:pPr>
              <w:pBdr>
                <w:left w:val="single" w:color="37DCF2" w:sz="8" w:space="12"/>
              </w:pBdr>
              <w:spacing w:after="80"/>
              <w:ind w:left="1400"/>
            </w:pPr>
            <w:r>
              <w:rPr>
                <w:rFonts w:ascii="Arial" w:eastAsia="Microsoft YaHei"/>
                <w:color w:val="90989F"/>
                <w:sz w:val="24"/>
                <w:szCs w:val="24"/>
              </w:rPr>
              <w:t xml:space="preserve">硬件：PC + 4070s 12GB GPU</w:t>
            </w:r>
          </w:p>
          <w:p>
            <w:pPr>
              <w:pBdr>
                <w:left w:val="single" w:color="37DCF2" w:sz="8" w:space="12"/>
              </w:pBdr>
              <w:spacing w:after="80"/>
              <w:ind w:left="1400"/>
            </w:pPr>
            <w:r>
              <w:rPr>
                <w:rFonts w:ascii="Arial" w:eastAsia="Microsoft YaHei"/>
                <w:color w:val="90989F"/>
                <w:sz w:val="24"/>
                <w:szCs w:val="24"/>
              </w:rPr>
              <w:t xml:space="preserve">密级：个人使用</w:t>
            </w:r>
          </w:p>
          <w:p>
            <w:pPr>
              <w:spacing w:before="4596"/>
            </w:pPr>
          </w:p>
          <w:p>
            <w:pPr>
              <w:pBdr>
                <w:top w:val="single" w:color="37DCF2" w:sz="2" w:space="8"/>
              </w:pBdr>
              <w:spacing w:before="200"/>
              <w:ind w:left="1200" w:right="800"/>
            </w:pPr>
            <w:r>
              <w:rPr>
                <w:rFonts w:ascii="Arial"/>
                <w:color w:val="687078"/>
                <w:sz w:val="16"/>
                <w:szCs w:val="16"/>
              </w:rPr>
              <w:t xml:space="preserve">Product Requirements Document</w:t>
            </w:r>
            <w:r>
              <w:t xml:space="preserve">                                        </w:t>
            </w:r>
            <w:r>
              <w:rPr>
                <w:rFonts w:ascii="Arial"/>
                <w:color w:val="687078"/>
                <w:sz w:val="16"/>
                <w:szCs w:val="16"/>
              </w:rPr>
              <w:t xml:space="preserve">2026.06</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eastAsia="SimHei"/>
          <w:b/>
          <w:bCs/>
          <w:color w:val="0A1628"/>
          <w:sz w:val="36"/>
          <w:szCs w:val="36"/>
        </w:rPr>
        <w:t xml:space="preserve">目  录</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执行摘要</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项目背景与目标</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痛点描述</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Obsidian在链路中的角色澄清</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1.3 用户场景</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1.4 项目目标</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1.5 范围边界</w:t>
            </w:r>
            <w:r>
              <w:tab/>
            </w:r>
            <w:r>
              <w:fldChar w:fldCharType="begin"/>
            </w:r>
            <w:r>
              <w:instrText xml:space="preserve"> PAGEREF _Toc100006 \h </w:instrText>
            </w:r>
            <w:r>
              <w:fldChar w:fldCharType="separate"/>
            </w:r>
            <w:r>
              <w:t>3</w:t>
            </w:r>
            <w:r>
              <w:fldChar w:fldCharType="end"/>
            </w:r>
          </w:hyperlink>
        </w:p>
        <w:p>
          <w:pPr>
            <w:pStyle w:val="11"/>
            <w:ind w:left="360"/>
            <w:tabs>
              <w:tab w:val="right" w:leader="dot" w:pos="9026"/>
            </w:tabs>
            <w:spacing w:before="120" w:after="60"/>
          </w:pPr>
          <w:hyperlink w:anchor="_Toc100007" w:history="1">
            <w:r>
              <w:rPr>
                <w:rStyle w:val="Hyperlink"/>
              </w:rPr>
              <w:t>1.6 非目标说明</w:t>
            </w:r>
            <w:r>
              <w:tab/>
            </w:r>
            <w:r>
              <w:fldChar w:fldCharType="begin"/>
            </w:r>
            <w:r>
              <w:instrText xml:space="preserve"> PAGEREF _Toc100007 \h </w:instrText>
            </w:r>
            <w:r>
              <w:fldChar w:fldCharType="separate"/>
            </w:r>
            <w:r>
              <w:t>3</w:t>
            </w:r>
            <w:r>
              <w:fldChar w:fldCharType="end"/>
            </w:r>
          </w:hyperlink>
        </w:p>
        <w:p>
          <w:pPr>
            <w:pStyle w:val="9"/>
            <w:tabs>
              <w:tab w:val="right" w:leader="dot" w:pos="9026"/>
            </w:tabs>
            <w:spacing w:before="120" w:after="60"/>
          </w:pPr>
          <w:hyperlink w:anchor="_Toc100008" w:history="1">
            <w:r>
              <w:rPr>
                <w:rStyle w:val="Hyperlink"/>
              </w:rPr>
              <w:t>整体方案与链路架构</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2.1 链路总览</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2.2 各环节职责矩阵</w:t>
            </w:r>
            <w:r>
              <w:tab/>
            </w:r>
            <w:r>
              <w:fldChar w:fldCharType="begin"/>
            </w:r>
            <w:r>
              <w:instrText xml:space="preserve"> PAGEREF _Toc100010 \h </w:instrText>
            </w:r>
            <w:r>
              <w:fldChar w:fldCharType="separate"/>
            </w:r>
            <w:r>
              <w:t>7</w:t>
            </w:r>
            <w:r>
              <w:fldChar w:fldCharType="end"/>
            </w:r>
          </w:hyperlink>
        </w:p>
        <w:p>
          <w:pPr>
            <w:pStyle w:val="11"/>
            <w:ind w:left="360"/>
            <w:tabs>
              <w:tab w:val="right" w:leader="dot" w:pos="9026"/>
            </w:tabs>
            <w:spacing w:before="120" w:after="60"/>
          </w:pPr>
          <w:hyperlink w:anchor="_Toc100011" w:history="1">
            <w:r>
              <w:rPr>
                <w:rStyle w:val="Hyperlink"/>
              </w:rPr>
              <w:t>2.3 关键设计决策</w:t>
            </w:r>
            <w:r>
              <w:tab/>
            </w:r>
            <w:r>
              <w:fldChar w:fldCharType="begin"/>
            </w:r>
            <w:r>
              <w:instrText xml:space="preserve"> PAGEREF _Toc100011 \h </w:instrText>
            </w:r>
            <w:r>
              <w:fldChar w:fldCharType="separate"/>
            </w:r>
            <w:r>
              <w:t>7</w:t>
            </w:r>
            <w:r>
              <w:fldChar w:fldCharType="end"/>
            </w:r>
          </w:hyperlink>
        </w:p>
        <w:p>
          <w:pPr>
            <w:pStyle w:val="9"/>
            <w:tabs>
              <w:tab w:val="right" w:leader="dot" w:pos="9026"/>
            </w:tabs>
            <w:spacing w:before="120" w:after="60"/>
          </w:pPr>
          <w:hyperlink w:anchor="_Toc100012" w:history="1">
            <w:r>
              <w:rPr>
                <w:rStyle w:val="Hyperlink"/>
              </w:rPr>
              <w:t>功能需求清单</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3.1 用户故事</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3.2 功能清单</w:t>
            </w:r>
            <w:r>
              <w:tab/>
            </w:r>
            <w:r>
              <w:fldChar w:fldCharType="begin"/>
            </w:r>
            <w:r>
              <w:instrText xml:space="preserve"> PAGEREF _Toc100014 \h </w:instrText>
            </w:r>
            <w:r>
              <w:fldChar w:fldCharType="separate"/>
            </w:r>
            <w:r>
              <w:t>9</w:t>
            </w:r>
            <w:r>
              <w:fldChar w:fldCharType="end"/>
            </w:r>
          </w:hyperlink>
        </w:p>
        <w:p>
          <w:pPr>
            <w:pStyle w:val="11"/>
            <w:ind w:left="360"/>
            <w:tabs>
              <w:tab w:val="right" w:leader="dot" w:pos="9026"/>
            </w:tabs>
            <w:spacing w:before="120" w:after="60"/>
          </w:pPr>
          <w:hyperlink w:anchor="_Toc100015" w:history="1">
            <w:r>
              <w:rPr>
                <w:rStyle w:val="Hyperlink"/>
              </w:rPr>
              <w:t>3.3 优先级划分原则</w:t>
            </w:r>
            <w:r>
              <w:tab/>
            </w:r>
            <w:r>
              <w:fldChar w:fldCharType="begin"/>
            </w:r>
            <w:r>
              <w:instrText xml:space="preserve"> PAGEREF _Toc100015 \h </w:instrText>
            </w:r>
            <w:r>
              <w:fldChar w:fldCharType="separate"/>
            </w:r>
            <w:r>
              <w:t>9</w:t>
            </w:r>
            <w:r>
              <w:fldChar w:fldCharType="end"/>
            </w:r>
          </w:hyperlink>
        </w:p>
        <w:p>
          <w:pPr>
            <w:pStyle w:val="9"/>
            <w:tabs>
              <w:tab w:val="right" w:leader="dot" w:pos="9026"/>
            </w:tabs>
            <w:spacing w:before="120" w:after="60"/>
          </w:pPr>
          <w:hyperlink w:anchor="_Toc100016" w:history="1">
            <w:r>
              <w:rPr>
                <w:rStyle w:val="Hyperlink"/>
              </w:rPr>
              <w:t>技术方案设计</w:t>
            </w:r>
            <w:r>
              <w:tab/>
            </w:r>
            <w:r>
              <w:fldChar w:fldCharType="begin"/>
            </w:r>
            <w:r>
              <w:instrText xml:space="preserve"> PAGEREF _Toc100016 \h </w:instrText>
            </w:r>
            <w:r>
              <w:fldChar w:fldCharType="separate"/>
            </w:r>
            <w:r>
              <w:t>10</w:t>
            </w:r>
            <w:r>
              <w:fldChar w:fldCharType="end"/>
            </w:r>
          </w:hyperlink>
        </w:p>
        <w:p>
          <w:pPr>
            <w:pStyle w:val="11"/>
            <w:ind w:left="360"/>
            <w:tabs>
              <w:tab w:val="right" w:leader="dot" w:pos="9026"/>
            </w:tabs>
            <w:spacing w:before="120" w:after="60"/>
          </w:pPr>
          <w:hyperlink w:anchor="_Toc100017" w:history="1">
            <w:r>
              <w:rPr>
                <w:rStyle w:val="Hyperlink"/>
              </w:rPr>
              <w:t>4.1 抖音URL解析与视频下载</w:t>
            </w:r>
            <w:r>
              <w:tab/>
            </w:r>
            <w:r>
              <w:fldChar w:fldCharType="begin"/>
            </w:r>
            <w:r>
              <w:instrText xml:space="preserve"> PAGEREF _Toc100017 \h </w:instrText>
            </w:r>
            <w:r>
              <w:fldChar w:fldCharType="separate"/>
            </w:r>
            <w:r>
              <w:t>10</w:t>
            </w:r>
            <w:r>
              <w:fldChar w:fldCharType="end"/>
            </w:r>
          </w:hyperlink>
        </w:p>
        <w:p>
          <w:pPr>
            <w:pStyle w:val="11"/>
            <w:ind w:left="360"/>
            <w:tabs>
              <w:tab w:val="right" w:leader="dot" w:pos="9026"/>
            </w:tabs>
            <w:spacing w:before="120" w:after="60"/>
          </w:pPr>
          <w:hyperlink w:anchor="_Toc100018" w:history="1">
            <w:r>
              <w:rPr>
                <w:rStyle w:val="Hyperlink"/>
              </w:rPr>
              <w:t>4.2 字幕优先策略</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4.3 faster-whisper GPU转写（兜底方案）</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4.4 关键帧VLM视觉理解（补充方案）</w:t>
            </w:r>
            <w:r>
              <w:tab/>
            </w:r>
            <w:r>
              <w:fldChar w:fldCharType="begin"/>
            </w:r>
            <w:r>
              <w:instrText xml:space="preserve"> PAGEREF _Toc100020 \h </w:instrText>
            </w:r>
            <w:r>
              <w:fldChar w:fldCharType="separate"/>
            </w:r>
            <w:r>
              <w:t>12</w:t>
            </w:r>
            <w:r>
              <w:fldChar w:fldCharType="end"/>
            </w:r>
          </w:hyperlink>
        </w:p>
        <w:p>
          <w:pPr>
            <w:pStyle w:val="11"/>
            <w:ind w:left="360"/>
            <w:tabs>
              <w:tab w:val="right" w:leader="dot" w:pos="9026"/>
            </w:tabs>
            <w:spacing w:before="120" w:after="60"/>
          </w:pPr>
          <w:hyperlink w:anchor="_Toc100021" w:history="1">
            <w:r>
              <w:rPr>
                <w:rStyle w:val="Hyperlink"/>
              </w:rPr>
              <w:t>4.5 OpenClaw编排设计</w:t>
            </w:r>
            <w:r>
              <w:tab/>
            </w:r>
            <w:r>
              <w:fldChar w:fldCharType="begin"/>
            </w:r>
            <w:r>
              <w:instrText xml:space="preserve"> PAGEREF _Toc100021 \h </w:instrText>
            </w:r>
            <w:r>
              <w:fldChar w:fldCharType="separate"/>
            </w:r>
            <w:r>
              <w:t>12</w:t>
            </w:r>
            <w:r>
              <w:fldChar w:fldCharType="end"/>
            </w:r>
          </w:hyperlink>
        </w:p>
        <w:p>
          <w:pPr>
            <w:pStyle w:val="11"/>
            <w:ind w:left="360"/>
            <w:tabs>
              <w:tab w:val="right" w:leader="dot" w:pos="9026"/>
            </w:tabs>
            <w:spacing w:before="120" w:after="60"/>
          </w:pPr>
          <w:hyperlink w:anchor="_Toc100022" w:history="1">
            <w:r>
              <w:rPr>
                <w:rStyle w:val="Hyperlink"/>
              </w:rPr>
              <w:t>4.6 Obsidian写入与多路同步</w:t>
            </w:r>
            <w:r>
              <w:tab/>
            </w:r>
            <w:r>
              <w:fldChar w:fldCharType="begin"/>
            </w:r>
            <w:r>
              <w:instrText xml:space="preserve"> PAGEREF _Toc100022 \h </w:instrText>
            </w:r>
            <w:r>
              <w:fldChar w:fldCharType="separate"/>
            </w:r>
            <w:r>
              <w:t>13</w:t>
            </w:r>
            <w:r>
              <w:fldChar w:fldCharType="end"/>
            </w:r>
          </w:hyperlink>
        </w:p>
        <w:p>
          <w:pPr>
            <w:pStyle w:val="9"/>
            <w:tabs>
              <w:tab w:val="right" w:leader="dot" w:pos="9026"/>
            </w:tabs>
            <w:spacing w:before="120" w:after="60"/>
          </w:pPr>
          <w:hyperlink w:anchor="_Toc100023" w:history="1">
            <w:r>
              <w:rPr>
                <w:rStyle w:val="Hyperlink"/>
              </w:rPr>
              <w:t>中转通道：飞书自建机器人</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5.1 已有对接情况说明</w:t>
            </w:r>
            <w:r>
              <w:tab/>
            </w:r>
            <w:r>
              <w:fldChar w:fldCharType="begin"/>
            </w:r>
            <w:r>
              <w:instrText xml:space="preserve"> PAGEREF _Toc100024 \h </w:instrText>
            </w:r>
            <w:r>
              <w:fldChar w:fldCharType="separate"/>
            </w:r>
            <w:r>
              <w:t>13</w:t>
            </w:r>
            <w:r>
              <w:fldChar w:fldCharType="end"/>
            </w:r>
          </w:hyperlink>
        </w:p>
        <w:p>
          <w:pPr>
            <w:pStyle w:val="11"/>
            <w:ind w:left="360"/>
            <w:tabs>
              <w:tab w:val="right" w:leader="dot" w:pos="9026"/>
            </w:tabs>
            <w:spacing w:before="120" w:after="60"/>
          </w:pPr>
          <w:hyperlink w:anchor="_Toc100025" w:history="1">
            <w:r>
              <w:rPr>
                <w:rStyle w:val="Hyperlink"/>
              </w:rPr>
              <w:t>5.2 飞书自建机器人 vs 企业微信群机器人</w:t>
            </w:r>
            <w:r>
              <w:tab/>
            </w:r>
            <w:r>
              <w:fldChar w:fldCharType="begin"/>
            </w:r>
            <w:r>
              <w:instrText xml:space="preserve"> PAGEREF _Toc100025 \h </w:instrText>
            </w:r>
            <w:r>
              <w:fldChar w:fldCharType="separate"/>
            </w:r>
            <w:r>
              <w:t>14</w:t>
            </w:r>
            <w:r>
              <w:fldChar w:fldCharType="end"/>
            </w:r>
          </w:hyperlink>
        </w:p>
        <w:p>
          <w:pPr>
            <w:pStyle w:val="11"/>
            <w:ind w:left="360"/>
            <w:tabs>
              <w:tab w:val="right" w:leader="dot" w:pos="9026"/>
            </w:tabs>
            <w:spacing w:before="120" w:after="60"/>
          </w:pPr>
          <w:hyperlink w:anchor="_Toc100026" w:history="1">
            <w:r>
              <w:rPr>
                <w:rStyle w:val="Hyperlink"/>
              </w:rPr>
              <w:t>5.3 需扩展的飞书能力</w:t>
            </w:r>
            <w:r>
              <w:tab/>
            </w:r>
            <w:r>
              <w:fldChar w:fldCharType="begin"/>
            </w:r>
            <w:r>
              <w:instrText xml:space="preserve"> PAGEREF _Toc100026 \h </w:instrText>
            </w:r>
            <w:r>
              <w:fldChar w:fldCharType="separate"/>
            </w:r>
            <w:r>
              <w:t>14</w:t>
            </w:r>
            <w:r>
              <w:fldChar w:fldCharType="end"/>
            </w:r>
          </w:hyperlink>
        </w:p>
        <w:p>
          <w:pPr>
            <w:pStyle w:val="12"/>
            <w:ind w:left="720"/>
            <w:tabs>
              <w:tab w:val="right" w:leader="dot" w:pos="9026"/>
            </w:tabs>
            <w:spacing w:before="120" w:after="60"/>
          </w:pPr>
          <w:hyperlink w:anchor="_Toc100027" w:history="1">
            <w:r>
              <w:rPr>
                <w:rStyle w:val="Hyperlink"/>
              </w:rPr>
              <w:t>5.3.1 URL识别与触发</w:t>
            </w:r>
            <w:r>
              <w:tab/>
            </w:r>
            <w:r>
              <w:fldChar w:fldCharType="begin"/>
            </w:r>
            <w:r>
              <w:instrText xml:space="preserve"> PAGEREF _Toc100027 \h </w:instrText>
            </w:r>
            <w:r>
              <w:fldChar w:fldCharType="separate"/>
            </w:r>
            <w:r>
              <w:t>14</w:t>
            </w:r>
            <w:r>
              <w:fldChar w:fldCharType="end"/>
            </w:r>
          </w:hyperlink>
        </w:p>
        <w:p>
          <w:pPr>
            <w:pStyle w:val="12"/>
            <w:ind w:left="720"/>
            <w:tabs>
              <w:tab w:val="right" w:leader="dot" w:pos="9026"/>
            </w:tabs>
            <w:spacing w:before="120" w:after="60"/>
          </w:pPr>
          <w:hyperlink w:anchor="_Toc100028" w:history="1">
            <w:r>
              <w:rPr>
                <w:rStyle w:val="Hyperlink"/>
              </w:rPr>
              <w:t>5.3.2 异步结果回执</w:t>
            </w:r>
            <w:r>
              <w:tab/>
            </w:r>
            <w:r>
              <w:fldChar w:fldCharType="begin"/>
            </w:r>
            <w:r>
              <w:instrText xml:space="preserve"> PAGEREF _Toc100028 \h </w:instrText>
            </w:r>
            <w:r>
              <w:fldChar w:fldCharType="separate"/>
            </w:r>
            <w:r>
              <w:t>14</w:t>
            </w:r>
            <w:r>
              <w:fldChar w:fldCharType="end"/>
            </w:r>
          </w:hyperlink>
        </w:p>
        <w:p>
          <w:pPr>
            <w:pStyle w:val="11"/>
            <w:ind w:left="360"/>
            <w:tabs>
              <w:tab w:val="right" w:leader="dot" w:pos="9026"/>
            </w:tabs>
            <w:spacing w:before="120" w:after="60"/>
          </w:pPr>
          <w:hyperlink w:anchor="_Toc100029" w:history="1">
            <w:r>
              <w:rPr>
                <w:rStyle w:val="Hyperlink"/>
              </w:rPr>
              <w:t>5.4 飞书回调安全配置</w:t>
            </w:r>
            <w:r>
              <w:tab/>
            </w:r>
            <w:r>
              <w:fldChar w:fldCharType="begin"/>
            </w:r>
            <w:r>
              <w:instrText xml:space="preserve"> PAGEREF _Toc100029 \h </w:instrText>
            </w:r>
            <w:r>
              <w:fldChar w:fldCharType="separate"/>
            </w:r>
            <w:r>
              <w:t>15</w:t>
            </w:r>
            <w:r>
              <w:fldChar w:fldCharType="end"/>
            </w:r>
          </w:hyperlink>
        </w:p>
        <w:p>
          <w:pPr>
            <w:pStyle w:val="9"/>
            <w:tabs>
              <w:tab w:val="right" w:leader="dot" w:pos="9026"/>
            </w:tabs>
            <w:spacing w:before="120" w:after="60"/>
          </w:pPr>
          <w:hyperlink w:anchor="_Toc100030" w:history="1">
            <w:r>
              <w:rPr>
                <w:rStyle w:val="Hyperlink"/>
              </w:rPr>
              <w:t>数据模型与笔记结构</w:t>
            </w:r>
            <w:r>
              <w:tab/>
            </w:r>
            <w:r>
              <w:fldChar w:fldCharType="begin"/>
            </w:r>
            <w:r>
              <w:instrText xml:space="preserve"> PAGEREF _Toc100030 \h </w:instrText>
            </w:r>
            <w:r>
              <w:fldChar w:fldCharType="separate"/>
            </w:r>
            <w:r>
              <w:t>15</w:t>
            </w:r>
            <w:r>
              <w:fldChar w:fldCharType="end"/>
            </w:r>
          </w:hyperlink>
        </w:p>
        <w:p>
          <w:pPr>
            <w:pStyle w:val="11"/>
            <w:ind w:left="360"/>
            <w:tabs>
              <w:tab w:val="right" w:leader="dot" w:pos="9026"/>
            </w:tabs>
            <w:spacing w:before="120" w:after="60"/>
          </w:pPr>
          <w:hyperlink w:anchor="_Toc100031" w:history="1">
            <w:r>
              <w:rPr>
                <w:rStyle w:val="Hyperlink"/>
              </w:rPr>
              <w:t>6.1 Frontmatter规范</w:t>
            </w:r>
            <w:r>
              <w:tab/>
            </w:r>
            <w:r>
              <w:fldChar w:fldCharType="begin"/>
            </w:r>
            <w:r>
              <w:instrText xml:space="preserve"> PAGEREF _Toc100031 \h </w:instrText>
            </w:r>
            <w:r>
              <w:fldChar w:fldCharType="separate"/>
            </w:r>
            <w:r>
              <w:t>15</w:t>
            </w:r>
            <w:r>
              <w:fldChar w:fldCharType="end"/>
            </w:r>
          </w:hyperlink>
        </w:p>
        <w:p>
          <w:pPr>
            <w:pStyle w:val="11"/>
            <w:ind w:left="360"/>
            <w:tabs>
              <w:tab w:val="right" w:leader="dot" w:pos="9026"/>
            </w:tabs>
            <w:spacing w:before="120" w:after="60"/>
          </w:pPr>
          <w:hyperlink w:anchor="_Toc100032" w:history="1">
            <w:r>
              <w:rPr>
                <w:rStyle w:val="Hyperlink"/>
              </w:rPr>
              <w:t>6.2 笔记正文模板</w:t>
            </w:r>
            <w:r>
              <w:tab/>
            </w:r>
            <w:r>
              <w:fldChar w:fldCharType="begin"/>
            </w:r>
            <w:r>
              <w:instrText xml:space="preserve"> PAGEREF _Toc100032 \h </w:instrText>
            </w:r>
            <w:r>
              <w:fldChar w:fldCharType="separate"/>
            </w:r>
            <w:r>
              <w:t>16</w:t>
            </w:r>
            <w:r>
              <w:fldChar w:fldCharType="end"/>
            </w:r>
          </w:hyperlink>
        </w:p>
        <w:p>
          <w:pPr>
            <w:pStyle w:val="11"/>
            <w:ind w:left="360"/>
            <w:tabs>
              <w:tab w:val="right" w:leader="dot" w:pos="9026"/>
            </w:tabs>
            <w:spacing w:before="120" w:after="60"/>
          </w:pPr>
          <w:hyperlink w:anchor="_Toc100033" w:history="1">
            <w:r>
              <w:rPr>
                <w:rStyle w:val="Hyperlink"/>
              </w:rPr>
              <w:t>6.3 目录结构</w:t>
            </w:r>
            <w:r>
              <w:tab/>
            </w:r>
            <w:r>
              <w:fldChar w:fldCharType="begin"/>
            </w:r>
            <w:r>
              <w:instrText xml:space="preserve"> PAGEREF _Toc100033 \h </w:instrText>
            </w:r>
            <w:r>
              <w:fldChar w:fldCharType="separate"/>
            </w:r>
            <w:r>
              <w:t>16</w:t>
            </w:r>
            <w:r>
              <w:fldChar w:fldCharType="end"/>
            </w:r>
          </w:hyperlink>
        </w:p>
        <w:p>
          <w:pPr>
            <w:pStyle w:val="11"/>
            <w:ind w:left="360"/>
            <w:tabs>
              <w:tab w:val="right" w:leader="dot" w:pos="9026"/>
            </w:tabs>
            <w:spacing w:before="120" w:after="60"/>
          </w:pPr>
          <w:hyperlink w:anchor="_Toc100034" w:history="1">
            <w:r>
              <w:rPr>
                <w:rStyle w:val="Hyperlink"/>
              </w:rPr>
              <w:t>6.4 去重策略</w:t>
            </w:r>
            <w:r>
              <w:tab/>
            </w:r>
            <w:r>
              <w:fldChar w:fldCharType="begin"/>
            </w:r>
            <w:r>
              <w:instrText xml:space="preserve"> PAGEREF _Toc100034 \h </w:instrText>
            </w:r>
            <w:r>
              <w:fldChar w:fldCharType="separate"/>
            </w:r>
            <w:r>
              <w:t>16</w:t>
            </w:r>
            <w:r>
              <w:fldChar w:fldCharType="end"/>
            </w:r>
          </w:hyperlink>
        </w:p>
        <w:p>
          <w:pPr>
            <w:pStyle w:val="9"/>
            <w:tabs>
              <w:tab w:val="right" w:leader="dot" w:pos="9026"/>
            </w:tabs>
            <w:spacing w:before="120" w:after="60"/>
          </w:pPr>
          <w:hyperlink w:anchor="_Toc100035" w:history="1">
            <w:r>
              <w:rPr>
                <w:rStyle w:val="Hyperlink"/>
              </w:rPr>
              <w:t>AI能力集成：OpenClaw编排中枢</w:t>
            </w:r>
            <w:r>
              <w:tab/>
            </w:r>
            <w:r>
              <w:fldChar w:fldCharType="begin"/>
            </w:r>
            <w:r>
              <w:instrText xml:space="preserve"> PAGEREF _Toc100035 \h </w:instrText>
            </w:r>
            <w:r>
              <w:fldChar w:fldCharType="separate"/>
            </w:r>
            <w:r>
              <w:t>17</w:t>
            </w:r>
            <w:r>
              <w:fldChar w:fldCharType="end"/>
            </w:r>
          </w:hyperlink>
        </w:p>
        <w:p>
          <w:pPr>
            <w:pStyle w:val="11"/>
            <w:ind w:left="360"/>
            <w:tabs>
              <w:tab w:val="right" w:leader="dot" w:pos="9026"/>
            </w:tabs>
            <w:spacing w:before="120" w:after="60"/>
          </w:pPr>
          <w:hyperlink w:anchor="_Toc100036" w:history="1">
            <w:r>
              <w:rPr>
                <w:rStyle w:val="Hyperlink"/>
              </w:rPr>
              <w:t>7.1 OpenClaw在链路中的角色</w:t>
            </w:r>
            <w:r>
              <w:tab/>
            </w:r>
            <w:r>
              <w:fldChar w:fldCharType="begin"/>
            </w:r>
            <w:r>
              <w:instrText xml:space="preserve"> PAGEREF _Toc100036 \h </w:instrText>
            </w:r>
            <w:r>
              <w:fldChar w:fldCharType="separate"/>
            </w:r>
            <w:r>
              <w:t>17</w:t>
            </w:r>
            <w:r>
              <w:fldChar w:fldCharType="end"/>
            </w:r>
          </w:hyperlink>
        </w:p>
        <w:p>
          <w:pPr>
            <w:pStyle w:val="11"/>
            <w:ind w:left="360"/>
            <w:tabs>
              <w:tab w:val="right" w:leader="dot" w:pos="9026"/>
            </w:tabs>
            <w:spacing w:before="120" w:after="60"/>
          </w:pPr>
          <w:hyperlink w:anchor="_Toc100037" w:history="1">
            <w:r>
              <w:rPr>
                <w:rStyle w:val="Hyperlink"/>
              </w:rPr>
              <w:t>7.2 工具注册与MCP集成</w:t>
            </w:r>
            <w:r>
              <w:tab/>
            </w:r>
            <w:r>
              <w:fldChar w:fldCharType="begin"/>
            </w:r>
            <w:r>
              <w:instrText xml:space="preserve"> PAGEREF _Toc100037 \h </w:instrText>
            </w:r>
            <w:r>
              <w:fldChar w:fldCharType="separate"/>
            </w:r>
            <w:r>
              <w:t>17</w:t>
            </w:r>
            <w:r>
              <w:fldChar w:fldCharType="end"/>
            </w:r>
          </w:hyperlink>
        </w:p>
        <w:p>
          <w:pPr>
            <w:pStyle w:val="11"/>
            <w:ind w:left="360"/>
            <w:tabs>
              <w:tab w:val="right" w:leader="dot" w:pos="9026"/>
            </w:tabs>
            <w:spacing w:before="120" w:after="60"/>
          </w:pPr>
          <w:hyperlink w:anchor="_Toc100038" w:history="1">
            <w:r>
              <w:rPr>
                <w:rStyle w:val="Hyperlink"/>
              </w:rPr>
              <w:t>7.3 LLM选型：短期云端+长期本地</w:t>
            </w:r>
            <w:r>
              <w:tab/>
            </w:r>
            <w:r>
              <w:fldChar w:fldCharType="begin"/>
            </w:r>
            <w:r>
              <w:instrText xml:space="preserve"> PAGEREF _Toc100038 \h </w:instrText>
            </w:r>
            <w:r>
              <w:fldChar w:fldCharType="separate"/>
            </w:r>
            <w:r>
              <w:t>18</w:t>
            </w:r>
            <w:r>
              <w:fldChar w:fldCharType="end"/>
            </w:r>
          </w:hyperlink>
        </w:p>
        <w:p>
          <w:pPr>
            <w:pStyle w:val="11"/>
            <w:ind w:left="360"/>
            <w:tabs>
              <w:tab w:val="right" w:leader="dot" w:pos="9026"/>
            </w:tabs>
            <w:spacing w:before="120" w:after="60"/>
          </w:pPr>
          <w:hyperlink w:anchor="_Toc100039" w:history="1">
            <w:r>
              <w:rPr>
                <w:rStyle w:val="Hyperlink"/>
              </w:rPr>
              <w:t>7.4 Prompt模板设计</w:t>
            </w:r>
            <w:r>
              <w:tab/>
            </w:r>
            <w:r>
              <w:fldChar w:fldCharType="begin"/>
            </w:r>
            <w:r>
              <w:instrText xml:space="preserve"> PAGEREF _Toc100039 \h </w:instrText>
            </w:r>
            <w:r>
              <w:fldChar w:fldCharType="separate"/>
            </w:r>
            <w:r>
              <w:t>18</w:t>
            </w:r>
            <w:r>
              <w:fldChar w:fldCharType="end"/>
            </w:r>
          </w:hyperlink>
        </w:p>
        <w:p>
          <w:pPr>
            <w:pStyle w:val="11"/>
            <w:ind w:left="360"/>
            <w:tabs>
              <w:tab w:val="right" w:leader="dot" w:pos="9026"/>
            </w:tabs>
            <w:spacing w:before="120" w:after="60"/>
          </w:pPr>
          <w:hyperlink w:anchor="_Toc100040" w:history="1">
            <w:r>
              <w:rPr>
                <w:rStyle w:val="Hyperlink"/>
              </w:rPr>
              <w:t>7.5 调用契约与降级策略</w:t>
            </w:r>
            <w:r>
              <w:tab/>
            </w:r>
            <w:r>
              <w:fldChar w:fldCharType="begin"/>
            </w:r>
            <w:r>
              <w:instrText xml:space="preserve"> PAGEREF _Toc100040 \h </w:instrText>
            </w:r>
            <w:r>
              <w:fldChar w:fldCharType="separate"/>
            </w:r>
            <w:r>
              <w:t>19</w:t>
            </w:r>
            <w:r>
              <w:fldChar w:fldCharType="end"/>
            </w:r>
          </w:hyperlink>
        </w:p>
        <w:p>
          <w:pPr>
            <w:pStyle w:val="11"/>
            <w:ind w:left="360"/>
            <w:tabs>
              <w:tab w:val="right" w:leader="dot" w:pos="9026"/>
            </w:tabs>
            <w:spacing w:before="120" w:after="60"/>
          </w:pPr>
          <w:hyperlink w:anchor="_Toc100041" w:history="1">
            <w:r>
              <w:rPr>
                <w:rStyle w:val="Hyperlink"/>
              </w:rPr>
              <w:t>7.6 成本估算</w:t>
            </w:r>
            <w:r>
              <w:tab/>
            </w:r>
            <w:r>
              <w:fldChar w:fldCharType="begin"/>
            </w:r>
            <w:r>
              <w:instrText xml:space="preserve"> PAGEREF _Toc100041 \h </w:instrText>
            </w:r>
            <w:r>
              <w:fldChar w:fldCharType="separate"/>
            </w:r>
            <w:r>
              <w:t>19</w:t>
            </w:r>
            <w:r>
              <w:fldChar w:fldCharType="end"/>
            </w:r>
          </w:hyperlink>
        </w:p>
        <w:p>
          <w:pPr>
            <w:pStyle w:val="9"/>
            <w:tabs>
              <w:tab w:val="right" w:leader="dot" w:pos="9026"/>
            </w:tabs>
            <w:spacing w:before="120" w:after="60"/>
          </w:pPr>
          <w:hyperlink w:anchor="_Toc100042" w:history="1">
            <w:r>
              <w:rPr>
                <w:rStyle w:val="Hyperlink"/>
              </w:rPr>
              <w:t>非功能需求</w:t>
            </w:r>
            <w:r>
              <w:tab/>
            </w:r>
            <w:r>
              <w:fldChar w:fldCharType="begin"/>
            </w:r>
            <w:r>
              <w:instrText xml:space="preserve"> PAGEREF _Toc100042 \h </w:instrText>
            </w:r>
            <w:r>
              <w:fldChar w:fldCharType="separate"/>
            </w:r>
            <w:r>
              <w:t>19</w:t>
            </w:r>
            <w:r>
              <w:fldChar w:fldCharType="end"/>
            </w:r>
          </w:hyperlink>
        </w:p>
        <w:p>
          <w:pPr>
            <w:pStyle w:val="11"/>
            <w:ind w:left="360"/>
            <w:tabs>
              <w:tab w:val="right" w:leader="dot" w:pos="9026"/>
            </w:tabs>
            <w:spacing w:before="120" w:after="60"/>
          </w:pPr>
          <w:hyperlink w:anchor="_Toc100043" w:history="1">
            <w:r>
              <w:rPr>
                <w:rStyle w:val="Hyperlink"/>
              </w:rPr>
              <w:t>8.1 性能要求</w:t>
            </w:r>
            <w:r>
              <w:tab/>
            </w:r>
            <w:r>
              <w:fldChar w:fldCharType="begin"/>
            </w:r>
            <w:r>
              <w:instrText xml:space="preserve"> PAGEREF _Toc100043 \h </w:instrText>
            </w:r>
            <w:r>
              <w:fldChar w:fldCharType="separate"/>
            </w:r>
            <w:r>
              <w:t>19</w:t>
            </w:r>
            <w:r>
              <w:fldChar w:fldCharType="end"/>
            </w:r>
          </w:hyperlink>
        </w:p>
        <w:p>
          <w:pPr>
            <w:pStyle w:val="11"/>
            <w:ind w:left="360"/>
            <w:tabs>
              <w:tab w:val="right" w:leader="dot" w:pos="9026"/>
            </w:tabs>
            <w:spacing w:before="120" w:after="60"/>
          </w:pPr>
          <w:hyperlink w:anchor="_Toc100044" w:history="1">
            <w:r>
              <w:rPr>
                <w:rStyle w:val="Hyperlink"/>
              </w:rPr>
              <w:t>8.2 可用性要求</w:t>
            </w:r>
            <w:r>
              <w:tab/>
            </w:r>
            <w:r>
              <w:fldChar w:fldCharType="begin"/>
            </w:r>
            <w:r>
              <w:instrText xml:space="preserve"> PAGEREF _Toc100044 \h </w:instrText>
            </w:r>
            <w:r>
              <w:fldChar w:fldCharType="separate"/>
            </w:r>
            <w:r>
              <w:t>20</w:t>
            </w:r>
            <w:r>
              <w:fldChar w:fldCharType="end"/>
            </w:r>
          </w:hyperlink>
        </w:p>
        <w:p>
          <w:pPr>
            <w:pStyle w:val="11"/>
            <w:ind w:left="360"/>
            <w:tabs>
              <w:tab w:val="right" w:leader="dot" w:pos="9026"/>
            </w:tabs>
            <w:spacing w:before="120" w:after="60"/>
          </w:pPr>
          <w:hyperlink w:anchor="_Toc100045" w:history="1">
            <w:r>
              <w:rPr>
                <w:rStyle w:val="Hyperlink"/>
              </w:rPr>
              <w:t>8.3 安全性要求</w:t>
            </w:r>
            <w:r>
              <w:tab/>
            </w:r>
            <w:r>
              <w:fldChar w:fldCharType="begin"/>
            </w:r>
            <w:r>
              <w:instrText xml:space="preserve"> PAGEREF _Toc100045 \h </w:instrText>
            </w:r>
            <w:r>
              <w:fldChar w:fldCharType="separate"/>
            </w:r>
            <w:r>
              <w:t>20</w:t>
            </w:r>
            <w:r>
              <w:fldChar w:fldCharType="end"/>
            </w:r>
          </w:hyperlink>
        </w:p>
        <w:p>
          <w:pPr>
            <w:pStyle w:val="11"/>
            <w:ind w:left="360"/>
            <w:tabs>
              <w:tab w:val="right" w:leader="dot" w:pos="9026"/>
            </w:tabs>
            <w:spacing w:before="120" w:after="60"/>
          </w:pPr>
          <w:hyperlink w:anchor="_Toc100046" w:history="1">
            <w:r>
              <w:rPr>
                <w:rStyle w:val="Hyperlink"/>
              </w:rPr>
              <w:t>8.4 可维护性要求</w:t>
            </w:r>
            <w:r>
              <w:tab/>
            </w:r>
            <w:r>
              <w:fldChar w:fldCharType="begin"/>
            </w:r>
            <w:r>
              <w:instrText xml:space="preserve"> PAGEREF _Toc100046 \h </w:instrText>
            </w:r>
            <w:r>
              <w:fldChar w:fldCharType="separate"/>
            </w:r>
            <w:r>
              <w:t>20</w:t>
            </w:r>
            <w:r>
              <w:fldChar w:fldCharType="end"/>
            </w:r>
          </w:hyperlink>
        </w:p>
        <w:p>
          <w:pPr>
            <w:pStyle w:val="11"/>
            <w:ind w:left="360"/>
            <w:tabs>
              <w:tab w:val="right" w:leader="dot" w:pos="9026"/>
            </w:tabs>
            <w:spacing w:before="120" w:after="60"/>
          </w:pPr>
          <w:hyperlink w:anchor="_Toc100047" w:history="1">
            <w:r>
              <w:rPr>
                <w:rStyle w:val="Hyperlink"/>
              </w:rPr>
              <w:t>8.5 隐私合规要求</w:t>
            </w:r>
            <w:r>
              <w:tab/>
            </w:r>
            <w:r>
              <w:fldChar w:fldCharType="begin"/>
            </w:r>
            <w:r>
              <w:instrText xml:space="preserve"> PAGEREF _Toc100047 \h </w:instrText>
            </w:r>
            <w:r>
              <w:fldChar w:fldCharType="separate"/>
            </w:r>
            <w:r>
              <w:t>21</w:t>
            </w:r>
            <w:r>
              <w:fldChar w:fldCharType="end"/>
            </w:r>
          </w:hyperlink>
        </w:p>
        <w:p>
          <w:pPr>
            <w:pStyle w:val="9"/>
            <w:tabs>
              <w:tab w:val="right" w:leader="dot" w:pos="9026"/>
            </w:tabs>
            <w:spacing w:before="120" w:after="60"/>
          </w:pPr>
          <w:hyperlink w:anchor="_Toc100048" w:history="1">
            <w:r>
              <w:rPr>
                <w:rStyle w:val="Hyperlink"/>
              </w:rPr>
              <w:t>风险与避坑清单</w:t>
            </w:r>
            <w:r>
              <w:tab/>
            </w:r>
            <w:r>
              <w:fldChar w:fldCharType="begin"/>
            </w:r>
            <w:r>
              <w:instrText xml:space="preserve"> PAGEREF _Toc100048 \h </w:instrText>
            </w:r>
            <w:r>
              <w:fldChar w:fldCharType="separate"/>
            </w:r>
            <w:r>
              <w:t>21</w:t>
            </w:r>
            <w:r>
              <w:fldChar w:fldCharType="end"/>
            </w:r>
          </w:hyperlink>
        </w:p>
        <w:p>
          <w:pPr>
            <w:pStyle w:val="11"/>
            <w:ind w:left="360"/>
            <w:tabs>
              <w:tab w:val="right" w:leader="dot" w:pos="9026"/>
            </w:tabs>
            <w:spacing w:before="120" w:after="60"/>
          </w:pPr>
          <w:hyperlink w:anchor="_Toc100049" w:history="1">
            <w:r>
              <w:rPr>
                <w:rStyle w:val="Hyperlink"/>
              </w:rPr>
              <w:t>9.1 抖音反爬升级风险</w:t>
            </w:r>
            <w:r>
              <w:tab/>
            </w:r>
            <w:r>
              <w:fldChar w:fldCharType="begin"/>
            </w:r>
            <w:r>
              <w:instrText xml:space="preserve"> PAGEREF _Toc100049 \h </w:instrText>
            </w:r>
            <w:r>
              <w:fldChar w:fldCharType="separate"/>
            </w:r>
            <w:r>
              <w:t>21</w:t>
            </w:r>
            <w:r>
              <w:fldChar w:fldCharType="end"/>
            </w:r>
          </w:hyperlink>
        </w:p>
        <w:p>
          <w:pPr>
            <w:pStyle w:val="11"/>
            <w:ind w:left="360"/>
            <w:tabs>
              <w:tab w:val="right" w:leader="dot" w:pos="9026"/>
            </w:tabs>
            <w:spacing w:before="120" w:after="60"/>
          </w:pPr>
          <w:hyperlink w:anchor="_Toc100050" w:history="1">
            <w:r>
              <w:rPr>
                <w:rStyle w:val="Hyperlink"/>
              </w:rPr>
              <w:t>9.2 飞书bot对接风险</w:t>
            </w:r>
            <w:r>
              <w:tab/>
            </w:r>
            <w:r>
              <w:fldChar w:fldCharType="begin"/>
            </w:r>
            <w:r>
              <w:instrText xml:space="preserve"> PAGEREF _Toc100050 \h </w:instrText>
            </w:r>
            <w:r>
              <w:fldChar w:fldCharType="separate"/>
            </w:r>
            <w:r>
              <w:t>22</w:t>
            </w:r>
            <w:r>
              <w:fldChar w:fldCharType="end"/>
            </w:r>
          </w:hyperlink>
        </w:p>
        <w:p>
          <w:pPr>
            <w:pStyle w:val="11"/>
            <w:ind w:left="360"/>
            <w:tabs>
              <w:tab w:val="right" w:leader="dot" w:pos="9026"/>
            </w:tabs>
            <w:spacing w:before="120" w:after="60"/>
          </w:pPr>
          <w:hyperlink w:anchor="_Toc100051" w:history="1">
            <w:r>
              <w:rPr>
                <w:rStyle w:val="Hyperlink"/>
              </w:rPr>
              <w:t>9.3 faster-whisper GPU相关风险</w:t>
            </w:r>
            <w:r>
              <w:tab/>
            </w:r>
            <w:r>
              <w:fldChar w:fldCharType="begin"/>
            </w:r>
            <w:r>
              <w:instrText xml:space="preserve"> PAGEREF _Toc100051 \h </w:instrText>
            </w:r>
            <w:r>
              <w:fldChar w:fldCharType="separate"/>
            </w:r>
            <w:r>
              <w:t>22</w:t>
            </w:r>
            <w:r>
              <w:fldChar w:fldCharType="end"/>
            </w:r>
          </w:hyperlink>
        </w:p>
        <w:p>
          <w:pPr>
            <w:pStyle w:val="11"/>
            <w:ind w:left="360"/>
            <w:tabs>
              <w:tab w:val="right" w:leader="dot" w:pos="9026"/>
            </w:tabs>
            <w:spacing w:before="120" w:after="60"/>
          </w:pPr>
          <w:hyperlink w:anchor="_Toc100052" w:history="1">
            <w:r>
              <w:rPr>
                <w:rStyle w:val="Hyperlink"/>
              </w:rPr>
              <w:t>9.4 多路同步冲突风险</w:t>
            </w:r>
            <w:r>
              <w:tab/>
            </w:r>
            <w:r>
              <w:fldChar w:fldCharType="begin"/>
            </w:r>
            <w:r>
              <w:instrText xml:space="preserve"> PAGEREF _Toc100052 \h </w:instrText>
            </w:r>
            <w:r>
              <w:fldChar w:fldCharType="separate"/>
            </w:r>
            <w:r>
              <w:t>22</w:t>
            </w:r>
            <w:r>
              <w:fldChar w:fldCharType="end"/>
            </w:r>
          </w:hyperlink>
        </w:p>
        <w:p>
          <w:pPr>
            <w:pStyle w:val="11"/>
            <w:ind w:left="360"/>
            <w:tabs>
              <w:tab w:val="right" w:leader="dot" w:pos="9026"/>
            </w:tabs>
            <w:spacing w:before="120" w:after="60"/>
          </w:pPr>
          <w:hyperlink w:anchor="_Toc100053" w:history="1">
            <w:r>
              <w:rPr>
                <w:rStyle w:val="Hyperlink"/>
              </w:rPr>
              <w:t>9.5 云端LLM token到期风险</w:t>
            </w:r>
            <w:r>
              <w:tab/>
            </w:r>
            <w:r>
              <w:fldChar w:fldCharType="begin"/>
            </w:r>
            <w:r>
              <w:instrText xml:space="preserve"> PAGEREF _Toc100053 \h </w:instrText>
            </w:r>
            <w:r>
              <w:fldChar w:fldCharType="separate"/>
            </w:r>
            <w:r>
              <w:t>23</w:t>
            </w:r>
            <w:r>
              <w:fldChar w:fldCharType="end"/>
            </w:r>
          </w:hyperlink>
        </w:p>
        <w:p>
          <w:pPr>
            <w:pStyle w:val="11"/>
            <w:ind w:left="360"/>
            <w:tabs>
              <w:tab w:val="right" w:leader="dot" w:pos="9026"/>
            </w:tabs>
            <w:spacing w:before="120" w:after="60"/>
          </w:pPr>
          <w:hyperlink w:anchor="_Toc100054" w:history="1">
            <w:r>
              <w:rPr>
                <w:rStyle w:val="Hyperlink"/>
              </w:rPr>
              <w:t>9.6 视频版权与个人使用边界</w:t>
            </w:r>
            <w:r>
              <w:tab/>
            </w:r>
            <w:r>
              <w:fldChar w:fldCharType="begin"/>
            </w:r>
            <w:r>
              <w:instrText xml:space="preserve"> PAGEREF _Toc100054 \h </w:instrText>
            </w:r>
            <w:r>
              <w:fldChar w:fldCharType="separate"/>
            </w:r>
            <w:r>
              <w:t>23</w:t>
            </w:r>
            <w:r>
              <w:fldChar w:fldCharType="end"/>
            </w:r>
          </w:hyperlink>
        </w:p>
        <w:p>
          <w:pPr>
            <w:pStyle w:val="9"/>
            <w:tabs>
              <w:tab w:val="right" w:leader="dot" w:pos="9026"/>
            </w:tabs>
            <w:spacing w:before="120" w:after="60"/>
          </w:pPr>
          <w:hyperlink w:anchor="_Toc100055" w:history="1">
            <w:r>
              <w:rPr>
                <w:rStyle w:val="Hyperlink"/>
              </w:rPr>
              <w:t>实施路线图</w:t>
            </w:r>
            <w:r>
              <w:tab/>
            </w:r>
            <w:r>
              <w:fldChar w:fldCharType="begin"/>
            </w:r>
            <w:r>
              <w:instrText xml:space="preserve"> PAGEREF _Toc100055 \h </w:instrText>
            </w:r>
            <w:r>
              <w:fldChar w:fldCharType="separate"/>
            </w:r>
            <w:r>
              <w:t>23</w:t>
            </w:r>
            <w:r>
              <w:fldChar w:fldCharType="end"/>
            </w:r>
          </w:hyperlink>
        </w:p>
        <w:p>
          <w:pPr>
            <w:pStyle w:val="11"/>
            <w:ind w:left="360"/>
            <w:tabs>
              <w:tab w:val="right" w:leader="dot" w:pos="9026"/>
            </w:tabs>
            <w:spacing w:before="120" w:after="60"/>
          </w:pPr>
          <w:hyperlink w:anchor="_Toc100056" w:history="1">
            <w:r>
              <w:rPr>
                <w:rStyle w:val="Hyperlink"/>
              </w:rPr>
              <w:t>10.1 Phase 1 MVP（第1周）</w:t>
            </w:r>
            <w:r>
              <w:tab/>
            </w:r>
            <w:r>
              <w:fldChar w:fldCharType="begin"/>
            </w:r>
            <w:r>
              <w:instrText xml:space="preserve"> PAGEREF _Toc100056 \h </w:instrText>
            </w:r>
            <w:r>
              <w:fldChar w:fldCharType="separate"/>
            </w:r>
            <w:r>
              <w:t>24</w:t>
            </w:r>
            <w:r>
              <w:fldChar w:fldCharType="end"/>
            </w:r>
          </w:hyperlink>
        </w:p>
        <w:p>
          <w:pPr>
            <w:pStyle w:val="11"/>
            <w:ind w:left="360"/>
            <w:tabs>
              <w:tab w:val="right" w:leader="dot" w:pos="9026"/>
            </w:tabs>
            <w:spacing w:before="120" w:after="60"/>
          </w:pPr>
          <w:hyperlink w:anchor="_Toc100057" w:history="1">
            <w:r>
              <w:rPr>
                <w:rStyle w:val="Hyperlink"/>
              </w:rPr>
              <w:t>10.2 Phase 2 完整链路（第2周）</w:t>
            </w:r>
            <w:r>
              <w:tab/>
            </w:r>
            <w:r>
              <w:fldChar w:fldCharType="begin"/>
            </w:r>
            <w:r>
              <w:instrText xml:space="preserve"> PAGEREF _Toc100057 \h </w:instrText>
            </w:r>
            <w:r>
              <w:fldChar w:fldCharType="separate"/>
            </w:r>
            <w:r>
              <w:t>24</w:t>
            </w:r>
            <w:r>
              <w:fldChar w:fldCharType="end"/>
            </w:r>
          </w:hyperlink>
        </w:p>
        <w:p>
          <w:pPr>
            <w:pStyle w:val="11"/>
            <w:ind w:left="360"/>
            <w:tabs>
              <w:tab w:val="right" w:leader="dot" w:pos="9026"/>
            </w:tabs>
            <w:spacing w:before="120" w:after="60"/>
          </w:pPr>
          <w:hyperlink w:anchor="_Toc100058" w:history="1">
            <w:r>
              <w:rPr>
                <w:rStyle w:val="Hyperlink"/>
              </w:rPr>
              <w:t>10.3 Phase 3 优化（第3-4周）</w:t>
            </w:r>
            <w:r>
              <w:tab/>
            </w:r>
            <w:r>
              <w:fldChar w:fldCharType="begin"/>
            </w:r>
            <w:r>
              <w:instrText xml:space="preserve"> PAGEREF _Toc100058 \h </w:instrText>
            </w:r>
            <w:r>
              <w:fldChar w:fldCharType="separate"/>
            </w:r>
            <w:r>
              <w:t>24</w:t>
            </w:r>
            <w:r>
              <w:fldChar w:fldCharType="end"/>
            </w:r>
          </w:hyperlink>
        </w:p>
        <w:p>
          <w:pPr>
            <w:pStyle w:val="11"/>
            <w:ind w:left="360"/>
            <w:tabs>
              <w:tab w:val="right" w:leader="dot" w:pos="9026"/>
            </w:tabs>
            <w:spacing w:before="120" w:after="60"/>
          </w:pPr>
          <w:hyperlink w:anchor="_Toc100059" w:history="1">
            <w:r>
              <w:rPr>
                <w:rStyle w:val="Hyperlink"/>
              </w:rPr>
              <w:t>10.4 Phase 4 长期切换（第5周起，按需）</w:t>
            </w:r>
            <w:r>
              <w:tab/>
            </w:r>
            <w:r>
              <w:fldChar w:fldCharType="begin"/>
            </w:r>
            <w:r>
              <w:instrText xml:space="preserve"> PAGEREF _Toc100059 \h </w:instrText>
            </w:r>
            <w:r>
              <w:fldChar w:fldCharType="separate"/>
            </w:r>
            <w:r>
              <w:t>25</w:t>
            </w:r>
            <w:r>
              <w:fldChar w:fldCharType="end"/>
            </w:r>
          </w:hyperlink>
        </w:p>
        <w:p>
          <w:pPr>
            <w:pStyle w:val="9"/>
            <w:tabs>
              <w:tab w:val="right" w:leader="dot" w:pos="9026"/>
            </w:tabs>
            <w:spacing w:before="120" w:after="60"/>
          </w:pPr>
          <w:hyperlink w:anchor="_Toc100060" w:history="1">
            <w:r>
              <w:rPr>
                <w:rStyle w:val="Hyperlink"/>
              </w:rPr>
              <w:t>成本与资源评估</w:t>
            </w:r>
            <w:r>
              <w:tab/>
            </w:r>
            <w:r>
              <w:fldChar w:fldCharType="begin"/>
            </w:r>
            <w:r>
              <w:instrText xml:space="preserve"> PAGEREF _Toc100060 \h </w:instrText>
            </w:r>
            <w:r>
              <w:fldChar w:fldCharType="separate"/>
            </w:r>
            <w:r>
              <w:t>25</w:t>
            </w:r>
            <w:r>
              <w:fldChar w:fldCharType="end"/>
            </w:r>
          </w:hyperlink>
        </w:p>
        <w:p>
          <w:pPr>
            <w:pStyle w:val="11"/>
            <w:ind w:left="360"/>
            <w:tabs>
              <w:tab w:val="right" w:leader="dot" w:pos="9026"/>
            </w:tabs>
            <w:spacing w:before="120" w:after="60"/>
          </w:pPr>
          <w:hyperlink w:anchor="_Toc100061" w:history="1">
            <w:r>
              <w:rPr>
                <w:rStyle w:val="Hyperlink"/>
              </w:rPr>
              <w:t>11.1 一次性成本</w:t>
            </w:r>
            <w:r>
              <w:tab/>
            </w:r>
            <w:r>
              <w:fldChar w:fldCharType="begin"/>
            </w:r>
            <w:r>
              <w:instrText xml:space="preserve"> PAGEREF _Toc100061 \h </w:instrText>
            </w:r>
            <w:r>
              <w:fldChar w:fldCharType="separate"/>
            </w:r>
            <w:r>
              <w:t>25</w:t>
            </w:r>
            <w:r>
              <w:fldChar w:fldCharType="end"/>
            </w:r>
          </w:hyperlink>
        </w:p>
        <w:p>
          <w:pPr>
            <w:pStyle w:val="11"/>
            <w:ind w:left="360"/>
            <w:tabs>
              <w:tab w:val="right" w:leader="dot" w:pos="9026"/>
            </w:tabs>
            <w:spacing w:before="120" w:after="60"/>
          </w:pPr>
          <w:hyperlink w:anchor="_Toc100062" w:history="1">
            <w:r>
              <w:rPr>
                <w:rStyle w:val="Hyperlink"/>
              </w:rPr>
              <w:t>11.2 持续成本</w:t>
            </w:r>
            <w:r>
              <w:tab/>
            </w:r>
            <w:r>
              <w:fldChar w:fldCharType="begin"/>
            </w:r>
            <w:r>
              <w:instrText xml:space="preserve"> PAGEREF _Toc100062 \h </w:instrText>
            </w:r>
            <w:r>
              <w:fldChar w:fldCharType="separate"/>
            </w:r>
            <w:r>
              <w:t>26</w:t>
            </w:r>
            <w:r>
              <w:fldChar w:fldCharType="end"/>
            </w:r>
          </w:hyperlink>
        </w:p>
        <w:p>
          <w:pPr>
            <w:pStyle w:val="11"/>
            <w:ind w:left="360"/>
            <w:tabs>
              <w:tab w:val="right" w:leader="dot" w:pos="9026"/>
            </w:tabs>
            <w:spacing w:before="120" w:after="60"/>
          </w:pPr>
          <w:hyperlink w:anchor="_Toc100063" w:history="1">
            <w:r>
              <w:rPr>
                <w:rStyle w:val="Hyperlink"/>
              </w:rPr>
              <w:t>11.3 硬件要求</w:t>
            </w:r>
            <w:r>
              <w:tab/>
            </w:r>
            <w:r>
              <w:fldChar w:fldCharType="begin"/>
            </w:r>
            <w:r>
              <w:instrText xml:space="preserve"> PAGEREF _Toc100063 \h </w:instrText>
            </w:r>
            <w:r>
              <w:fldChar w:fldCharType="separate"/>
            </w:r>
            <w:r>
              <w:t>26</w:t>
            </w:r>
            <w:r>
              <w:fldChar w:fldCharType="end"/>
            </w:r>
          </w:hyperlink>
        </w:p>
        <w:p>
          <w:pPr>
            <w:pStyle w:val="11"/>
            <w:ind w:left="360"/>
            <w:tabs>
              <w:tab w:val="right" w:leader="dot" w:pos="9026"/>
            </w:tabs>
            <w:spacing w:before="120" w:after="60"/>
          </w:pPr>
          <w:hyperlink w:anchor="_Toc100064" w:history="1">
            <w:r>
              <w:rPr>
                <w:rStyle w:val="Hyperlink"/>
              </w:rPr>
              <w:t>11.4 总拥有成本（TCO）</w:t>
            </w:r>
            <w:r>
              <w:tab/>
            </w:r>
            <w:r>
              <w:fldChar w:fldCharType="begin"/>
            </w:r>
            <w:r>
              <w:instrText xml:space="preserve"> PAGEREF _Toc100064 \h </w:instrText>
            </w:r>
            <w:r>
              <w:fldChar w:fldCharType="separate"/>
            </w:r>
            <w:r>
              <w:t>27</w:t>
            </w:r>
            <w:r>
              <w:fldChar w:fldCharType="end"/>
            </w:r>
          </w:hyperlink>
        </w:p>
        <w:p>
          <w:pPr>
            <w:pStyle w:val="9"/>
            <w:tabs>
              <w:tab w:val="right" w:leader="dot" w:pos="9026"/>
            </w:tabs>
            <w:spacing w:before="120" w:after="60"/>
          </w:pPr>
          <w:hyperlink w:anchor="_Toc100065" w:history="1">
            <w:r>
              <w:rPr>
                <w:rStyle w:val="Hyperlink"/>
              </w:rPr>
              <w:t>附录</w:t>
            </w:r>
            <w:r>
              <w:tab/>
            </w:r>
            <w:r>
              <w:fldChar w:fldCharType="begin"/>
            </w:r>
            <w:r>
              <w:instrText xml:space="preserve"> PAGEREF _Toc100065 \h </w:instrText>
            </w:r>
            <w:r>
              <w:fldChar w:fldCharType="separate"/>
            </w:r>
            <w:r>
              <w:t>27</w:t>
            </w:r>
            <w:r>
              <w:fldChar w:fldCharType="end"/>
            </w:r>
          </w:hyperlink>
        </w:p>
        <w:p>
          <w:pPr>
            <w:pStyle w:val="11"/>
            <w:ind w:left="360"/>
            <w:tabs>
              <w:tab w:val="right" w:leader="dot" w:pos="9026"/>
            </w:tabs>
            <w:spacing w:before="120" w:after="60"/>
          </w:pPr>
          <w:hyperlink w:anchor="_Toc100066" w:history="1">
            <w:r>
              <w:rPr>
                <w:rStyle w:val="Hyperlink"/>
              </w:rPr>
              <w:t>A. v1.0到v2.0差异对照表</w:t>
            </w:r>
            <w:r>
              <w:tab/>
            </w:r>
            <w:r>
              <w:fldChar w:fldCharType="begin"/>
            </w:r>
            <w:r>
              <w:instrText xml:space="preserve"> PAGEREF _Toc100066 \h </w:instrText>
            </w:r>
            <w:r>
              <w:fldChar w:fldCharType="separate"/>
            </w:r>
            <w:r>
              <w:t>27</w:t>
            </w:r>
            <w:r>
              <w:fldChar w:fldCharType="end"/>
            </w:r>
          </w:hyperlink>
        </w:p>
        <w:p>
          <w:pPr>
            <w:pStyle w:val="11"/>
            <w:ind w:left="360"/>
            <w:tabs>
              <w:tab w:val="right" w:leader="dot" w:pos="9026"/>
            </w:tabs>
            <w:spacing w:before="120" w:after="60"/>
          </w:pPr>
          <w:hyperlink w:anchor="_Toc100067" w:history="1">
            <w:r>
              <w:rPr>
                <w:rStyle w:val="Hyperlink"/>
              </w:rPr>
              <w:t>B. 术语表</w:t>
            </w:r>
            <w:r>
              <w:tab/>
            </w:r>
            <w:r>
              <w:fldChar w:fldCharType="begin"/>
            </w:r>
            <w:r>
              <w:instrText xml:space="preserve"> PAGEREF _Toc100067 \h </w:instrText>
            </w:r>
            <w:r>
              <w:fldChar w:fldCharType="separate"/>
            </w:r>
            <w:r>
              <w:t>27</w:t>
            </w:r>
            <w:r>
              <w:fldChar w:fldCharType="end"/>
            </w:r>
          </w:hyperlink>
        </w:p>
        <w:p>
          <w:pPr>
            <w:pStyle w:val="11"/>
            <w:ind w:left="360"/>
            <w:tabs>
              <w:tab w:val="right" w:leader="dot" w:pos="9026"/>
            </w:tabs>
            <w:spacing w:before="120" w:after="60"/>
          </w:pPr>
          <w:hyperlink w:anchor="_Toc100068" w:history="1">
            <w:r>
              <w:rPr>
                <w:rStyle w:val="Hyperlink"/>
              </w:rPr>
              <w:t>C. 参考资料URL清单</w:t>
            </w:r>
            <w:r>
              <w:tab/>
            </w:r>
            <w:r>
              <w:fldChar w:fldCharType="begin"/>
            </w:r>
            <w:r>
              <w:instrText xml:space="preserve"> PAGEREF _Toc100068 \h </w:instrText>
            </w:r>
            <w:r>
              <w:fldChar w:fldCharType="separate"/>
            </w:r>
            <w:r>
              <w:t>28</w:t>
            </w:r>
            <w:r>
              <w:fldChar w:fldCharType="end"/>
            </w:r>
          </w:hyperlink>
        </w:p>
        <w:p>
          <w:pPr>
            <w:pStyle w:val="11"/>
            <w:ind w:left="360"/>
            <w:tabs>
              <w:tab w:val="right" w:leader="dot" w:pos="9026"/>
            </w:tabs>
            <w:spacing w:before="120" w:after="60"/>
          </w:pPr>
          <w:hyperlink w:anchor="_Toc100069" w:history="1">
            <w:r>
              <w:rPr>
                <w:rStyle w:val="Hyperlink"/>
              </w:rPr>
              <w:t>D. 工具版本速查表</w:t>
            </w:r>
            <w:r>
              <w:tab/>
            </w:r>
            <w:r>
              <w:fldChar w:fldCharType="begin"/>
            </w:r>
            <w:r>
              <w:instrText xml:space="preserve"> PAGEREF _Toc100069 \h </w:instrText>
            </w:r>
            <w:r>
              <w:fldChar w:fldCharType="separate"/>
            </w:r>
            <w:r>
              <w:t>29</w:t>
            </w:r>
            <w:r>
              <w:fldChar w:fldCharType="end"/>
            </w:r>
          </w:hyperlink>
        </w:p>
        <w:p>
          <w:r>
            <w:fldChar w:fldCharType="end"/>
          </w:r>
        </w:p>
      </w:sdtContent>
    </w:sdt>
    <w:p>
      <w:pPr>
        <w:spacing w:before="200"/>
      </w:pPr>
      <w:r>
        <w:rPr>
          <w:rFonts w:ascii="Times New Roman" w:eastAsia="SimSun"/>
          <w:i/>
          <w:iCs/>
          <w:color w:val="888888"/>
          <w:sz w:val="18"/>
          <w:szCs w:val="18"/>
        </w:rPr>
        <w:t xml:space="preserve">提示：本目录通过域代码生成，如需更新页码请右键目录→“更新域”。</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80" w:line="360"/>
      </w:pPr>
      <w:bookmarkStart w:id="100000" w:name="_Toc100000"/>
      <w:r>
        <w:rPr>
          <w:rFonts w:ascii="Calibri" w:eastAsia="SimHei"/>
          <w:b/>
          <w:bCs/>
          <w:color w:val="0A1628"/>
          <w:sz w:val="32"/>
          <w:szCs w:val="32"/>
        </w:rPr>
        <w:t xml:space="preserve">执行摘要</w:t>
      </w:r>
      <w:bookmarkEnd w:id="100000"/>
    </w:p>
    <w:p>
      <w:pPr>
        <w:spacing w:after="80" w:line="312"/>
        <w:ind w:firstLine="480"/>
        <w:jc w:val="both"/>
      </w:pPr>
      <w:r>
        <w:rPr>
          <w:rFonts w:ascii="Times New Roman" w:eastAsia="SimSun"/>
          <w:color w:val="1A2B40"/>
          <w:sz w:val="24"/>
          <w:szCs w:val="24"/>
        </w:rPr>
        <w:t xml:space="preserve">本PRD（v2.0版本）定义了一套面向个人知识管理场景的抖音视频归档系统。用户在手机端刷抖音时遇到有价值的知识类视频，只需复制链接并发送到飞书自建机器人，PC端常驻的OpenClaw即接管后续全流程：下载视频、优先抓取抖音官方字幕（无字幕时用faster-whisper GPU版本兜底转写）、可选抽取关键帧送VLM理解、调用Claude或本地LLM总结、直接写入Obsidian Vault目录。最终通过Syncthing P2P、Git版本控制、iCloud/OneDrive云盘三层同步方案将笔记回传到手机端Obsidian供随时查阅。</w:t>
      </w:r>
    </w:p>
    <w:p>
      <w:pPr>
        <w:spacing w:after="80" w:line="312"/>
        <w:ind w:firstLine="480"/>
        <w:jc w:val="both"/>
      </w:pPr>
      <w:r>
        <w:rPr>
          <w:rFonts w:ascii="Times New Roman" w:eastAsia="SimSun"/>
          <w:color w:val="1A2B40"/>
          <w:sz w:val="24"/>
          <w:szCs w:val="24"/>
        </w:rPr>
        <w:t xml:space="preserve">v2.0相比v1.0的关键升级体现在四个维度：第一，中转通道切换为飞书自建机器人（用户已实现飞书→OpenClaw的对接），不再依赖企业微信，避免了企业微信回调的备案和加解密复杂性；第二，内容抽取采用“字幕优先+faster-whisper GPU兜底+VLM关键帧补充”的三层策略，4070s 12GB显卡能以0.5x实时速度处理medium模型，单条5分钟视频转写耗时仅约30秒；第三，AI编排从单一Claude Code升级为OpenClaw作为Agent编排中枢，可灵活调用本地LLM或云端API，长期可完全本地化；第四，多端同步从Obsidian Sync单一付费方案升级为Syncthing+Git+iCloud/OneDrive三层免费方案，兼顾实时性、版本历史和异地容灾。</w:t>
      </w:r>
    </w:p>
    <w:p>
      <w:pPr>
        <w:spacing w:after="80" w:line="312"/>
        <w:ind w:firstLine="480"/>
        <w:jc w:val="both"/>
      </w:pPr>
      <w:r>
        <w:rPr>
          <w:rFonts w:ascii="Times New Roman" w:eastAsia="SimSun"/>
          <w:color w:val="1A2B40"/>
          <w:sz w:val="24"/>
          <w:szCs w:val="24"/>
        </w:rPr>
        <w:t xml:space="preserve">预期效果：用户从看到抖音视频到完成知识归档，全程操作不超过10秒（仅复制链接发送到飞书机器人），其余完全自动化。单条3-5分钟视频端到端处理时间控制在2分钟以内（字幕存在时）或4分钟以内（需Whisper兜底时）。月度持续成本接近零（仅GPU电费约10-20元），无任何订阅费用。</w:t>
      </w:r>
    </w:p>
    <w:p>
      <w:pPr>
        <w:pStyle w:val="Heading1"/>
        <w:spacing w:after="200" w:before="480" w:line="360"/>
      </w:pPr>
      <w:bookmarkStart w:id="100001" w:name="_Toc100001"/>
      <w:r>
        <w:rPr>
          <w:rFonts w:ascii="Calibri" w:eastAsia="SimHei"/>
          <w:b/>
          <w:bCs/>
          <w:color w:val="0A1628"/>
          <w:sz w:val="32"/>
          <w:szCs w:val="32"/>
        </w:rPr>
        <w:t xml:space="preserve">项目背景与目标</w:t>
      </w:r>
      <w:bookmarkEnd w:id="100001"/>
    </w:p>
    <w:p>
      <w:pPr>
        <w:pStyle w:val="Heading2"/>
        <w:spacing w:after="140" w:before="320" w:line="312"/>
      </w:pPr>
      <w:bookmarkStart w:id="100002" w:name="_Toc100002"/>
      <w:r>
        <w:rPr>
          <w:rFonts w:ascii="Calibri" w:eastAsia="SimHei"/>
          <w:b/>
          <w:bCs/>
          <w:color w:val="0A1628"/>
          <w:sz w:val="28"/>
          <w:szCs w:val="28"/>
        </w:rPr>
        <w:t xml:space="preserve">1.1 痛点描述</w:t>
      </w:r>
      <w:bookmarkEnd w:id="100002"/>
    </w:p>
    <w:p>
      <w:pPr>
        <w:spacing w:after="80" w:line="312"/>
        <w:ind w:firstLine="480"/>
        <w:jc w:val="both"/>
      </w:pPr>
      <w:r>
        <w:rPr>
          <w:rFonts w:ascii="Times New Roman" w:eastAsia="SimSun"/>
          <w:color w:val="1A2B40"/>
          <w:sz w:val="24"/>
          <w:szCs w:val="24"/>
        </w:rPr>
        <w:t xml:space="preserve">抖音平台已经从纯娱乐短视频演变为重要的知识分发渠道，涵盖编程教学、商业洞察、英语学习、财经分析、读书笔记等多种内容形态。然而抖音本身的产品设计偏向消费场景而非沉淀场景，用户遇到有价值的知识内容时面临三个核心痛点：第一，抖音的收藏功能仅保存视频链接，无法检索视频内的具体内容；第二，跨平台迁移成本高，没有官方导出接口；第三，即使下载了视频文件，也无法快速获取其文字版以便后续检索和引用。</w:t>
      </w:r>
    </w:p>
    <w:p>
      <w:pPr>
        <w:spacing w:after="80" w:line="312"/>
        <w:ind w:firstLine="480"/>
        <w:jc w:val="both"/>
      </w:pPr>
      <w:r>
        <w:rPr>
          <w:rFonts w:ascii="Times New Roman" w:eastAsia="SimSun"/>
          <w:color w:val="1A2B40"/>
          <w:sz w:val="24"/>
          <w:szCs w:val="24"/>
        </w:rPr>
        <w:t xml:space="preserve">与此同时，Obsidian作为主流的个人知识管理工具，支持Markdown、双链、标签、全文检索，是沉淀此类视频知识的理想载体。但Obsidian本身不提供视频内容提取能力——它只是Markdown笔记的管理工具，没有ASR（语音识别）、没有OCR（文字识别）、没有视觉理解能力。本方案的核心目标是用自动化手段填补“视频源”与“知识库”之间的鸿沟，让Obsidian专注展示，让外部工具链专注解析。</w:t>
      </w:r>
    </w:p>
    <w:p>
      <w:pPr>
        <w:pStyle w:val="Heading2"/>
        <w:spacing w:after="140" w:before="320" w:line="312"/>
      </w:pPr>
      <w:bookmarkStart w:id="100003" w:name="_Toc100003"/>
      <w:r>
        <w:rPr>
          <w:rFonts w:ascii="Calibri" w:eastAsia="SimHei"/>
          <w:b/>
          <w:bCs/>
          <w:color w:val="0A1628"/>
          <w:sz w:val="28"/>
          <w:szCs w:val="28"/>
        </w:rPr>
        <w:t xml:space="preserve">1.2 Obsidian在链路中的角色澄清</w:t>
      </w:r>
      <w:bookmarkEnd w:id="100003"/>
    </w:p>
    <w:p>
      <w:pPr>
        <w:spacing w:after="80" w:line="312"/>
        <w:ind w:firstLine="480"/>
        <w:jc w:val="both"/>
      </w:pPr>
      <w:r>
        <w:rPr>
          <w:rFonts w:ascii="Times New Roman" w:eastAsia="SimSun"/>
          <w:color w:val="1A2B40"/>
          <w:sz w:val="24"/>
          <w:szCs w:val="24"/>
        </w:rPr>
        <w:t xml:space="preserve">许多用户初次设计此类链路时会问：“Obsidian能解析视频内容吗（音频和图片）？”答案是：Obsidian本身不能解析任何视频内容，它只是Markdown笔记的读写和展示工具。但这并不影响链路设计——正确的架构是让OpenClaw（PC端常驻的Agent编排中枢）调用外部工具链完成解析，将结果以Markdown文件形式写入Obsidian Vault目录。Obsidian通过文件系统监听自动感知新文件并刷新界面，整个过程Obsidian不需要任何解析能力。</w:t>
      </w:r>
    </w:p>
    <w:p>
      <w:pPr>
        <w:spacing w:after="80" w:line="312"/>
        <w:ind w:firstLine="480"/>
        <w:jc w:val="both"/>
      </w:pPr>
      <w:r>
        <w:rPr>
          <w:rFonts w:ascii="Times New Roman" w:eastAsia="SimSun"/>
          <w:color w:val="1A2B40"/>
          <w:sz w:val="24"/>
          <w:szCs w:val="24"/>
        </w:rPr>
        <w:t xml:space="preserve">具体而言，OpenClaw作为编排中枢承担三类职责：第一，接收飞书bot转发的事件并解析URL；第二，调用yt-dlp、faster-whisper、VLM等本地工具完成视频下载、字幕提取、转写兜底、关键帧理解；第三，调用Claude或本地LLM生成结构化笔记内容，通过文件系统直接写入Vault目录。Obsidian只负责展示这些已经生成好的笔记，并提供检索、双链、标签等知识管理能力。</w:t>
      </w:r>
    </w:p>
    <w:p>
      <w:pPr>
        <w:pStyle w:val="Heading2"/>
        <w:spacing w:after="140" w:before="320" w:line="312"/>
      </w:pPr>
      <w:bookmarkStart w:id="100004" w:name="_Toc100004"/>
      <w:r>
        <w:rPr>
          <w:rFonts w:ascii="Calibri" w:eastAsia="SimHei"/>
          <w:b/>
          <w:bCs/>
          <w:color w:val="0A1628"/>
          <w:sz w:val="28"/>
          <w:szCs w:val="28"/>
        </w:rPr>
        <w:t xml:space="preserve">1.3 用户场景</w:t>
      </w:r>
      <w:bookmarkEnd w:id="100004"/>
    </w:p>
    <w:p>
      <w:pPr>
        <w:spacing w:after="80" w:line="312"/>
        <w:ind w:firstLine="480"/>
        <w:jc w:val="both"/>
      </w:pPr>
      <w:r>
        <w:rPr>
          <w:rFonts w:ascii="Times New Roman" w:eastAsia="SimSun"/>
          <w:color w:val="1A2B40"/>
          <w:sz w:val="24"/>
          <w:szCs w:val="24"/>
        </w:rPr>
        <w:t xml:space="preserve">典型使用场景如下：用户在通勤路上用手机刷抖音，遇到一条讲解“如何用Claude Code批量重构遗留代码”的5分钟视频。用户点击分享→复制链接→打开飞书App→找到自建机器人对话框→粘贴链接→发送。整个过程不超过10秒。OpenClaw在PC端接收事件后立即触发pipeline：yt-dlp下载视频并尝试获取抖音官方字幕；若字幕存在直接使用（耗时仅几秒），若不存在则启动4070s GPU运行faster-whisper medium模型转写（约30秒）；可选抽取视频关键帧送VLM理解画面PPT或字幕条；调用Claude总结要点；生成Markdown笔记写入Vault。Syncthing在30秒内将笔记P2P同步到手机端Obsidian。</w:t>
      </w:r>
    </w:p>
    <w:p>
      <w:pPr>
        <w:pStyle w:val="Heading2"/>
        <w:spacing w:after="140" w:before="320" w:line="312"/>
      </w:pPr>
      <w:bookmarkStart w:id="100005" w:name="_Toc100005"/>
      <w:r>
        <w:rPr>
          <w:rFonts w:ascii="Calibri" w:eastAsia="SimHei"/>
          <w:b/>
          <w:bCs/>
          <w:color w:val="0A1628"/>
          <w:sz w:val="28"/>
          <w:szCs w:val="28"/>
        </w:rPr>
        <w:t xml:space="preserve">1.4 项目目标</w:t>
      </w:r>
      <w:bookmarkEnd w:id="100005"/>
    </w:p>
    <w:p>
      <w:pPr>
        <w:spacing w:after="80" w:line="312"/>
        <w:ind w:firstLine="480"/>
        <w:jc w:val="both"/>
      </w:pPr>
      <w:r>
        <w:rPr>
          <w:rFonts w:ascii="Times New Roman" w:eastAsia="SimSun"/>
          <w:color w:val="1A2B40"/>
          <w:sz w:val="24"/>
          <w:szCs w:val="24"/>
        </w:rPr>
        <w:t xml:space="preserve">核心目标是建立一条“零摩擦采集”的知识归档链路，具体可量化指标包括：第一，单条视频从发送到笔记生成完成的总耗时：字幕存在时≤2分钟，需Whisper兜底时≤4分钟，需VLM补充时≤6分钟；第二，用户手动操作步骤不超过2步（复制链接+发送消息）；第三，转写文字准确率：字幕路径≥95%（抖音官方ASR质量高），Whisper路径≥90%（medium模型+4070s GPU）；第四，AI总结能正确提炼3-7个核心要点并生成可读性良好的Markdown笔记；第五，整套系统的月度持续成本控制在30元以内（仅GPU电费，无订阅费）。</w:t>
      </w:r>
    </w:p>
    <w:p>
      <w:pPr>
        <w:pStyle w:val="Heading2"/>
        <w:spacing w:after="140" w:before="320" w:line="312"/>
      </w:pPr>
      <w:bookmarkStart w:id="100006" w:name="_Toc100006"/>
      <w:r>
        <w:rPr>
          <w:rFonts w:ascii="Calibri" w:eastAsia="SimHei"/>
          <w:b/>
          <w:bCs/>
          <w:color w:val="0A1628"/>
          <w:sz w:val="28"/>
          <w:szCs w:val="28"/>
        </w:rPr>
        <w:t xml:space="preserve">1.5 范围边界</w:t>
      </w:r>
      <w:bookmarkEnd w:id="100006"/>
    </w:p>
    <w:p>
      <w:pPr>
        <w:spacing w:after="80" w:line="312"/>
        <w:ind w:firstLine="480"/>
        <w:jc w:val="both"/>
      </w:pPr>
      <w:r>
        <w:rPr>
          <w:rFonts w:ascii="Times New Roman" w:eastAsia="SimSun"/>
          <w:color w:val="1A2B40"/>
          <w:sz w:val="24"/>
          <w:szCs w:val="24"/>
        </w:rPr>
        <w:t xml:space="preserve">本期项目范围限定为：仅支持抖音平台短视频（不含长视频和直播切片）；单人使用场景，不考虑多用户权限；PC端处理为主（PC常驻、4070s显卡），手机端仅做采集和查阅；视频内容提取以“字幕优先+Whisper兜底”为主路径（必选），关键帧VLM理解为补充路径（可选）。明确不做的事项包括：不做大规模批处理（一次只处理一条）、不做云端公开发布、不做视频二次创作或剪辑、不绕过抖音付费内容墙。</w:t>
      </w:r>
    </w:p>
    <w:p>
      <w:pPr>
        <w:pStyle w:val="Heading2"/>
        <w:spacing w:after="140" w:before="320" w:line="312"/>
      </w:pPr>
      <w:bookmarkStart w:id="100007" w:name="_Toc100007"/>
      <w:r>
        <w:rPr>
          <w:rFonts w:ascii="Calibri" w:eastAsia="SimHei"/>
          <w:b/>
          <w:bCs/>
          <w:color w:val="0A1628"/>
          <w:sz w:val="28"/>
          <w:szCs w:val="28"/>
        </w:rPr>
        <w:t xml:space="preserve">1.6 非目标说明</w:t>
      </w:r>
      <w:bookmarkEnd w:id="100007"/>
    </w:p>
    <w:p>
      <w:pPr>
        <w:spacing w:after="80" w:line="312"/>
        <w:ind w:firstLine="480"/>
        <w:jc w:val="both"/>
      </w:pPr>
      <w:r>
        <w:rPr>
          <w:rFonts w:ascii="Times New Roman" w:eastAsia="SimSun"/>
          <w:color w:val="1A2B40"/>
          <w:sz w:val="24"/>
          <w:szCs w:val="24"/>
        </w:rPr>
        <w:t xml:space="preserve">有几个常见但本期不实现的需求需要明确排除：第一，不实现实时直播流处理，仅处理已发布的短视频；第二，不实现自动标签聚类，标签由AI根据内容生成但用户可手动调整，不做跨笔记的自动分类；第三，不实现与Notion/Logseq等其他知识库的互通，专注Obsidian单一生态；第四，不实现移动端本地处理，所有重计算都在PC端完成，手机端仅做采集和查阅。这些非目标的设定是为了让MVP尽快可用，相关能力留作后续扩展。</w:t>
      </w:r>
    </w:p>
    <w:p>
      <w:pPr>
        <w:pStyle w:val="Heading1"/>
        <w:spacing w:after="200" w:before="480" w:line="360"/>
      </w:pPr>
      <w:bookmarkStart w:id="100008" w:name="_Toc100008"/>
      <w:r>
        <w:rPr>
          <w:rFonts w:ascii="Calibri" w:eastAsia="SimHei"/>
          <w:b/>
          <w:bCs/>
          <w:color w:val="0A1628"/>
          <w:sz w:val="32"/>
          <w:szCs w:val="32"/>
        </w:rPr>
        <w:t xml:space="preserve">整体方案与链路架构</w:t>
      </w:r>
      <w:bookmarkEnd w:id="100008"/>
    </w:p>
    <w:p>
      <w:pPr>
        <w:pStyle w:val="Heading2"/>
        <w:spacing w:after="140" w:before="320" w:line="312"/>
      </w:pPr>
      <w:bookmarkStart w:id="100009" w:name="_Toc100009"/>
      <w:r>
        <w:rPr>
          <w:rFonts w:ascii="Calibri" w:eastAsia="SimHei"/>
          <w:b/>
          <w:bCs/>
          <w:color w:val="0A1628"/>
          <w:sz w:val="28"/>
          <w:szCs w:val="28"/>
        </w:rPr>
        <w:t xml:space="preserve">2.1 链路总览</w:t>
      </w:r>
      <w:bookmarkEnd w:id="100009"/>
    </w:p>
    <w:p>
      <w:pPr>
        <w:spacing w:after="80" w:line="312"/>
        <w:ind w:firstLine="480"/>
        <w:jc w:val="both"/>
      </w:pPr>
      <w:r>
        <w:rPr>
          <w:rFonts w:ascii="Times New Roman" w:eastAsia="SimSun"/>
          <w:color w:val="1A2B40"/>
          <w:sz w:val="24"/>
          <w:szCs w:val="24"/>
        </w:rPr>
        <w:t xml:space="preserve">完整链路分为采集、中转、编排、处理、归档、同步六个阶段。采集阶段发生在手机端，用户在抖音App内复制视频分享链接；中转阶段通过飞书自建机器人接收文本消息，转发给PC端常驻的OpenClaw；编排阶段由OpenClaw作为Agent中枢，依次调用本地工具链完成各步骤；处理阶段执行视频下载、字幕提取、Whisper兜底转写、关键帧VLM理解；归档阶段将结构化结果写入Obsidian Vault目录；同步阶段通过Syncthing P2P实时同步+Git版本控制+iCloud/OneDrive云盘备份三层机制将笔记回传到手机端。</w:t>
      </w:r>
    </w:p>
    <w:p>
      <w:pPr>
        <w:spacing w:after="80" w:line="312"/>
        <w:ind w:firstLine="480"/>
        <w:jc w:val="both"/>
      </w:pPr>
      <w:r>
        <w:rPr>
          <w:rFonts w:ascii="Times New Roman" w:eastAsia="SimSun"/>
          <w:color w:val="1A2B40"/>
          <w:sz w:val="24"/>
          <w:szCs w:val="24"/>
        </w:rPr>
        <w:t xml:space="preserve">以下流程图（文字版）展示了完整链路的各个环节及其数据流向。OpenClaw是整个链路的编排中枢，所有工具调用都由它协调，Obsidian只是被动接收写入的笔记文件。</w:t>
      </w:r>
    </w:p>
    <w:p>
      <w:pPr>
        <w:shd w:fill="F4F6F8" w:val="clear"/>
        <w:spacing w:after="80" w:before="80" w:line="280"/>
        <w:ind w:left="240" w:right="240"/>
      </w:pPr>
      <w:r>
        <w:rPr>
          <w:rFonts w:ascii="Consolas" w:eastAsia="Sarasa Mono SC"/>
          <w:color w:val="0A1628"/>
          <w:sz w:val="20"/>
          <w:szCs w:val="20"/>
        </w:rPr>
        <w:t xml:space="preserve">[手机] 抖音App → 复制分享链接(v.douyin.com/xxx)</w:t>
      </w:r>
    </w:p>
    <w:p>
      <w:pPr>
        <w:shd w:fill="F4F6F8" w:val="clear"/>
        <w:spacing w:after="80" w:before="80" w:line="280"/>
        <w:ind w:left="240" w:right="240"/>
      </w:pPr>
      <w:r>
        <w:rPr>
          <w:rFonts w:ascii="Consolas" w:eastAsia="Sarasa Mono SC"/>
          <w:color w:val="0A1628"/>
          <w:sz w:val="20"/>
          <w:szCs w:val="20"/>
        </w:rPr>
        <w:t xml:space="preserve">   ↓ 用户操作</w:t>
      </w:r>
    </w:p>
    <w:p>
      <w:pPr>
        <w:shd w:fill="F4F6F8" w:val="clear"/>
        <w:spacing w:after="80" w:before="80" w:line="280"/>
        <w:ind w:left="240" w:right="240"/>
      </w:pPr>
      <w:r>
        <w:rPr>
          <w:rFonts w:ascii="Consolas" w:eastAsia="Sarasa Mono SC"/>
          <w:color w:val="0A1628"/>
          <w:sz w:val="20"/>
          <w:szCs w:val="20"/>
        </w:rPr>
        <w:t xml:space="preserve">[手机] 飞书App → 自建机器人对话框 → 发送链接</w:t>
      </w:r>
    </w:p>
    <w:p>
      <w:pPr>
        <w:shd w:fill="F4F6F8" w:val="clear"/>
        <w:spacing w:after="80" w:before="80" w:line="280"/>
        <w:ind w:left="240" w:right="240"/>
      </w:pPr>
      <w:r>
        <w:rPr>
          <w:rFonts w:ascii="Consolas" w:eastAsia="Sarasa Mono SC"/>
          <w:color w:val="0A1628"/>
          <w:sz w:val="20"/>
          <w:szCs w:val="20"/>
        </w:rPr>
        <w:t xml:space="preserve">   ↓ 飞书开放平台事件订阅</w:t>
      </w:r>
    </w:p>
    <w:p>
      <w:pPr>
        <w:shd w:fill="F4F6F8" w:val="clear"/>
        <w:spacing w:after="80" w:before="80" w:line="280"/>
        <w:ind w:left="240" w:right="240"/>
      </w:pPr>
      <w:r>
        <w:rPr>
          <w:rFonts w:ascii="Consolas" w:eastAsia="Sarasa Mono SC"/>
          <w:color w:val="0A1628"/>
          <w:sz w:val="20"/>
          <w:szCs w:val="20"/>
        </w:rPr>
        <w:t xml:space="preserve">[PC] OpenClaw常驻服务（已对接飞书bot）</w:t>
      </w:r>
    </w:p>
    <w:p>
      <w:pPr>
        <w:shd w:fill="F4F6F8" w:val="clear"/>
        <w:spacing w:after="80" w:before="80" w:line="280"/>
        <w:ind w:left="240" w:right="240"/>
      </w:pPr>
      <w:r>
        <w:rPr>
          <w:rFonts w:ascii="Consolas" w:eastAsia="Sarasa Mono SC"/>
          <w:color w:val="0A1628"/>
          <w:sz w:val="20"/>
          <w:szCs w:val="20"/>
        </w:rPr>
        <w:t xml:space="preserve">   ↓ OpenClaw编排，依次调用工具</w:t>
      </w:r>
    </w:p>
    <w:p>
      <w:pPr>
        <w:shd w:fill="F4F6F8" w:val="clear"/>
        <w:spacing w:after="80" w:before="80" w:line="280"/>
        <w:ind w:left="240" w:right="240"/>
      </w:pPr>
      <w:r>
        <w:rPr>
          <w:rFonts w:ascii="Consolas" w:eastAsia="Sarasa Mono SC"/>
          <w:color w:val="0A1628"/>
          <w:sz w:val="20"/>
          <w:szCs w:val="20"/>
        </w:rPr>
        <w:t xml:space="preserve">[PC] 工具链执行：</w:t>
      </w:r>
    </w:p>
    <w:p>
      <w:pPr>
        <w:shd w:fill="F4F6F8" w:val="clear"/>
        <w:spacing w:after="80" w:before="80" w:line="280"/>
        <w:ind w:left="240" w:right="240"/>
      </w:pPr>
      <w:r>
        <w:rPr>
          <w:rFonts w:ascii="Consolas" w:eastAsia="Sarasa Mono SC"/>
          <w:color w:val="0A1628"/>
          <w:sz w:val="20"/>
          <w:szCs w:val="20"/>
        </w:rPr>
        <w:t xml:space="preserve">   ├─→ yt-dlp 下载视频 + 尝试获取抖音CC字幕(.vtt)</w:t>
      </w:r>
    </w:p>
    <w:p>
      <w:pPr>
        <w:shd w:fill="F4F6F8" w:val="clear"/>
        <w:spacing w:after="80" w:before="80" w:line="280"/>
        <w:ind w:left="240" w:right="240"/>
      </w:pPr>
      <w:r>
        <w:rPr>
          <w:rFonts w:ascii="Consolas" w:eastAsia="Sarasa Mono SC"/>
          <w:color w:val="0A1628"/>
          <w:sz w:val="20"/>
          <w:szCs w:val="20"/>
        </w:rPr>
        <w:t xml:space="preserve">   ├─→ IF 字幕存在：直接使用（耗时几秒）</w:t>
      </w:r>
    </w:p>
    <w:p>
      <w:pPr>
        <w:shd w:fill="F4F6F8" w:val="clear"/>
        <w:spacing w:after="80" w:before="80" w:line="280"/>
        <w:ind w:left="240" w:right="240"/>
      </w:pPr>
      <w:r>
        <w:rPr>
          <w:rFonts w:ascii="Consolas" w:eastAsia="Sarasa Mono SC"/>
          <w:color w:val="0A1628"/>
          <w:sz w:val="20"/>
          <w:szCs w:val="20"/>
        </w:rPr>
        <w:t xml:space="preserve">   │   ELSE：ffmpeg提取音频 → faster-whisper GPU转写</w:t>
      </w:r>
    </w:p>
    <w:p>
      <w:pPr>
        <w:shd w:fill="F4F6F8" w:val="clear"/>
        <w:spacing w:after="80" w:before="80" w:line="280"/>
        <w:ind w:left="240" w:right="240"/>
      </w:pPr>
      <w:r>
        <w:rPr>
          <w:rFonts w:ascii="Consolas" w:eastAsia="Sarasa Mono SC"/>
          <w:color w:val="0A1628"/>
          <w:sz w:val="20"/>
          <w:szCs w:val="20"/>
        </w:rPr>
        <w:t xml:space="preserve">   ├─→ (可选) ffmpeg抽关键帧 → VLM理解画面</w:t>
      </w:r>
    </w:p>
    <w:p>
      <w:pPr>
        <w:shd w:fill="F4F6F8" w:val="clear"/>
        <w:spacing w:after="80" w:before="80" w:line="280"/>
        <w:ind w:left="240" w:right="240"/>
      </w:pPr>
      <w:r>
        <w:rPr>
          <w:rFonts w:ascii="Consolas" w:eastAsia="Sarasa Mono SC"/>
          <w:color w:val="0A1628"/>
          <w:sz w:val="20"/>
          <w:szCs w:val="20"/>
        </w:rPr>
        <w:t xml:space="preserve">   ├─→ Claude/本地LLM 总结+生成Markdown笔记</w:t>
      </w:r>
    </w:p>
    <w:p>
      <w:pPr>
        <w:shd w:fill="F4F6F8" w:val="clear"/>
        <w:spacing w:after="80" w:before="80" w:line="280"/>
        <w:ind w:left="240" w:right="240"/>
      </w:pPr>
      <w:r>
        <w:rPr>
          <w:rFonts w:ascii="Consolas" w:eastAsia="Sarasa Mono SC"/>
          <w:color w:val="0A1628"/>
          <w:sz w:val="20"/>
          <w:szCs w:val="20"/>
        </w:rPr>
        <w:t xml:space="preserve">   └─→ 文件系统写入 ~/douyin-archive/vault/</w:t>
      </w:r>
    </w:p>
    <w:p>
      <w:pPr>
        <w:shd w:fill="F4F6F8" w:val="clear"/>
        <w:spacing w:after="80" w:before="80" w:line="280"/>
        <w:ind w:left="240" w:right="240"/>
      </w:pPr>
      <w:r>
        <w:rPr>
          <w:rFonts w:ascii="Consolas" w:eastAsia="Sarasa Mono SC"/>
          <w:color w:val="0A1628"/>
          <w:sz w:val="20"/>
          <w:szCs w:val="20"/>
        </w:rPr>
        <w:t xml:space="preserve">   ↓ Obsidian监听文件系统自动刷新</w:t>
      </w:r>
    </w:p>
    <w:p>
      <w:pPr>
        <w:shd w:fill="F4F6F8" w:val="clear"/>
        <w:spacing w:after="80" w:before="80" w:line="280"/>
        <w:ind w:left="240" w:right="240"/>
      </w:pPr>
      <w:r>
        <w:rPr>
          <w:rFonts w:ascii="Consolas" w:eastAsia="Sarasa Mono SC"/>
          <w:color w:val="0A1628"/>
          <w:sz w:val="20"/>
          <w:szCs w:val="20"/>
        </w:rPr>
        <w:t xml:space="preserve">[PC] Obsidian 展示笔记</w:t>
      </w:r>
    </w:p>
    <w:p>
      <w:pPr>
        <w:shd w:fill="F4F6F8" w:val="clear"/>
        <w:spacing w:after="80" w:before="80" w:line="280"/>
        <w:ind w:left="240" w:right="240"/>
      </w:pPr>
      <w:r>
        <w:rPr>
          <w:rFonts w:ascii="Consolas" w:eastAsia="Sarasa Mono SC"/>
          <w:color w:val="0A1628"/>
          <w:sz w:val="20"/>
          <w:szCs w:val="20"/>
        </w:rPr>
        <w:t xml:space="preserve">   ↓ 三层同步</w:t>
      </w:r>
    </w:p>
    <w:p>
      <w:pPr>
        <w:shd w:fill="F4F6F8" w:val="clear"/>
        <w:spacing w:after="80" w:before="80" w:line="280"/>
        <w:ind w:left="240" w:right="240"/>
      </w:pPr>
      <w:r>
        <w:rPr>
          <w:rFonts w:ascii="Consolas" w:eastAsia="Sarasa Mono SC"/>
          <w:color w:val="0A1628"/>
          <w:sz w:val="20"/>
          <w:szCs w:val="20"/>
        </w:rPr>
        <w:t xml:space="preserve">   ├─→ Syncthing P2P（局域网/外网，实时）</w:t>
      </w:r>
    </w:p>
    <w:p>
      <w:pPr>
        <w:shd w:fill="F4F6F8" w:val="clear"/>
        <w:spacing w:after="80" w:before="80" w:line="280"/>
        <w:ind w:left="240" w:right="240"/>
      </w:pPr>
      <w:r>
        <w:rPr>
          <w:rFonts w:ascii="Consolas" w:eastAsia="Sarasa Mono SC"/>
          <w:color w:val="0A1628"/>
          <w:sz w:val="20"/>
          <w:szCs w:val="20"/>
        </w:rPr>
        <w:t xml:space="preserve">   ├─→ Git 推送到私仓（版本历史）</w:t>
      </w:r>
    </w:p>
    <w:p>
      <w:pPr>
        <w:shd w:fill="F4F6F8" w:val="clear"/>
        <w:spacing w:after="80" w:before="80" w:line="280"/>
        <w:ind w:left="240" w:right="240"/>
      </w:pPr>
      <w:r>
        <w:rPr>
          <w:rFonts w:ascii="Consolas" w:eastAsia="Sarasa Mono SC"/>
          <w:color w:val="0A1628"/>
          <w:sz w:val="20"/>
          <w:szCs w:val="20"/>
        </w:rPr>
        <w:t xml:space="preserve">   └─→ iCloud/OneDrive（云盘镜像备份）</w:t>
      </w:r>
    </w:p>
    <w:p>
      <w:pPr>
        <w:shd w:fill="F4F6F8" w:val="clear"/>
        <w:spacing w:after="80" w:before="80" w:line="280"/>
        <w:ind w:left="240" w:right="240"/>
      </w:pPr>
      <w:r>
        <w:rPr>
          <w:rFonts w:ascii="Consolas" w:eastAsia="Sarasa Mono SC"/>
          <w:color w:val="0A1628"/>
          <w:sz w:val="20"/>
          <w:szCs w:val="20"/>
        </w:rPr>
        <w:t xml:space="preserve">   ↓</w:t>
      </w:r>
    </w:p>
    <w:p>
      <w:pPr>
        <w:shd w:fill="F4F6F8" w:val="clear"/>
        <w:spacing w:after="80" w:before="80" w:line="280"/>
        <w:ind w:left="240" w:right="240"/>
      </w:pPr>
      <w:r>
        <w:rPr>
          <w:rFonts w:ascii="Consolas" w:eastAsia="Sarasa Mono SC"/>
          <w:color w:val="0A1628"/>
          <w:sz w:val="20"/>
          <w:szCs w:val="20"/>
        </w:rPr>
        <w:t xml:space="preserve">[手机] Obsidian App → 查阅笔记</w:t>
      </w:r>
    </w:p>
    <w:p>
      <w:pPr>
        <w:spacing w:after="200" w:before="80"/>
        <w:jc w:val="center"/>
      </w:pPr>
      <w:r>
        <w:rPr>
          <w:rFonts w:ascii="Times New Roman" w:eastAsia="SimSun"/>
          <w:i/>
          <w:iCs/>
          <w:color w:val="6878A0"/>
          <w:sz w:val="21"/>
          <w:szCs w:val="21"/>
        </w:rPr>
        <w:t xml:space="preserve">图2-1 v2.0完整链路数据流向图</w:t>
      </w:r>
    </w:p>
    <w:p>
      <w:pPr>
        <w:pStyle w:val="Heading2"/>
        <w:spacing w:after="140" w:before="320" w:line="312"/>
      </w:pPr>
      <w:bookmarkStart w:id="100010" w:name="_Toc100010"/>
      <w:r>
        <w:rPr>
          <w:rFonts w:ascii="Calibri" w:eastAsia="SimHei"/>
          <w:b/>
          <w:bCs/>
          <w:color w:val="0A1628"/>
          <w:sz w:val="28"/>
          <w:szCs w:val="28"/>
        </w:rPr>
        <w:t xml:space="preserve">2.2 各环节职责矩阵</w:t>
      </w:r>
      <w:bookmarkEnd w:id="100010"/>
    </w:p>
    <w:p>
      <w:pPr>
        <w:spacing w:after="80" w:line="312"/>
        <w:ind w:firstLine="480"/>
        <w:jc w:val="both"/>
      </w:pPr>
      <w:r>
        <w:rPr>
          <w:rFonts w:ascii="Times New Roman" w:eastAsia="SimSun"/>
          <w:color w:val="1A2B40"/>
          <w:sz w:val="24"/>
          <w:szCs w:val="24"/>
        </w:rPr>
        <w:t xml:space="preserve">下表列出链路中各组件的职责、运行位置、关键依赖和替代方案。OpenClaw作为编排中枢是核心创新点，它替代了v1.0中Claude Code单一调用的局限，能灵活编排多种工具。</w:t>
      </w:r>
    </w:p>
    <w:p>
      <w:pPr>
        <w:keepNext/>
        <w:spacing w:after="80" w:before="200"/>
      </w:pPr>
      <w:r>
        <w:rPr>
          <w:rFonts w:ascii="Calibri" w:eastAsia="SimHei"/>
          <w:b/>
          <w:bCs/>
          <w:color w:val="0A1628"/>
          <w:sz w:val="21"/>
          <w:szCs w:val="21"/>
        </w:rPr>
        <w:t xml:space="preserve">表2-1 链路各环节职责与替代方案</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gridCol w:w="100"/>
        <w:gridCol w:w="100"/>
      </w:tblGrid>
      <w:tr>
        <w:trPr>
          <w:cantSplit/>
          <w:tblHeader/>
        </w:trPr>
        <w:tc>
          <w:tcPr>
            <w:tcW w:type="pct" w:w="10%"/>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环节</w:t>
            </w:r>
          </w:p>
        </w:tc>
        <w:tc>
          <w:tcPr>
            <w:tcW w:type="pct" w:w="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运行位置</w:t>
            </w:r>
          </w:p>
        </w:tc>
        <w:tc>
          <w:tcPr>
            <w:tcW w:type="pct" w:w="1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核心组件</w:t>
            </w:r>
          </w:p>
        </w:tc>
        <w:tc>
          <w:tcPr>
            <w:tcW w:type="pct" w:w="30%"/>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职责</w:t>
            </w:r>
          </w:p>
        </w:tc>
        <w:tc>
          <w:tcPr>
            <w:tcW w:type="pct" w:w="34%"/>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替代方案</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消息采集</w:t>
            </w:r>
          </w:p>
        </w:tc>
        <w:tc>
          <w:tcPr>
            <w:tcW w:type="pct" w:w="8%"/>
            <w:tcMar>
              <w:top w:type="dxa" w:w="60"/>
              <w:left w:type="dxa" w:w="100"/>
              <w:bottom w:type="dxa" w:w="60"/>
              <w:right w:type="dxa" w:w="100"/>
            </w:tcMar>
          </w:tcPr>
          <w:p>
            <w:r>
              <w:rPr>
                <w:rFonts w:ascii="Times New Roman" w:eastAsia="SimSun"/>
                <w:color w:val="1A2B40"/>
                <w:sz w:val="20"/>
                <w:szCs w:val="20"/>
              </w:rPr>
              <w:t xml:space="preserve">手机</w:t>
            </w:r>
          </w:p>
        </w:tc>
        <w:tc>
          <w:tcPr>
            <w:tcW w:type="pct" w:w="18%"/>
            <w:tcMar>
              <w:top w:type="dxa" w:w="60"/>
              <w:left w:type="dxa" w:w="100"/>
              <w:bottom w:type="dxa" w:w="60"/>
              <w:right w:type="dxa" w:w="100"/>
            </w:tcMar>
          </w:tcPr>
          <w:p>
            <w:r>
              <w:rPr>
                <w:rFonts w:ascii="Times New Roman" w:eastAsia="SimSun"/>
                <w:color w:val="1A2B40"/>
                <w:sz w:val="20"/>
                <w:szCs w:val="20"/>
              </w:rPr>
              <w:t xml:space="preserve">抖音App+飞书App</w:t>
            </w:r>
          </w:p>
        </w:tc>
        <w:tc>
          <w:tcPr>
            <w:tcW w:type="pct" w:w="30%"/>
            <w:tcMar>
              <w:top w:type="dxa" w:w="60"/>
              <w:left w:type="dxa" w:w="100"/>
              <w:bottom w:type="dxa" w:w="60"/>
              <w:right w:type="dxa" w:w="100"/>
            </w:tcMar>
          </w:tcPr>
          <w:p>
            <w:r>
              <w:rPr>
                <w:rFonts w:ascii="Times New Roman" w:eastAsia="SimSun"/>
                <w:color w:val="1A2B40"/>
                <w:sz w:val="20"/>
                <w:szCs w:val="20"/>
              </w:rPr>
              <w:t xml:space="preserve">复制链接并发送</w:t>
            </w:r>
          </w:p>
        </w:tc>
        <w:tc>
          <w:tcPr>
            <w:tcW w:type="pct" w:w="34%"/>
            <w:tcMar>
              <w:top w:type="dxa" w:w="60"/>
              <w:left w:type="dxa" w:w="100"/>
              <w:bottom w:type="dxa" w:w="60"/>
              <w:right w:type="dxa" w:w="100"/>
            </w:tcMar>
          </w:tcPr>
          <w:p>
            <w:r>
              <w:rPr>
                <w:rFonts w:ascii="Times New Roman" w:eastAsia="SimSun"/>
                <w:color w:val="1A2B40"/>
                <w:sz w:val="20"/>
                <w:szCs w:val="20"/>
              </w:rPr>
              <w:t xml:space="preserve">手动粘贴到本地服务</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消息中转</w:t>
            </w:r>
          </w:p>
        </w:tc>
        <w:tc>
          <w:tcPr>
            <w:tcW w:type="pct" w:w="8%"/>
            <w:tcMar>
              <w:top w:type="dxa" w:w="60"/>
              <w:left w:type="dxa" w:w="100"/>
              <w:bottom w:type="dxa" w:w="60"/>
              <w:right w:type="dxa" w:w="100"/>
            </w:tcMar>
          </w:tcPr>
          <w:p>
            <w:r>
              <w:rPr>
                <w:rFonts w:ascii="Times New Roman" w:eastAsia="SimSun"/>
                <w:color w:val="1A2B40"/>
                <w:sz w:val="20"/>
                <w:szCs w:val="20"/>
              </w:rPr>
              <w:t xml:space="preserve">云端</w:t>
            </w:r>
          </w:p>
        </w:tc>
        <w:tc>
          <w:tcPr>
            <w:tcW w:type="pct" w:w="18%"/>
            <w:tcMar>
              <w:top w:type="dxa" w:w="60"/>
              <w:left w:type="dxa" w:w="100"/>
              <w:bottom w:type="dxa" w:w="60"/>
              <w:right w:type="dxa" w:w="100"/>
            </w:tcMar>
          </w:tcPr>
          <w:p>
            <w:r>
              <w:rPr>
                <w:rFonts w:ascii="Times New Roman" w:eastAsia="SimSun"/>
                <w:color w:val="1A2B40"/>
                <w:sz w:val="20"/>
                <w:szCs w:val="20"/>
              </w:rPr>
              <w:t xml:space="preserve">飞书自建机器人</w:t>
            </w:r>
          </w:p>
        </w:tc>
        <w:tc>
          <w:tcPr>
            <w:tcW w:type="pct" w:w="30%"/>
            <w:tcMar>
              <w:top w:type="dxa" w:w="60"/>
              <w:left w:type="dxa" w:w="100"/>
              <w:bottom w:type="dxa" w:w="60"/>
              <w:right w:type="dxa" w:w="100"/>
            </w:tcMar>
          </w:tcPr>
          <w:p>
            <w:r>
              <w:rPr>
                <w:rFonts w:ascii="Times New Roman" w:eastAsia="SimSun"/>
                <w:color w:val="1A2B40"/>
                <w:sz w:val="20"/>
                <w:szCs w:val="20"/>
              </w:rPr>
              <w:t xml:space="preserve">接收文本并转发OpenClaw</w:t>
            </w:r>
          </w:p>
        </w:tc>
        <w:tc>
          <w:tcPr>
            <w:tcW w:type="pct" w:w="34%"/>
            <w:tcMar>
              <w:top w:type="dxa" w:w="60"/>
              <w:left w:type="dxa" w:w="100"/>
              <w:bottom w:type="dxa" w:w="60"/>
              <w:right w:type="dxa" w:w="100"/>
            </w:tcMar>
          </w:tcPr>
          <w:p>
            <w:r>
              <w:rPr>
                <w:rFonts w:ascii="Times New Roman" w:eastAsia="SimSun"/>
                <w:color w:val="1A2B40"/>
                <w:sz w:val="20"/>
                <w:szCs w:val="20"/>
              </w:rPr>
              <w:t xml:space="preserve">企业微信/TG Bot</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事件编排</w:t>
            </w:r>
          </w:p>
        </w:tc>
        <w:tc>
          <w:tcPr>
            <w:tcW w:type="pct" w:w="8%"/>
            <w:tcMar>
              <w:top w:type="dxa" w:w="60"/>
              <w:left w:type="dxa" w:w="100"/>
              <w:bottom w:type="dxa" w:w="60"/>
              <w:right w:type="dxa" w:w="100"/>
            </w:tcMar>
          </w:tcPr>
          <w:p>
            <w:r>
              <w:rPr>
                <w:rFonts w:ascii="Times New Roman" w:eastAsia="SimSun"/>
                <w:color w:val="1A2B40"/>
                <w:sz w:val="20"/>
                <w:szCs w:val="20"/>
              </w:rPr>
              <w:t xml:space="preserve">PC</w:t>
            </w:r>
          </w:p>
        </w:tc>
        <w:tc>
          <w:tcPr>
            <w:tcW w:type="pct" w:w="18%"/>
            <w:tcMar>
              <w:top w:type="dxa" w:w="60"/>
              <w:left w:type="dxa" w:w="100"/>
              <w:bottom w:type="dxa" w:w="60"/>
              <w:right w:type="dxa" w:w="100"/>
            </w:tcMar>
          </w:tcPr>
          <w:p>
            <w:r>
              <w:rPr>
                <w:rFonts w:ascii="Times New Roman" w:eastAsia="SimSun"/>
                <w:color w:val="1A2B40"/>
                <w:sz w:val="20"/>
                <w:szCs w:val="20"/>
              </w:rPr>
              <w:t xml:space="preserve">OpenClaw</w:t>
            </w:r>
          </w:p>
        </w:tc>
        <w:tc>
          <w:tcPr>
            <w:tcW w:type="pct" w:w="30%"/>
            <w:tcMar>
              <w:top w:type="dxa" w:w="60"/>
              <w:left w:type="dxa" w:w="100"/>
              <w:bottom w:type="dxa" w:w="60"/>
              <w:right w:type="dxa" w:w="100"/>
            </w:tcMar>
          </w:tcPr>
          <w:p>
            <w:r>
              <w:rPr>
                <w:rFonts w:ascii="Times New Roman" w:eastAsia="SimSun"/>
                <w:color w:val="1A2B40"/>
                <w:sz w:val="20"/>
                <w:szCs w:val="20"/>
              </w:rPr>
              <w:t xml:space="preserve">Agent中枢调度工具链</w:t>
            </w:r>
          </w:p>
        </w:tc>
        <w:tc>
          <w:tcPr>
            <w:tcW w:type="pct" w:w="34%"/>
            <w:tcMar>
              <w:top w:type="dxa" w:w="60"/>
              <w:left w:type="dxa" w:w="100"/>
              <w:bottom w:type="dxa" w:w="60"/>
              <w:right w:type="dxa" w:w="100"/>
            </w:tcMar>
          </w:tcPr>
          <w:p>
            <w:r>
              <w:rPr>
                <w:rFonts w:ascii="Times New Roman" w:eastAsia="SimSun"/>
                <w:color w:val="1A2B40"/>
                <w:sz w:val="20"/>
                <w:szCs w:val="20"/>
              </w:rPr>
              <w:t xml:space="preserve">Claude Code直调/n8n</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视频下载</w:t>
            </w:r>
          </w:p>
        </w:tc>
        <w:tc>
          <w:tcPr>
            <w:tcW w:type="pct" w:w="8%"/>
            <w:tcMar>
              <w:top w:type="dxa" w:w="60"/>
              <w:left w:type="dxa" w:w="100"/>
              <w:bottom w:type="dxa" w:w="60"/>
              <w:right w:type="dxa" w:w="100"/>
            </w:tcMar>
          </w:tcPr>
          <w:p>
            <w:r>
              <w:rPr>
                <w:rFonts w:ascii="Times New Roman" w:eastAsia="SimSun"/>
                <w:color w:val="1A2B40"/>
                <w:sz w:val="20"/>
                <w:szCs w:val="20"/>
              </w:rPr>
              <w:t xml:space="preserve">PC</w:t>
            </w:r>
          </w:p>
        </w:tc>
        <w:tc>
          <w:tcPr>
            <w:tcW w:type="pct" w:w="18%"/>
            <w:tcMar>
              <w:top w:type="dxa" w:w="60"/>
              <w:left w:type="dxa" w:w="100"/>
              <w:bottom w:type="dxa" w:w="60"/>
              <w:right w:type="dxa" w:w="100"/>
            </w:tcMar>
          </w:tcPr>
          <w:p>
            <w:r>
              <w:rPr>
                <w:rFonts w:ascii="Times New Roman" w:eastAsia="SimSun"/>
                <w:color w:val="1A2B40"/>
                <w:sz w:val="20"/>
                <w:szCs w:val="20"/>
              </w:rPr>
              <w:t xml:space="preserve">yt-dlp</w:t>
            </w:r>
          </w:p>
        </w:tc>
        <w:tc>
          <w:tcPr>
            <w:tcW w:type="pct" w:w="30%"/>
            <w:tcMar>
              <w:top w:type="dxa" w:w="60"/>
              <w:left w:type="dxa" w:w="100"/>
              <w:bottom w:type="dxa" w:w="60"/>
              <w:right w:type="dxa" w:w="100"/>
            </w:tcMar>
          </w:tcPr>
          <w:p>
            <w:r>
              <w:rPr>
                <w:rFonts w:ascii="Times New Roman" w:eastAsia="SimSun"/>
                <w:color w:val="1A2B40"/>
                <w:sz w:val="20"/>
                <w:szCs w:val="20"/>
              </w:rPr>
              <w:t xml:space="preserve">下载视频+抓取字幕</w:t>
            </w:r>
          </w:p>
        </w:tc>
        <w:tc>
          <w:tcPr>
            <w:tcW w:type="pct" w:w="34%"/>
            <w:tcMar>
              <w:top w:type="dxa" w:w="60"/>
              <w:left w:type="dxa" w:w="100"/>
              <w:bottom w:type="dxa" w:w="60"/>
              <w:right w:type="dxa" w:w="100"/>
            </w:tcMar>
          </w:tcPr>
          <w:p>
            <w:r>
              <w:rPr>
                <w:rFonts w:ascii="Times New Roman" w:eastAsia="SimSun"/>
                <w:color w:val="1A2B40"/>
                <w:sz w:val="20"/>
                <w:szCs w:val="20"/>
              </w:rPr>
              <w:t xml:space="preserve">cobalt/抖音去水印API</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字幕处理</w:t>
            </w:r>
          </w:p>
        </w:tc>
        <w:tc>
          <w:tcPr>
            <w:tcW w:type="pct" w:w="8%"/>
            <w:tcMar>
              <w:top w:type="dxa" w:w="60"/>
              <w:left w:type="dxa" w:w="100"/>
              <w:bottom w:type="dxa" w:w="60"/>
              <w:right w:type="dxa" w:w="100"/>
            </w:tcMar>
          </w:tcPr>
          <w:p>
            <w:r>
              <w:rPr>
                <w:rFonts w:ascii="Times New Roman" w:eastAsia="SimSun"/>
                <w:color w:val="1A2B40"/>
                <w:sz w:val="20"/>
                <w:szCs w:val="20"/>
              </w:rPr>
              <w:t xml:space="preserve">PC</w:t>
            </w:r>
          </w:p>
        </w:tc>
        <w:tc>
          <w:tcPr>
            <w:tcW w:type="pct" w:w="18%"/>
            <w:tcMar>
              <w:top w:type="dxa" w:w="60"/>
              <w:left w:type="dxa" w:w="100"/>
              <w:bottom w:type="dxa" w:w="60"/>
              <w:right w:type="dxa" w:w="100"/>
            </w:tcMar>
          </w:tcPr>
          <w:p>
            <w:r>
              <w:rPr>
                <w:rFonts w:ascii="Times New Roman" w:eastAsia="SimSun"/>
                <w:color w:val="1A2B40"/>
                <w:sz w:val="20"/>
                <w:szCs w:val="20"/>
              </w:rPr>
              <w:t xml:space="preserve">Python脚本</w:t>
            </w:r>
          </w:p>
        </w:tc>
        <w:tc>
          <w:tcPr>
            <w:tcW w:type="pct" w:w="30%"/>
            <w:tcMar>
              <w:top w:type="dxa" w:w="60"/>
              <w:left w:type="dxa" w:w="100"/>
              <w:bottom w:type="dxa" w:w="60"/>
              <w:right w:type="dxa" w:w="100"/>
            </w:tcMar>
          </w:tcPr>
          <w:p>
            <w:r>
              <w:rPr>
                <w:rFonts w:ascii="Times New Roman" w:eastAsia="SimSun"/>
                <w:color w:val="1A2B40"/>
                <w:sz w:val="20"/>
                <w:szCs w:val="20"/>
              </w:rPr>
              <w:t xml:space="preserve">解析VTT/转换格式</w:t>
            </w:r>
          </w:p>
        </w:tc>
        <w:tc>
          <w:tcPr>
            <w:tcW w:type="pct" w:w="34%"/>
            <w:tcMar>
              <w:top w:type="dxa" w:w="60"/>
              <w:left w:type="dxa" w:w="100"/>
              <w:bottom w:type="dxa" w:w="60"/>
              <w:right w:type="dxa" w:w="100"/>
            </w:tcMar>
          </w:tcPr>
          <w:p>
            <w:r>
              <w:rPr>
                <w:rFonts w:ascii="Times New Roman" w:eastAsia="SimSun"/>
                <w:color w:val="1A2B40"/>
                <w:sz w:val="20"/>
                <w:szCs w:val="20"/>
              </w:rPr>
              <w:t xml:space="preserve">—</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音频转写</w:t>
            </w:r>
          </w:p>
        </w:tc>
        <w:tc>
          <w:tcPr>
            <w:tcW w:type="pct" w:w="8%"/>
            <w:tcMar>
              <w:top w:type="dxa" w:w="60"/>
              <w:left w:type="dxa" w:w="100"/>
              <w:bottom w:type="dxa" w:w="60"/>
              <w:right w:type="dxa" w:w="100"/>
            </w:tcMar>
          </w:tcPr>
          <w:p>
            <w:r>
              <w:rPr>
                <w:rFonts w:ascii="Times New Roman" w:eastAsia="SimSun"/>
                <w:color w:val="1A2B40"/>
                <w:sz w:val="20"/>
                <w:szCs w:val="20"/>
              </w:rPr>
              <w:t xml:space="preserve">PC+GPU</w:t>
            </w:r>
          </w:p>
        </w:tc>
        <w:tc>
          <w:tcPr>
            <w:tcW w:type="pct" w:w="18%"/>
            <w:tcMar>
              <w:top w:type="dxa" w:w="60"/>
              <w:left w:type="dxa" w:w="100"/>
              <w:bottom w:type="dxa" w:w="60"/>
              <w:right w:type="dxa" w:w="100"/>
            </w:tcMar>
          </w:tcPr>
          <w:p>
            <w:r>
              <w:rPr>
                <w:rFonts w:ascii="Times New Roman" w:eastAsia="SimSun"/>
                <w:color w:val="1A2B40"/>
                <w:sz w:val="20"/>
                <w:szCs w:val="20"/>
              </w:rPr>
              <w:t xml:space="preserve">faster-whisper</w:t>
            </w:r>
          </w:p>
        </w:tc>
        <w:tc>
          <w:tcPr>
            <w:tcW w:type="pct" w:w="30%"/>
            <w:tcMar>
              <w:top w:type="dxa" w:w="60"/>
              <w:left w:type="dxa" w:w="100"/>
              <w:bottom w:type="dxa" w:w="60"/>
              <w:right w:type="dxa" w:w="100"/>
            </w:tcMar>
          </w:tcPr>
          <w:p>
            <w:r>
              <w:rPr>
                <w:rFonts w:ascii="Times New Roman" w:eastAsia="SimSun"/>
                <w:color w:val="1A2B40"/>
                <w:sz w:val="20"/>
                <w:szCs w:val="20"/>
              </w:rPr>
              <w:t xml:space="preserve">GPU ASR兜底转写</w:t>
            </w:r>
          </w:p>
        </w:tc>
        <w:tc>
          <w:tcPr>
            <w:tcW w:type="pct" w:w="34%"/>
            <w:tcMar>
              <w:top w:type="dxa" w:w="60"/>
              <w:left w:type="dxa" w:w="100"/>
              <w:bottom w:type="dxa" w:w="60"/>
              <w:right w:type="dxa" w:w="100"/>
            </w:tcMar>
          </w:tcPr>
          <w:p>
            <w:r>
              <w:rPr>
                <w:rFonts w:ascii="Times New Roman" w:eastAsia="SimSun"/>
                <w:color w:val="1A2B40"/>
                <w:sz w:val="20"/>
                <w:szCs w:val="20"/>
              </w:rPr>
              <w:t xml:space="preserve">whisper.cpp/云端API</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关键帧理解</w:t>
            </w:r>
          </w:p>
        </w:tc>
        <w:tc>
          <w:tcPr>
            <w:tcW w:type="pct" w:w="8%"/>
            <w:tcMar>
              <w:top w:type="dxa" w:w="60"/>
              <w:left w:type="dxa" w:w="100"/>
              <w:bottom w:type="dxa" w:w="60"/>
              <w:right w:type="dxa" w:w="100"/>
            </w:tcMar>
          </w:tcPr>
          <w:p>
            <w:r>
              <w:rPr>
                <w:rFonts w:ascii="Times New Roman" w:eastAsia="SimSun"/>
                <w:color w:val="1A2B40"/>
                <w:sz w:val="20"/>
                <w:szCs w:val="20"/>
              </w:rPr>
              <w:t xml:space="preserve">PC+GPU</w:t>
            </w:r>
          </w:p>
        </w:tc>
        <w:tc>
          <w:tcPr>
            <w:tcW w:type="pct" w:w="18%"/>
            <w:tcMar>
              <w:top w:type="dxa" w:w="60"/>
              <w:left w:type="dxa" w:w="100"/>
              <w:bottom w:type="dxa" w:w="60"/>
              <w:right w:type="dxa" w:w="100"/>
            </w:tcMar>
          </w:tcPr>
          <w:p>
            <w:r>
              <w:rPr>
                <w:rFonts w:ascii="Times New Roman" w:eastAsia="SimSun"/>
                <w:color w:val="1A2B40"/>
                <w:sz w:val="20"/>
                <w:szCs w:val="20"/>
              </w:rPr>
              <w:t xml:space="preserve">Qwen2-VL/云端VLM</w:t>
            </w:r>
          </w:p>
        </w:tc>
        <w:tc>
          <w:tcPr>
            <w:tcW w:type="pct" w:w="30%"/>
            <w:tcMar>
              <w:top w:type="dxa" w:w="60"/>
              <w:left w:type="dxa" w:w="100"/>
              <w:bottom w:type="dxa" w:w="60"/>
              <w:right w:type="dxa" w:w="100"/>
            </w:tcMar>
          </w:tcPr>
          <w:p>
            <w:r>
              <w:rPr>
                <w:rFonts w:ascii="Times New Roman" w:eastAsia="SimSun"/>
                <w:color w:val="1A2B40"/>
                <w:sz w:val="20"/>
                <w:szCs w:val="20"/>
              </w:rPr>
              <w:t xml:space="preserve">画面PPT/字幕OCR</w:t>
            </w:r>
          </w:p>
        </w:tc>
        <w:tc>
          <w:tcPr>
            <w:tcW w:type="pct" w:w="34%"/>
            <w:tcMar>
              <w:top w:type="dxa" w:w="60"/>
              <w:left w:type="dxa" w:w="100"/>
              <w:bottom w:type="dxa" w:w="60"/>
              <w:right w:type="dxa" w:w="100"/>
            </w:tcMar>
          </w:tcPr>
          <w:p>
            <w:r>
              <w:rPr>
                <w:rFonts w:ascii="Times New Roman" w:eastAsia="SimSun"/>
                <w:color w:val="1A2B40"/>
                <w:sz w:val="20"/>
                <w:szCs w:val="20"/>
              </w:rPr>
              <w:t xml:space="preserve">PaddleOCR/GPT-4o</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内容总结</w:t>
            </w:r>
          </w:p>
        </w:tc>
        <w:tc>
          <w:tcPr>
            <w:tcW w:type="pct" w:w="8%"/>
            <w:tcMar>
              <w:top w:type="dxa" w:w="60"/>
              <w:left w:type="dxa" w:w="100"/>
              <w:bottom w:type="dxa" w:w="60"/>
              <w:right w:type="dxa" w:w="100"/>
            </w:tcMar>
          </w:tcPr>
          <w:p>
            <w:r>
              <w:rPr>
                <w:rFonts w:ascii="Times New Roman" w:eastAsia="SimSun"/>
                <w:color w:val="1A2B40"/>
                <w:sz w:val="20"/>
                <w:szCs w:val="20"/>
              </w:rPr>
              <w:t xml:space="preserve">PC</w:t>
            </w:r>
          </w:p>
        </w:tc>
        <w:tc>
          <w:tcPr>
            <w:tcW w:type="pct" w:w="18%"/>
            <w:tcMar>
              <w:top w:type="dxa" w:w="60"/>
              <w:left w:type="dxa" w:w="100"/>
              <w:bottom w:type="dxa" w:w="60"/>
              <w:right w:type="dxa" w:w="100"/>
            </w:tcMar>
          </w:tcPr>
          <w:p>
            <w:r>
              <w:rPr>
                <w:rFonts w:ascii="Times New Roman" w:eastAsia="SimSun"/>
                <w:color w:val="1A2B40"/>
                <w:sz w:val="20"/>
                <w:szCs w:val="20"/>
              </w:rPr>
              <w:t xml:space="preserve">Claude/本地LLM</w:t>
            </w:r>
          </w:p>
        </w:tc>
        <w:tc>
          <w:tcPr>
            <w:tcW w:type="pct" w:w="30%"/>
            <w:tcMar>
              <w:top w:type="dxa" w:w="60"/>
              <w:left w:type="dxa" w:w="100"/>
              <w:bottom w:type="dxa" w:w="60"/>
              <w:right w:type="dxa" w:w="100"/>
            </w:tcMar>
          </w:tcPr>
          <w:p>
            <w:r>
              <w:rPr>
                <w:rFonts w:ascii="Times New Roman" w:eastAsia="SimSun"/>
                <w:color w:val="1A2B40"/>
                <w:sz w:val="20"/>
                <w:szCs w:val="20"/>
              </w:rPr>
              <w:t xml:space="preserve">提炼要点生成笔记</w:t>
            </w:r>
          </w:p>
        </w:tc>
        <w:tc>
          <w:tcPr>
            <w:tcW w:type="pct" w:w="34%"/>
            <w:tcMar>
              <w:top w:type="dxa" w:w="60"/>
              <w:left w:type="dxa" w:w="100"/>
              <w:bottom w:type="dxa" w:w="60"/>
              <w:right w:type="dxa" w:w="100"/>
            </w:tcMar>
          </w:tcPr>
          <w:p>
            <w:r>
              <w:rPr>
                <w:rFonts w:ascii="Times New Roman" w:eastAsia="SimSun"/>
                <w:color w:val="1A2B40"/>
                <w:sz w:val="20"/>
                <w:szCs w:val="20"/>
              </w:rPr>
              <w:t xml:space="preserve">GPT-4o/Qwen2.5</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笔记写入</w:t>
            </w:r>
          </w:p>
        </w:tc>
        <w:tc>
          <w:tcPr>
            <w:tcW w:type="pct" w:w="8%"/>
            <w:tcMar>
              <w:top w:type="dxa" w:w="60"/>
              <w:left w:type="dxa" w:w="100"/>
              <w:bottom w:type="dxa" w:w="60"/>
              <w:right w:type="dxa" w:w="100"/>
            </w:tcMar>
          </w:tcPr>
          <w:p>
            <w:r>
              <w:rPr>
                <w:rFonts w:ascii="Times New Roman" w:eastAsia="SimSun"/>
                <w:color w:val="1A2B40"/>
                <w:sz w:val="20"/>
                <w:szCs w:val="20"/>
              </w:rPr>
              <w:t xml:space="preserve">PC</w:t>
            </w:r>
          </w:p>
        </w:tc>
        <w:tc>
          <w:tcPr>
            <w:tcW w:type="pct" w:w="18%"/>
            <w:tcMar>
              <w:top w:type="dxa" w:w="60"/>
              <w:left w:type="dxa" w:w="100"/>
              <w:bottom w:type="dxa" w:w="60"/>
              <w:right w:type="dxa" w:w="100"/>
            </w:tcMar>
          </w:tcPr>
          <w:p>
            <w:r>
              <w:rPr>
                <w:rFonts w:ascii="Times New Roman" w:eastAsia="SimSun"/>
                <w:color w:val="1A2B40"/>
                <w:sz w:val="20"/>
                <w:szCs w:val="20"/>
              </w:rPr>
              <w:t xml:space="preserve">文件系统直写</w:t>
            </w:r>
          </w:p>
        </w:tc>
        <w:tc>
          <w:tcPr>
            <w:tcW w:type="pct" w:w="30%"/>
            <w:tcMar>
              <w:top w:type="dxa" w:w="60"/>
              <w:left w:type="dxa" w:w="100"/>
              <w:bottom w:type="dxa" w:w="60"/>
              <w:right w:type="dxa" w:w="100"/>
            </w:tcMar>
          </w:tcPr>
          <w:p>
            <w:r>
              <w:rPr>
                <w:rFonts w:ascii="Times New Roman" w:eastAsia="SimSun"/>
                <w:color w:val="1A2B40"/>
                <w:sz w:val="20"/>
                <w:szCs w:val="20"/>
              </w:rPr>
              <w:t xml:space="preserve">写入Vault目录</w:t>
            </w:r>
          </w:p>
        </w:tc>
        <w:tc>
          <w:tcPr>
            <w:tcW w:type="pct" w:w="34%"/>
            <w:tcMar>
              <w:top w:type="dxa" w:w="60"/>
              <w:left w:type="dxa" w:w="100"/>
              <w:bottom w:type="dxa" w:w="60"/>
              <w:right w:type="dxa" w:w="100"/>
            </w:tcMar>
          </w:tcPr>
          <w:p>
            <w:r>
              <w:rPr>
                <w:rFonts w:ascii="Times New Roman" w:eastAsia="SimSun"/>
                <w:color w:val="1A2B40"/>
                <w:sz w:val="20"/>
                <w:szCs w:val="20"/>
              </w:rPr>
              <w:t xml:space="preserve">obsidian-mcp/REST API</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P2P同步</w:t>
            </w:r>
          </w:p>
        </w:tc>
        <w:tc>
          <w:tcPr>
            <w:tcW w:type="pct" w:w="8%"/>
            <w:tcMar>
              <w:top w:type="dxa" w:w="60"/>
              <w:left w:type="dxa" w:w="100"/>
              <w:bottom w:type="dxa" w:w="60"/>
              <w:right w:type="dxa" w:w="100"/>
            </w:tcMar>
          </w:tcPr>
          <w:p>
            <w:r>
              <w:rPr>
                <w:rFonts w:ascii="Times New Roman" w:eastAsia="SimSun"/>
                <w:color w:val="1A2B40"/>
                <w:sz w:val="20"/>
                <w:szCs w:val="20"/>
              </w:rPr>
              <w:t xml:space="preserve">PC+手机</w:t>
            </w:r>
          </w:p>
        </w:tc>
        <w:tc>
          <w:tcPr>
            <w:tcW w:type="pct" w:w="18%"/>
            <w:tcMar>
              <w:top w:type="dxa" w:w="60"/>
              <w:left w:type="dxa" w:w="100"/>
              <w:bottom w:type="dxa" w:w="60"/>
              <w:right w:type="dxa" w:w="100"/>
            </w:tcMar>
          </w:tcPr>
          <w:p>
            <w:r>
              <w:rPr>
                <w:rFonts w:ascii="Times New Roman" w:eastAsia="SimSun"/>
                <w:color w:val="1A2B40"/>
                <w:sz w:val="20"/>
                <w:szCs w:val="20"/>
              </w:rPr>
              <w:t xml:space="preserve">Syncthing</w:t>
            </w:r>
          </w:p>
        </w:tc>
        <w:tc>
          <w:tcPr>
            <w:tcW w:type="pct" w:w="30%"/>
            <w:tcMar>
              <w:top w:type="dxa" w:w="60"/>
              <w:left w:type="dxa" w:w="100"/>
              <w:bottom w:type="dxa" w:w="60"/>
              <w:right w:type="dxa" w:w="100"/>
            </w:tcMar>
          </w:tcPr>
          <w:p>
            <w:r>
              <w:rPr>
                <w:rFonts w:ascii="Times New Roman" w:eastAsia="SimSun"/>
                <w:color w:val="1A2B40"/>
                <w:sz w:val="20"/>
                <w:szCs w:val="20"/>
              </w:rPr>
              <w:t xml:space="preserve">局域网/外网实时同步</w:t>
            </w:r>
          </w:p>
        </w:tc>
        <w:tc>
          <w:tcPr>
            <w:tcW w:type="pct" w:w="34%"/>
            <w:tcMar>
              <w:top w:type="dxa" w:w="60"/>
              <w:left w:type="dxa" w:w="100"/>
              <w:bottom w:type="dxa" w:w="60"/>
              <w:right w:type="dxa" w:w="100"/>
            </w:tcMar>
          </w:tcPr>
          <w:p>
            <w:r>
              <w:rPr>
                <w:rFonts w:ascii="Times New Roman" w:eastAsia="SimSun"/>
                <w:color w:val="1A2B40"/>
                <w:sz w:val="20"/>
                <w:szCs w:val="20"/>
              </w:rPr>
              <w:t xml:space="preserve">Obsidian Sync付费</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版本控制</w:t>
            </w:r>
          </w:p>
        </w:tc>
        <w:tc>
          <w:tcPr>
            <w:tcW w:type="pct" w:w="8%"/>
            <w:tcMar>
              <w:top w:type="dxa" w:w="60"/>
              <w:left w:type="dxa" w:w="100"/>
              <w:bottom w:type="dxa" w:w="60"/>
              <w:right w:type="dxa" w:w="100"/>
            </w:tcMar>
          </w:tcPr>
          <w:p>
            <w:r>
              <w:rPr>
                <w:rFonts w:ascii="Times New Roman" w:eastAsia="SimSun"/>
                <w:color w:val="1A2B40"/>
                <w:sz w:val="20"/>
                <w:szCs w:val="20"/>
              </w:rPr>
              <w:t xml:space="preserve">PC</w:t>
            </w:r>
          </w:p>
        </w:tc>
        <w:tc>
          <w:tcPr>
            <w:tcW w:type="pct" w:w="18%"/>
            <w:tcMar>
              <w:top w:type="dxa" w:w="60"/>
              <w:left w:type="dxa" w:w="100"/>
              <w:bottom w:type="dxa" w:w="60"/>
              <w:right w:type="dxa" w:w="100"/>
            </w:tcMar>
          </w:tcPr>
          <w:p>
            <w:r>
              <w:rPr>
                <w:rFonts w:ascii="Times New Roman" w:eastAsia="SimSun"/>
                <w:color w:val="1A2B40"/>
                <w:sz w:val="20"/>
                <w:szCs w:val="20"/>
              </w:rPr>
              <w:t xml:space="preserve">Git+私仓</w:t>
            </w:r>
          </w:p>
        </w:tc>
        <w:tc>
          <w:tcPr>
            <w:tcW w:type="pct" w:w="30%"/>
            <w:tcMar>
              <w:top w:type="dxa" w:w="60"/>
              <w:left w:type="dxa" w:w="100"/>
              <w:bottom w:type="dxa" w:w="60"/>
              <w:right w:type="dxa" w:w="100"/>
            </w:tcMar>
          </w:tcPr>
          <w:p>
            <w:r>
              <w:rPr>
                <w:rFonts w:ascii="Times New Roman" w:eastAsia="SimSun"/>
                <w:color w:val="1A2B40"/>
                <w:sz w:val="20"/>
                <w:szCs w:val="20"/>
              </w:rPr>
              <w:t xml:space="preserve">历史回溯/分支</w:t>
            </w:r>
          </w:p>
        </w:tc>
        <w:tc>
          <w:tcPr>
            <w:tcW w:type="pct" w:w="34%"/>
            <w:tcMar>
              <w:top w:type="dxa" w:w="60"/>
              <w:left w:type="dxa" w:w="100"/>
              <w:bottom w:type="dxa" w:w="60"/>
              <w:right w:type="dxa" w:w="100"/>
            </w:tcMar>
          </w:tcPr>
          <w:p>
            <w:r>
              <w:rPr>
                <w:rFonts w:ascii="Times New Roman" w:eastAsia="SimSun"/>
                <w:color w:val="1A2B40"/>
                <w:sz w:val="20"/>
                <w:szCs w:val="20"/>
              </w:rPr>
              <w:t xml:space="preserve">—</w:t>
            </w:r>
          </w:p>
        </w:tc>
      </w:tr>
      <w:tr>
        <w:trPr>
          <w:cantSplit/>
        </w:trPr>
        <w:tc>
          <w:tcPr>
            <w:tcW w:type="pct" w:w="10%"/>
            <w:tcMar>
              <w:top w:type="dxa" w:w="60"/>
              <w:left w:type="dxa" w:w="100"/>
              <w:bottom w:type="dxa" w:w="60"/>
              <w:right w:type="dxa" w:w="100"/>
            </w:tcMar>
          </w:tcPr>
          <w:p>
            <w:r>
              <w:rPr>
                <w:rFonts w:ascii="Times New Roman" w:eastAsia="SimSun"/>
                <w:color w:val="1A2B40"/>
                <w:sz w:val="20"/>
                <w:szCs w:val="20"/>
              </w:rPr>
              <w:t xml:space="preserve">云盘备份</w:t>
            </w:r>
          </w:p>
        </w:tc>
        <w:tc>
          <w:tcPr>
            <w:tcW w:type="pct" w:w="8%"/>
            <w:tcMar>
              <w:top w:type="dxa" w:w="60"/>
              <w:left w:type="dxa" w:w="100"/>
              <w:bottom w:type="dxa" w:w="60"/>
              <w:right w:type="dxa" w:w="100"/>
            </w:tcMar>
          </w:tcPr>
          <w:p>
            <w:r>
              <w:rPr>
                <w:rFonts w:ascii="Times New Roman" w:eastAsia="SimSun"/>
                <w:color w:val="1A2B40"/>
                <w:sz w:val="20"/>
                <w:szCs w:val="20"/>
              </w:rPr>
              <w:t xml:space="preserve">PC+手机</w:t>
            </w:r>
          </w:p>
        </w:tc>
        <w:tc>
          <w:tcPr>
            <w:tcW w:type="pct" w:w="18%"/>
            <w:tcMar>
              <w:top w:type="dxa" w:w="60"/>
              <w:left w:type="dxa" w:w="100"/>
              <w:bottom w:type="dxa" w:w="60"/>
              <w:right w:type="dxa" w:w="100"/>
            </w:tcMar>
          </w:tcPr>
          <w:p>
            <w:r>
              <w:rPr>
                <w:rFonts w:ascii="Times New Roman" w:eastAsia="SimSun"/>
                <w:color w:val="1A2B40"/>
                <w:sz w:val="20"/>
                <w:szCs w:val="20"/>
              </w:rPr>
              <w:t xml:space="preserve">iCloud/OneDrive</w:t>
            </w:r>
          </w:p>
        </w:tc>
        <w:tc>
          <w:tcPr>
            <w:tcW w:type="pct" w:w="30%"/>
            <w:tcMar>
              <w:top w:type="dxa" w:w="60"/>
              <w:left w:type="dxa" w:w="100"/>
              <w:bottom w:type="dxa" w:w="60"/>
              <w:right w:type="dxa" w:w="100"/>
            </w:tcMar>
          </w:tcPr>
          <w:p>
            <w:r>
              <w:rPr>
                <w:rFonts w:ascii="Times New Roman" w:eastAsia="SimSun"/>
                <w:color w:val="1A2B40"/>
                <w:sz w:val="20"/>
                <w:szCs w:val="20"/>
              </w:rPr>
              <w:t xml:space="preserve">异地容灾</w:t>
            </w:r>
          </w:p>
        </w:tc>
        <w:tc>
          <w:tcPr>
            <w:tcW w:type="pct" w:w="34%"/>
            <w:tcMar>
              <w:top w:type="dxa" w:w="60"/>
              <w:left w:type="dxa" w:w="100"/>
              <w:bottom w:type="dxa" w:w="60"/>
              <w:right w:type="dxa" w:w="100"/>
            </w:tcMar>
          </w:tcPr>
          <w:p>
            <w:r>
              <w:rPr>
                <w:rFonts w:ascii="Times New Roman" w:eastAsia="SimSun"/>
                <w:color w:val="1A2B40"/>
                <w:sz w:val="20"/>
                <w:szCs w:val="20"/>
              </w:rPr>
              <w:t xml:space="preserve">Dropbox/坚果云</w:t>
            </w:r>
          </w:p>
        </w:tc>
      </w:tr>
    </w:tbl>
    <w:p>
      <w:pPr>
        <w:pStyle w:val="Heading2"/>
        <w:spacing w:after="140" w:before="320" w:line="312"/>
      </w:pPr>
      <w:bookmarkStart w:id="100011" w:name="_Toc100011"/>
      <w:r>
        <w:rPr>
          <w:rFonts w:ascii="Calibri" w:eastAsia="SimHei"/>
          <w:b/>
          <w:bCs/>
          <w:color w:val="0A1628"/>
          <w:sz w:val="28"/>
          <w:szCs w:val="28"/>
        </w:rPr>
        <w:t xml:space="preserve">2.3 关键设计决策</w:t>
      </w:r>
      <w:bookmarkEnd w:id="100011"/>
    </w:p>
    <w:p>
      <w:pPr>
        <w:spacing w:after="80" w:line="312"/>
        <w:ind w:firstLine="480"/>
        <w:jc w:val="both"/>
      </w:pPr>
      <w:r>
        <w:rPr>
          <w:rFonts w:ascii="Times New Roman" w:eastAsia="SimSun"/>
          <w:color w:val="1A2B40"/>
          <w:sz w:val="24"/>
          <w:szCs w:val="24"/>
        </w:rPr>
        <w:t xml:space="preserve">第一项关键决策是采用字幕优先策略。抖音视频大多带有平台自动生成的CC字幕（基于抖音自家ASR，准确率95%+），且字幕文件可通过yt-dlp --write-subs --sub-langs all直接下载。字幕路径相比Whisper转写有三个优势：第一，质量更高（抖音ASR针对中文优化且能识别视频元信息）；第二，速度极快（几秒下载即得，相比Whisper几十秒到几分钟）；第三，零GPU消耗。Whisper仅在字幕不存在时兜底，覆盖直播切片、纯音乐视频、字幕被加密等少数场景。</w:t>
      </w:r>
    </w:p>
    <w:p>
      <w:pPr>
        <w:spacing w:after="80" w:line="312"/>
        <w:ind w:firstLine="480"/>
        <w:jc w:val="both"/>
      </w:pPr>
      <w:r>
        <w:rPr>
          <w:rFonts w:ascii="Times New Roman" w:eastAsia="SimSun"/>
          <w:color w:val="1A2B40"/>
          <w:sz w:val="24"/>
          <w:szCs w:val="24"/>
        </w:rPr>
        <w:t xml:space="preserve">第二项关键决策是利用4070s 12GB显卡做faster-whisper GPU加速。faster-whisper是基于CTranslate2后端的Whisper实现，相比whisper.cpp有2-4倍性能提升，且支持INT8量化进一步降低显存占用。4070s 12GB显存可轻松运行medium模型（实际占用约5GB），处理5分钟视频仅需约30秒（0.1x实时），相比CPU方案快10倍以上。若显存允许甚至可跑large-v3模型获得96%准确率。这一选型让“字幕不存在时兜底”路径几乎无感（用户等待30秒vs CPU方案的5分钟）。</w:t>
      </w:r>
    </w:p>
    <w:p>
      <w:pPr>
        <w:spacing w:after="80" w:line="312"/>
        <w:ind w:firstLine="480"/>
        <w:jc w:val="both"/>
      </w:pPr>
      <w:r>
        <w:rPr>
          <w:rFonts w:ascii="Times New Roman" w:eastAsia="SimSun"/>
          <w:color w:val="1A2B40"/>
          <w:sz w:val="24"/>
          <w:szCs w:val="24"/>
        </w:rPr>
        <w:t xml:space="preserve">第三项关键决策是采用OpenClaw作为编排中枢而非Claude Code直调。OpenClaw的优势在于：第一，已是用户PC上常驻服务，无需额外启动；第二，已对接飞书bot，事件接收链路已打通；第三，作为Agent编排可灵活调用多种工具（yt-dlp、whisper、VLM、LLM），而非Claude Code仅限Claude生态；第四，长期可切换到本地LLM（如Qwen2.5）做总结，进一步降低对云端API的依赖。OpenClaw的MCP工具集成能力让“字幕→转写→VLM→总结→写入”的链路编排变得声明式且可观测。</w:t>
      </w:r>
    </w:p>
    <w:p>
      <w:pPr>
        <w:spacing w:after="80" w:line="312"/>
        <w:ind w:firstLine="480"/>
        <w:jc w:val="both"/>
      </w:pPr>
      <w:r>
        <w:rPr>
          <w:rFonts w:ascii="Times New Roman" w:eastAsia="SimSun"/>
          <w:color w:val="1A2B40"/>
          <w:sz w:val="24"/>
          <w:szCs w:val="24"/>
        </w:rPr>
        <w:t xml:space="preserve">第四项关键决策是采用Syncthing+Git+iCloud/OneDrive三层同步而非Obsidian Sync单一付费方案。三层各有侧重：Syncthing负责实时同步（局域网内秒级、外网P2P分钟级），适合日常查阅；Git负责版本历史（每次提交都是一个checkpoint，可回溯任意版本），适合知识沉淀；iCloud/OneDrive负责异地容灾（即使PC和手机同时损坏，云端仍有备份），适合长期保存。三层叠加后总成本为零，且不依赖单一服务商。</w:t>
      </w:r>
    </w:p>
    <w:p>
      <w:pPr>
        <w:pStyle w:val="Heading1"/>
        <w:spacing w:after="200" w:before="480" w:line="360"/>
      </w:pPr>
      <w:bookmarkStart w:id="100012" w:name="_Toc100012"/>
      <w:r>
        <w:rPr>
          <w:rFonts w:ascii="Calibri" w:eastAsia="SimHei"/>
          <w:b/>
          <w:bCs/>
          <w:color w:val="0A1628"/>
          <w:sz w:val="32"/>
          <w:szCs w:val="32"/>
        </w:rPr>
        <w:t xml:space="preserve">功能需求清单</w:t>
      </w:r>
      <w:bookmarkEnd w:id="100012"/>
    </w:p>
    <w:p>
      <w:pPr>
        <w:pStyle w:val="Heading2"/>
        <w:spacing w:after="140" w:before="320" w:line="312"/>
      </w:pPr>
      <w:bookmarkStart w:id="100013" w:name="_Toc100013"/>
      <w:r>
        <w:rPr>
          <w:rFonts w:ascii="Calibri" w:eastAsia="SimHei"/>
          <w:b/>
          <w:bCs/>
          <w:color w:val="0A1628"/>
          <w:sz w:val="28"/>
          <w:szCs w:val="28"/>
        </w:rPr>
        <w:t xml:space="preserve">3.1 用户故事</w:t>
      </w:r>
      <w:bookmarkEnd w:id="100013"/>
    </w:p>
    <w:p>
      <w:pPr>
        <w:spacing w:after="80" w:line="312"/>
        <w:ind w:firstLine="480"/>
        <w:jc w:val="both"/>
      </w:pPr>
      <w:r>
        <w:rPr>
          <w:rFonts w:ascii="Times New Roman" w:eastAsia="SimSun"/>
          <w:color w:val="1A2B40"/>
          <w:sz w:val="24"/>
          <w:szCs w:val="24"/>
        </w:rPr>
        <w:t xml:space="preserve">以下六个核心用户故事覆盖了系统的主要使用场景，相比v1.0增加了字幕路径和VLM补充路径相关故事。</w:t>
      </w:r>
    </w:p>
    <w:p>
      <w:pPr>
        <w:pStyle w:val="ListParagraph"/>
        <w:numPr>
          <w:ilvl w:val="0"/>
          <w:numId w:val="1"/>
        </w:numPr>
        <w:spacing w:after="60" w:line="312"/>
      </w:pPr>
      <w:r>
        <w:rPr>
          <w:rFonts w:ascii="Times New Roman" w:eastAsia="SimSun"/>
          <w:color w:val="1A2B40"/>
          <w:sz w:val="24"/>
          <w:szCs w:val="24"/>
        </w:rPr>
        <w:t xml:space="preserve">US-1：作为知识工作者，我希望在手机刷抖音时遇到有价值的视频，能通过发送链接到飞书机器人触发自动归档，以便不打断当前浏览节奏。</w:t>
      </w:r>
    </w:p>
    <w:p>
      <w:pPr>
        <w:pStyle w:val="ListParagraph"/>
        <w:numPr>
          <w:ilvl w:val="0"/>
          <w:numId w:val="1"/>
        </w:numPr>
        <w:spacing w:after="60" w:line="312"/>
      </w:pPr>
      <w:r>
        <w:rPr>
          <w:rFonts w:ascii="Times New Roman" w:eastAsia="SimSun"/>
          <w:color w:val="1A2B40"/>
          <w:sz w:val="24"/>
          <w:szCs w:val="24"/>
        </w:rPr>
        <w:t xml:space="preserve">US-2：作为Obsidian用户，我希望归档后的笔记优先使用抖音官方字幕（质量最高），字幕缺失时再用Whisper兜底，以便在质量和速度间取得最佳平衡。</w:t>
      </w:r>
    </w:p>
    <w:p>
      <w:pPr>
        <w:pStyle w:val="ListParagraph"/>
        <w:numPr>
          <w:ilvl w:val="0"/>
          <w:numId w:val="1"/>
        </w:numPr>
        <w:spacing w:after="60" w:line="312"/>
      </w:pPr>
      <w:r>
        <w:rPr>
          <w:rFonts w:ascii="Times New Roman" w:eastAsia="SimSun"/>
          <w:color w:val="1A2B40"/>
          <w:sz w:val="24"/>
          <w:szCs w:val="24"/>
        </w:rPr>
        <w:t xml:space="preserve">US-3：作为深度学习者，我希望对包含PPT或字幕条的视频能自动抽取关键帧做视觉理解，补充语音转写未覆盖的画面信息。</w:t>
      </w:r>
    </w:p>
    <w:p>
      <w:pPr>
        <w:pStyle w:val="ListParagraph"/>
        <w:numPr>
          <w:ilvl w:val="0"/>
          <w:numId w:val="1"/>
        </w:numPr>
        <w:spacing w:after="60" w:line="312"/>
      </w:pPr>
      <w:r>
        <w:rPr>
          <w:rFonts w:ascii="Times New Roman" w:eastAsia="SimSun"/>
          <w:color w:val="1A2B40"/>
          <w:sz w:val="24"/>
          <w:szCs w:val="24"/>
        </w:rPr>
        <w:t xml:space="preserve">US-4：作为系统使用者，我希望在视频下载失败或转写超时时收到飞书通知，以便我手动重试或换链接。</w:t>
      </w:r>
    </w:p>
    <w:p>
      <w:pPr>
        <w:pStyle w:val="ListParagraph"/>
        <w:numPr>
          <w:ilvl w:val="0"/>
          <w:numId w:val="1"/>
        </w:numPr>
        <w:spacing w:after="60" w:line="312"/>
      </w:pPr>
      <w:r>
        <w:rPr>
          <w:rFonts w:ascii="Times New Roman" w:eastAsia="SimSun"/>
          <w:color w:val="1A2B40"/>
          <w:sz w:val="24"/>
          <w:szCs w:val="24"/>
        </w:rPr>
        <w:t xml:space="preserve">US-5：作为多设备用户，我希望PC端写入笔记后能在手机端Obsidian自动同步出现，且同步走Syncthing P2P不消耗云盘配额。</w:t>
      </w:r>
    </w:p>
    <w:p>
      <w:pPr>
        <w:pStyle w:val="ListParagraph"/>
        <w:numPr>
          <w:ilvl w:val="0"/>
          <w:numId w:val="1"/>
        </w:numPr>
        <w:spacing w:after="60" w:line="312"/>
      </w:pPr>
      <w:r>
        <w:rPr>
          <w:rFonts w:ascii="Times New Roman" w:eastAsia="SimSun"/>
          <w:color w:val="1A2B40"/>
          <w:sz w:val="24"/>
          <w:szCs w:val="24"/>
        </w:rPr>
        <w:t xml:space="preserve">US-6：作为长期用户，我希望所有笔记有Git版本历史可回溯，且关键笔记有iCloud/OneDrive异地备份，避免单点故障丢数据。</w:t>
      </w:r>
    </w:p>
    <w:p>
      <w:pPr>
        <w:pStyle w:val="Heading2"/>
        <w:spacing w:after="140" w:before="320" w:line="312"/>
      </w:pPr>
      <w:bookmarkStart w:id="100014" w:name="_Toc100014"/>
      <w:r>
        <w:rPr>
          <w:rFonts w:ascii="Calibri" w:eastAsia="SimHei"/>
          <w:b/>
          <w:bCs/>
          <w:color w:val="0A1628"/>
          <w:sz w:val="28"/>
          <w:szCs w:val="28"/>
        </w:rPr>
        <w:t xml:space="preserve">3.2 功能清单</w:t>
      </w:r>
      <w:bookmarkEnd w:id="100014"/>
    </w:p>
    <w:p>
      <w:pPr>
        <w:spacing w:after="80" w:line="312"/>
        <w:ind w:firstLine="480"/>
        <w:jc w:val="both"/>
      </w:pPr>
      <w:r>
        <w:rPr>
          <w:rFonts w:ascii="Times New Roman" w:eastAsia="SimSun"/>
          <w:color w:val="1A2B40"/>
          <w:sz w:val="24"/>
          <w:szCs w:val="24"/>
        </w:rPr>
        <w:t xml:space="preserve">下表列出系统的完整功能清单。v2.0相比v1.0新增了字幕下载（F-04）、关键帧VLM（F-07）两项核心功能，并将同步方案改为三层（F-12/F-13/F-14）。</w:t>
      </w:r>
    </w:p>
    <w:p>
      <w:pPr>
        <w:keepNext/>
        <w:spacing w:after="80" w:before="200"/>
      </w:pPr>
      <w:r>
        <w:rPr>
          <w:rFonts w:ascii="Calibri" w:eastAsia="SimHei"/>
          <w:b/>
          <w:bCs/>
          <w:color w:val="0A1628"/>
          <w:sz w:val="21"/>
          <w:szCs w:val="21"/>
        </w:rPr>
        <w:t xml:space="preserve">表3-1 功能需求清单 v2.0</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gridCol w:w="100"/>
        <w:gridCol w:w="100"/>
      </w:tblGrid>
      <w:tr>
        <w:trPr>
          <w:cantSplit/>
          <w:tblHeader/>
        </w:trPr>
        <w:tc>
          <w:tcPr>
            <w:tcW w:type="pct" w:w="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编号</w:t>
            </w:r>
          </w:p>
        </w:tc>
        <w:tc>
          <w:tcPr>
            <w:tcW w:type="pct" w:w="14%"/>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功能</w:t>
            </w:r>
          </w:p>
        </w:tc>
        <w:tc>
          <w:tcPr>
            <w:tcW w:type="pct" w:w="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优先级</w:t>
            </w:r>
          </w:p>
        </w:tc>
        <w:tc>
          <w:tcPr>
            <w:tcW w:type="pct" w:w="35%"/>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描述</w:t>
            </w:r>
          </w:p>
        </w:tc>
        <w:tc>
          <w:tcPr>
            <w:tcW w:type="pct" w:w="35%"/>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验收标准</w:t>
            </w:r>
          </w:p>
        </w:tc>
      </w:tr>
      <w:tr>
        <w:trPr>
          <w:cantSplit/>
        </w:trPr>
        <w:tc>
          <w:tcPr>
            <w:tcW w:type="pct" w:w="8%"/>
            <w:tcMar>
              <w:top w:type="dxa" w:w="60"/>
              <w:left w:type="dxa" w:w="100"/>
              <w:bottom w:type="dxa" w:w="60"/>
              <w:right w:type="dxa" w:w="100"/>
            </w:tcMar>
          </w:tcPr>
          <w:p>
            <w:r>
              <w:rPr>
                <w:rFonts w:ascii="Times New Roman" w:eastAsia="SimSun"/>
                <w:color w:val="1A2B40"/>
                <w:sz w:val="20"/>
                <w:szCs w:val="20"/>
              </w:rPr>
              <w:t xml:space="preserve">F-01</w:t>
            </w:r>
          </w:p>
        </w:tc>
        <w:tc>
          <w:tcPr>
            <w:tcW w:type="pct" w:w="14%"/>
            <w:tcMar>
              <w:top w:type="dxa" w:w="60"/>
              <w:left w:type="dxa" w:w="100"/>
              <w:bottom w:type="dxa" w:w="60"/>
              <w:right w:type="dxa" w:w="100"/>
            </w:tcMar>
          </w:tcPr>
          <w:p>
            <w:r>
              <w:rPr>
                <w:rFonts w:ascii="Times New Roman" w:eastAsia="SimSun"/>
                <w:color w:val="1A2B40"/>
                <w:sz w:val="20"/>
                <w:szCs w:val="20"/>
              </w:rPr>
              <w:t xml:space="preserve">URL接收</w:t>
            </w:r>
          </w:p>
        </w:tc>
        <w:tc>
          <w:tcPr>
            <w:tcW w:type="pct" w:w="8%"/>
            <w:tcMar>
              <w:top w:type="dxa" w:w="60"/>
              <w:left w:type="dxa" w:w="100"/>
              <w:bottom w:type="dxa" w:w="60"/>
              <w:right w:type="dxa" w:w="100"/>
            </w:tcMar>
          </w:tcPr>
          <w:p>
            <w:r>
              <w:rPr>
                <w:rFonts w:ascii="Times New Roman" w:eastAsia="SimSun"/>
                <w:color w:val="1A2B40"/>
                <w:sz w:val="20"/>
                <w:szCs w:val="20"/>
              </w:rPr>
              <w:t xml:space="preserve">P0</w:t>
            </w:r>
          </w:p>
        </w:tc>
        <w:tc>
          <w:tcPr>
            <w:tcW w:type="pct" w:w="35%"/>
            <w:tcMar>
              <w:top w:type="dxa" w:w="60"/>
              <w:left w:type="dxa" w:w="100"/>
              <w:bottom w:type="dxa" w:w="60"/>
              <w:right w:type="dxa" w:w="100"/>
            </w:tcMar>
          </w:tcPr>
          <w:p>
            <w:r>
              <w:rPr>
                <w:rFonts w:ascii="Times New Roman" w:eastAsia="SimSun"/>
                <w:color w:val="1A2B40"/>
                <w:sz w:val="20"/>
                <w:szCs w:val="20"/>
              </w:rPr>
              <w:t xml:space="preserve">OpenClaw接收飞书bot转发的事件并解析URL</w:t>
            </w:r>
          </w:p>
        </w:tc>
        <w:tc>
          <w:tcPr>
            <w:tcW w:type="pct" w:w="35%"/>
            <w:tcMar>
              <w:top w:type="dxa" w:w="60"/>
              <w:left w:type="dxa" w:w="100"/>
              <w:bottom w:type="dxa" w:w="60"/>
              <w:right w:type="dxa" w:w="100"/>
            </w:tcMar>
          </w:tcPr>
          <w:p>
            <w:r>
              <w:rPr>
                <w:rFonts w:ascii="Times New Roman" w:eastAsia="SimSun"/>
                <w:color w:val="1A2B40"/>
                <w:sz w:val="20"/>
                <w:szCs w:val="20"/>
              </w:rPr>
              <w:t xml:space="preserve">支持v.douyin.com短链和完整链接</w:t>
            </w:r>
          </w:p>
        </w:tc>
      </w:tr>
      <w:tr>
        <w:trPr>
          <w:cantSplit/>
        </w:trPr>
        <w:tc>
          <w:tcPr>
            <w:tcW w:type="pct" w:w="8%"/>
            <w:tcMar>
              <w:top w:type="dxa" w:w="60"/>
              <w:left w:type="dxa" w:w="100"/>
              <w:bottom w:type="dxa" w:w="60"/>
              <w:right w:type="dxa" w:w="100"/>
            </w:tcMar>
          </w:tcPr>
          <w:p>
            <w:r>
              <w:rPr>
                <w:rFonts w:ascii="Times New Roman" w:eastAsia="SimSun"/>
                <w:color w:val="1A2B40"/>
                <w:sz w:val="20"/>
                <w:szCs w:val="20"/>
              </w:rPr>
              <w:t xml:space="preserve">F-02</w:t>
            </w:r>
          </w:p>
        </w:tc>
        <w:tc>
          <w:tcPr>
            <w:tcW w:type="pct" w:w="14%"/>
            <w:tcMar>
              <w:top w:type="dxa" w:w="60"/>
              <w:left w:type="dxa" w:w="100"/>
              <w:bottom w:type="dxa" w:w="60"/>
              <w:right w:type="dxa" w:w="100"/>
            </w:tcMar>
          </w:tcPr>
          <w:p>
            <w:r>
              <w:rPr>
                <w:rFonts w:ascii="Times New Roman" w:eastAsia="SimSun"/>
                <w:color w:val="1A2B40"/>
                <w:sz w:val="20"/>
                <w:szCs w:val="20"/>
              </w:rPr>
              <w:t xml:space="preserve">URL校验</w:t>
            </w:r>
          </w:p>
        </w:tc>
        <w:tc>
          <w:tcPr>
            <w:tcW w:type="pct" w:w="8%"/>
            <w:tcMar>
              <w:top w:type="dxa" w:w="60"/>
              <w:left w:type="dxa" w:w="100"/>
              <w:bottom w:type="dxa" w:w="60"/>
              <w:right w:type="dxa" w:w="100"/>
            </w:tcMar>
          </w:tcPr>
          <w:p>
            <w:r>
              <w:rPr>
                <w:rFonts w:ascii="Times New Roman" w:eastAsia="SimSun"/>
                <w:color w:val="1A2B40"/>
                <w:sz w:val="20"/>
                <w:szCs w:val="20"/>
              </w:rPr>
              <w:t xml:space="preserve">P0</w:t>
            </w:r>
          </w:p>
        </w:tc>
        <w:tc>
          <w:tcPr>
            <w:tcW w:type="pct" w:w="35%"/>
            <w:tcMar>
              <w:top w:type="dxa" w:w="60"/>
              <w:left w:type="dxa" w:w="100"/>
              <w:bottom w:type="dxa" w:w="60"/>
              <w:right w:type="dxa" w:w="100"/>
            </w:tcMar>
          </w:tcPr>
          <w:p>
            <w:r>
              <w:rPr>
                <w:rFonts w:ascii="Times New Roman" w:eastAsia="SimSun"/>
                <w:color w:val="1A2B40"/>
                <w:sz w:val="20"/>
                <w:szCs w:val="20"/>
              </w:rPr>
              <w:t xml:space="preserve">校验URL是否为抖音域名并跟随重定向</w:t>
            </w:r>
          </w:p>
        </w:tc>
        <w:tc>
          <w:tcPr>
            <w:tcW w:type="pct" w:w="35%"/>
            <w:tcMar>
              <w:top w:type="dxa" w:w="60"/>
              <w:left w:type="dxa" w:w="100"/>
              <w:bottom w:type="dxa" w:w="60"/>
              <w:right w:type="dxa" w:w="100"/>
            </w:tcMar>
          </w:tcPr>
          <w:p>
            <w:r>
              <w:rPr>
                <w:rFonts w:ascii="Times New Roman" w:eastAsia="SimSun"/>
                <w:color w:val="1A2B40"/>
                <w:sz w:val="20"/>
                <w:szCs w:val="20"/>
              </w:rPr>
              <w:t xml:space="preserve">短链自动跟随重定向拿到真实URL</w:t>
            </w:r>
          </w:p>
        </w:tc>
      </w:tr>
      <w:tr>
        <w:trPr>
          <w:cantSplit/>
        </w:trPr>
        <w:tc>
          <w:tcPr>
            <w:tcW w:type="pct" w:w="8%"/>
            <w:tcMar>
              <w:top w:type="dxa" w:w="60"/>
              <w:left w:type="dxa" w:w="100"/>
              <w:bottom w:type="dxa" w:w="60"/>
              <w:right w:type="dxa" w:w="100"/>
            </w:tcMar>
          </w:tcPr>
          <w:p>
            <w:r>
              <w:rPr>
                <w:rFonts w:ascii="Times New Roman" w:eastAsia="SimSun"/>
                <w:color w:val="1A2B40"/>
                <w:sz w:val="20"/>
                <w:szCs w:val="20"/>
              </w:rPr>
              <w:t xml:space="preserve">F-03</w:t>
            </w:r>
          </w:p>
        </w:tc>
        <w:tc>
          <w:tcPr>
            <w:tcW w:type="pct" w:w="14%"/>
            <w:tcMar>
              <w:top w:type="dxa" w:w="60"/>
              <w:left w:type="dxa" w:w="100"/>
              <w:bottom w:type="dxa" w:w="60"/>
              <w:right w:type="dxa" w:w="100"/>
            </w:tcMar>
          </w:tcPr>
          <w:p>
            <w:r>
              <w:rPr>
                <w:rFonts w:ascii="Times New Roman" w:eastAsia="SimSun"/>
                <w:color w:val="1A2B40"/>
                <w:sz w:val="20"/>
                <w:szCs w:val="20"/>
              </w:rPr>
              <w:t xml:space="preserve">视频下载</w:t>
            </w:r>
          </w:p>
        </w:tc>
        <w:tc>
          <w:tcPr>
            <w:tcW w:type="pct" w:w="8%"/>
            <w:tcMar>
              <w:top w:type="dxa" w:w="60"/>
              <w:left w:type="dxa" w:w="100"/>
              <w:bottom w:type="dxa" w:w="60"/>
              <w:right w:type="dxa" w:w="100"/>
            </w:tcMar>
          </w:tcPr>
          <w:p>
            <w:r>
              <w:rPr>
                <w:rFonts w:ascii="Times New Roman" w:eastAsia="SimSun"/>
                <w:color w:val="1A2B40"/>
                <w:sz w:val="20"/>
                <w:szCs w:val="20"/>
              </w:rPr>
              <w:t xml:space="preserve">P0</w:t>
            </w:r>
          </w:p>
        </w:tc>
        <w:tc>
          <w:tcPr>
            <w:tcW w:type="pct" w:w="35%"/>
            <w:tcMar>
              <w:top w:type="dxa" w:w="60"/>
              <w:left w:type="dxa" w:w="100"/>
              <w:bottom w:type="dxa" w:w="60"/>
              <w:right w:type="dxa" w:w="100"/>
            </w:tcMar>
          </w:tcPr>
          <w:p>
            <w:r>
              <w:rPr>
                <w:rFonts w:ascii="Times New Roman" w:eastAsia="SimSun"/>
                <w:color w:val="1A2B40"/>
                <w:sz w:val="20"/>
                <w:szCs w:val="20"/>
              </w:rPr>
              <w:t xml:space="preserve">调用yt-dlp下载视频文件到本地</w:t>
            </w:r>
          </w:p>
        </w:tc>
        <w:tc>
          <w:tcPr>
            <w:tcW w:type="pct" w:w="35%"/>
            <w:tcMar>
              <w:top w:type="dxa" w:w="60"/>
              <w:left w:type="dxa" w:w="100"/>
              <w:bottom w:type="dxa" w:w="60"/>
              <w:right w:type="dxa" w:w="100"/>
            </w:tcMar>
          </w:tcPr>
          <w:p>
            <w:r>
              <w:rPr>
                <w:rFonts w:ascii="Times New Roman" w:eastAsia="SimSun"/>
                <w:color w:val="1A2B40"/>
                <w:sz w:val="20"/>
                <w:szCs w:val="20"/>
              </w:rPr>
              <w:t xml:space="preserve">下载成功且文件可播放，超时60秒</w:t>
            </w:r>
          </w:p>
        </w:tc>
      </w:tr>
      <w:tr>
        <w:trPr>
          <w:cantSplit/>
        </w:trPr>
        <w:tc>
          <w:tcPr>
            <w:tcW w:type="pct" w:w="8%"/>
            <w:tcMar>
              <w:top w:type="dxa" w:w="60"/>
              <w:left w:type="dxa" w:w="100"/>
              <w:bottom w:type="dxa" w:w="60"/>
              <w:right w:type="dxa" w:w="100"/>
            </w:tcMar>
          </w:tcPr>
          <w:p>
            <w:r>
              <w:rPr>
                <w:rFonts w:ascii="Times New Roman" w:eastAsia="SimSun"/>
                <w:color w:val="1A2B40"/>
                <w:sz w:val="20"/>
                <w:szCs w:val="20"/>
              </w:rPr>
              <w:t xml:space="preserve">F-04</w:t>
            </w:r>
          </w:p>
        </w:tc>
        <w:tc>
          <w:tcPr>
            <w:tcW w:type="pct" w:w="14%"/>
            <w:tcMar>
              <w:top w:type="dxa" w:w="60"/>
              <w:left w:type="dxa" w:w="100"/>
              <w:bottom w:type="dxa" w:w="60"/>
              <w:right w:type="dxa" w:w="100"/>
            </w:tcMar>
          </w:tcPr>
          <w:p>
            <w:r>
              <w:rPr>
                <w:rFonts w:ascii="Times New Roman" w:eastAsia="SimSun"/>
                <w:color w:val="1A2B40"/>
                <w:sz w:val="20"/>
                <w:szCs w:val="20"/>
              </w:rPr>
              <w:t xml:space="preserve">字幕下载</w:t>
            </w:r>
          </w:p>
        </w:tc>
        <w:tc>
          <w:tcPr>
            <w:tcW w:type="pct" w:w="8%"/>
            <w:tcMar>
              <w:top w:type="dxa" w:w="60"/>
              <w:left w:type="dxa" w:w="100"/>
              <w:bottom w:type="dxa" w:w="60"/>
              <w:right w:type="dxa" w:w="100"/>
            </w:tcMar>
          </w:tcPr>
          <w:p>
            <w:r>
              <w:rPr>
                <w:rFonts w:ascii="Times New Roman" w:eastAsia="SimSun"/>
                <w:color w:val="1A2B40"/>
                <w:sz w:val="20"/>
                <w:szCs w:val="20"/>
              </w:rPr>
              <w:t xml:space="preserve">P0</w:t>
            </w:r>
          </w:p>
        </w:tc>
        <w:tc>
          <w:tcPr>
            <w:tcW w:type="pct" w:w="35%"/>
            <w:tcMar>
              <w:top w:type="dxa" w:w="60"/>
              <w:left w:type="dxa" w:w="100"/>
              <w:bottom w:type="dxa" w:w="60"/>
              <w:right w:type="dxa" w:w="100"/>
            </w:tcMar>
          </w:tcPr>
          <w:p>
            <w:r>
              <w:rPr>
                <w:rFonts w:ascii="Times New Roman" w:eastAsia="SimSun"/>
                <w:color w:val="1A2B40"/>
                <w:sz w:val="20"/>
                <w:szCs w:val="20"/>
              </w:rPr>
              <w:t xml:space="preserve">yt-dlp尝试下载抖音CC字幕(VTT格式)</w:t>
            </w:r>
          </w:p>
        </w:tc>
        <w:tc>
          <w:tcPr>
            <w:tcW w:type="pct" w:w="35%"/>
            <w:tcMar>
              <w:top w:type="dxa" w:w="60"/>
              <w:left w:type="dxa" w:w="100"/>
              <w:bottom w:type="dxa" w:w="60"/>
              <w:right w:type="dxa" w:w="100"/>
            </w:tcMar>
          </w:tcPr>
          <w:p>
            <w:r>
              <w:rPr>
                <w:rFonts w:ascii="Times New Roman" w:eastAsia="SimSun"/>
                <w:color w:val="1A2B40"/>
                <w:sz w:val="20"/>
                <w:szCs w:val="20"/>
              </w:rPr>
              <w:t xml:space="preserve">字幕存在则下载成功，不存在则返回空</w:t>
            </w:r>
          </w:p>
        </w:tc>
      </w:tr>
      <w:tr>
        <w:trPr>
          <w:cantSplit/>
        </w:trPr>
        <w:tc>
          <w:tcPr>
            <w:tcW w:type="pct" w:w="8%"/>
            <w:tcMar>
              <w:top w:type="dxa" w:w="60"/>
              <w:left w:type="dxa" w:w="100"/>
              <w:bottom w:type="dxa" w:w="60"/>
              <w:right w:type="dxa" w:w="100"/>
            </w:tcMar>
          </w:tcPr>
          <w:p>
            <w:r>
              <w:rPr>
                <w:rFonts w:ascii="Times New Roman" w:eastAsia="SimSun"/>
                <w:color w:val="1A2B40"/>
                <w:sz w:val="20"/>
                <w:szCs w:val="20"/>
              </w:rPr>
              <w:t xml:space="preserve">F-05</w:t>
            </w:r>
          </w:p>
        </w:tc>
        <w:tc>
          <w:tcPr>
            <w:tcW w:type="pct" w:w="14%"/>
            <w:tcMar>
              <w:top w:type="dxa" w:w="60"/>
              <w:left w:type="dxa" w:w="100"/>
              <w:bottom w:type="dxa" w:w="60"/>
              <w:right w:type="dxa" w:w="100"/>
            </w:tcMar>
          </w:tcPr>
          <w:p>
            <w:r>
              <w:rPr>
                <w:rFonts w:ascii="Times New Roman" w:eastAsia="SimSun"/>
                <w:color w:val="1A2B40"/>
                <w:sz w:val="20"/>
                <w:szCs w:val="20"/>
              </w:rPr>
              <w:t xml:space="preserve">字幕解析</w:t>
            </w:r>
          </w:p>
        </w:tc>
        <w:tc>
          <w:tcPr>
            <w:tcW w:type="pct" w:w="8%"/>
            <w:tcMar>
              <w:top w:type="dxa" w:w="60"/>
              <w:left w:type="dxa" w:w="100"/>
              <w:bottom w:type="dxa" w:w="60"/>
              <w:right w:type="dxa" w:w="100"/>
            </w:tcMar>
          </w:tcPr>
          <w:p>
            <w:r>
              <w:rPr>
                <w:rFonts w:ascii="Times New Roman" w:eastAsia="SimSun"/>
                <w:color w:val="1A2B40"/>
                <w:sz w:val="20"/>
                <w:szCs w:val="20"/>
              </w:rPr>
              <w:t xml:space="preserve">P0</w:t>
            </w:r>
          </w:p>
        </w:tc>
        <w:tc>
          <w:tcPr>
            <w:tcW w:type="pct" w:w="35%"/>
            <w:tcMar>
              <w:top w:type="dxa" w:w="60"/>
              <w:left w:type="dxa" w:w="100"/>
              <w:bottom w:type="dxa" w:w="60"/>
              <w:right w:type="dxa" w:w="100"/>
            </w:tcMar>
          </w:tcPr>
          <w:p>
            <w:r>
              <w:rPr>
                <w:rFonts w:ascii="Times New Roman" w:eastAsia="SimSun"/>
                <w:color w:val="1A2B40"/>
                <w:sz w:val="20"/>
                <w:szCs w:val="20"/>
              </w:rPr>
              <w:t xml:space="preserve">解析VTT字幕为纯文本</w:t>
            </w:r>
          </w:p>
        </w:tc>
        <w:tc>
          <w:tcPr>
            <w:tcW w:type="pct" w:w="35%"/>
            <w:tcMar>
              <w:top w:type="dxa" w:w="60"/>
              <w:left w:type="dxa" w:w="100"/>
              <w:bottom w:type="dxa" w:w="60"/>
              <w:right w:type="dxa" w:w="100"/>
            </w:tcMar>
          </w:tcPr>
          <w:p>
            <w:r>
              <w:rPr>
                <w:rFonts w:ascii="Times New Roman" w:eastAsia="SimSun"/>
                <w:color w:val="1A2B40"/>
                <w:sz w:val="20"/>
                <w:szCs w:val="20"/>
              </w:rPr>
              <w:t xml:space="preserve">保留时间戳信息，去标签</w:t>
            </w:r>
          </w:p>
        </w:tc>
      </w:tr>
      <w:tr>
        <w:trPr>
          <w:cantSplit/>
        </w:trPr>
        <w:tc>
          <w:tcPr>
            <w:tcW w:type="pct" w:w="8%"/>
            <w:tcMar>
              <w:top w:type="dxa" w:w="60"/>
              <w:left w:type="dxa" w:w="100"/>
              <w:bottom w:type="dxa" w:w="60"/>
              <w:right w:type="dxa" w:w="100"/>
            </w:tcMar>
          </w:tcPr>
          <w:p>
            <w:r>
              <w:rPr>
                <w:rFonts w:ascii="Times New Roman" w:eastAsia="SimSun"/>
                <w:color w:val="1A2B40"/>
                <w:sz w:val="20"/>
                <w:szCs w:val="20"/>
              </w:rPr>
              <w:t xml:space="preserve">F-06</w:t>
            </w:r>
          </w:p>
        </w:tc>
        <w:tc>
          <w:tcPr>
            <w:tcW w:type="pct" w:w="14%"/>
            <w:tcMar>
              <w:top w:type="dxa" w:w="60"/>
              <w:left w:type="dxa" w:w="100"/>
              <w:bottom w:type="dxa" w:w="60"/>
              <w:right w:type="dxa" w:w="100"/>
            </w:tcMar>
          </w:tcPr>
          <w:p>
            <w:r>
              <w:rPr>
                <w:rFonts w:ascii="Times New Roman" w:eastAsia="SimSun"/>
                <w:color w:val="1A2B40"/>
                <w:sz w:val="20"/>
                <w:szCs w:val="20"/>
              </w:rPr>
              <w:t xml:space="preserve">Whisper兜底</w:t>
            </w:r>
          </w:p>
        </w:tc>
        <w:tc>
          <w:tcPr>
            <w:tcW w:type="pct" w:w="8%"/>
            <w:tcMar>
              <w:top w:type="dxa" w:w="60"/>
              <w:left w:type="dxa" w:w="100"/>
              <w:bottom w:type="dxa" w:w="60"/>
              <w:right w:type="dxa" w:w="100"/>
            </w:tcMar>
          </w:tcPr>
          <w:p>
            <w:r>
              <w:rPr>
                <w:rFonts w:ascii="Times New Roman" w:eastAsia="SimSun"/>
                <w:color w:val="1A2B40"/>
                <w:sz w:val="20"/>
                <w:szCs w:val="20"/>
              </w:rPr>
              <w:t xml:space="preserve">P0</w:t>
            </w:r>
          </w:p>
        </w:tc>
        <w:tc>
          <w:tcPr>
            <w:tcW w:type="pct" w:w="35%"/>
            <w:tcMar>
              <w:top w:type="dxa" w:w="60"/>
              <w:left w:type="dxa" w:w="100"/>
              <w:bottom w:type="dxa" w:w="60"/>
              <w:right w:type="dxa" w:w="100"/>
            </w:tcMar>
          </w:tcPr>
          <w:p>
            <w:r>
              <w:rPr>
                <w:rFonts w:ascii="Times New Roman" w:eastAsia="SimSun"/>
                <w:color w:val="1A2B40"/>
                <w:sz w:val="20"/>
                <w:szCs w:val="20"/>
              </w:rPr>
              <w:t xml:space="preserve">字幕缺失时调用faster-whisper GPU转写</w:t>
            </w:r>
          </w:p>
        </w:tc>
        <w:tc>
          <w:tcPr>
            <w:tcW w:type="pct" w:w="35%"/>
            <w:tcMar>
              <w:top w:type="dxa" w:w="60"/>
              <w:left w:type="dxa" w:w="100"/>
              <w:bottom w:type="dxa" w:w="60"/>
              <w:right w:type="dxa" w:w="100"/>
            </w:tcMar>
          </w:tcPr>
          <w:p>
            <w:r>
              <w:rPr>
                <w:rFonts w:ascii="Times New Roman" w:eastAsia="SimSun"/>
                <w:color w:val="1A2B40"/>
                <w:sz w:val="20"/>
                <w:szCs w:val="20"/>
              </w:rPr>
              <w:t xml:space="preserve">5min视频转写≤30秒，准确率≥90%</w:t>
            </w:r>
          </w:p>
        </w:tc>
      </w:tr>
      <w:tr>
        <w:trPr>
          <w:cantSplit/>
        </w:trPr>
        <w:tc>
          <w:tcPr>
            <w:tcW w:type="pct" w:w="8%"/>
            <w:tcMar>
              <w:top w:type="dxa" w:w="60"/>
              <w:left w:type="dxa" w:w="100"/>
              <w:bottom w:type="dxa" w:w="60"/>
              <w:right w:type="dxa" w:w="100"/>
            </w:tcMar>
          </w:tcPr>
          <w:p>
            <w:r>
              <w:rPr>
                <w:rFonts w:ascii="Times New Roman" w:eastAsia="SimSun"/>
                <w:color w:val="1A2B40"/>
                <w:sz w:val="20"/>
                <w:szCs w:val="20"/>
              </w:rPr>
              <w:t xml:space="preserve">F-07</w:t>
            </w:r>
          </w:p>
        </w:tc>
        <w:tc>
          <w:tcPr>
            <w:tcW w:type="pct" w:w="14%"/>
            <w:tcMar>
              <w:top w:type="dxa" w:w="60"/>
              <w:left w:type="dxa" w:w="100"/>
              <w:bottom w:type="dxa" w:w="60"/>
              <w:right w:type="dxa" w:w="100"/>
            </w:tcMar>
          </w:tcPr>
          <w:p>
            <w:r>
              <w:rPr>
                <w:rFonts w:ascii="Times New Roman" w:eastAsia="SimSun"/>
                <w:color w:val="1A2B40"/>
                <w:sz w:val="20"/>
                <w:szCs w:val="20"/>
              </w:rPr>
              <w:t xml:space="preserve">关键帧VLM</w:t>
            </w:r>
          </w:p>
        </w:tc>
        <w:tc>
          <w:tcPr>
            <w:tcW w:type="pct" w:w="8%"/>
            <w:tcMar>
              <w:top w:type="dxa" w:w="60"/>
              <w:left w:type="dxa" w:w="100"/>
              <w:bottom w:type="dxa" w:w="60"/>
              <w:right w:type="dxa" w:w="100"/>
            </w:tcMar>
          </w:tcPr>
          <w:p>
            <w:r>
              <w:rPr>
                <w:rFonts w:ascii="Times New Roman" w:eastAsia="SimSun"/>
                <w:color w:val="1A2B40"/>
                <w:sz w:val="20"/>
                <w:szCs w:val="20"/>
              </w:rPr>
              <w:t xml:space="preserve">P1</w:t>
            </w:r>
          </w:p>
        </w:tc>
        <w:tc>
          <w:tcPr>
            <w:tcW w:type="pct" w:w="35%"/>
            <w:tcMar>
              <w:top w:type="dxa" w:w="60"/>
              <w:left w:type="dxa" w:w="100"/>
              <w:bottom w:type="dxa" w:w="60"/>
              <w:right w:type="dxa" w:w="100"/>
            </w:tcMar>
          </w:tcPr>
          <w:p>
            <w:r>
              <w:rPr>
                <w:rFonts w:ascii="Times New Roman" w:eastAsia="SimSun"/>
                <w:color w:val="1A2B40"/>
                <w:sz w:val="20"/>
                <w:szCs w:val="20"/>
              </w:rPr>
              <w:t xml:space="preserve">ffmpeg抽帧+VLM理解画面(可选)</w:t>
            </w:r>
          </w:p>
        </w:tc>
        <w:tc>
          <w:tcPr>
            <w:tcW w:type="pct" w:w="35%"/>
            <w:tcMar>
              <w:top w:type="dxa" w:w="60"/>
              <w:left w:type="dxa" w:w="100"/>
              <w:bottom w:type="dxa" w:w="60"/>
              <w:right w:type="dxa" w:w="100"/>
            </w:tcMar>
          </w:tcPr>
          <w:p>
            <w:r>
              <w:rPr>
                <w:rFonts w:ascii="Times New Roman" w:eastAsia="SimSun"/>
                <w:color w:val="1A2B40"/>
                <w:sz w:val="20"/>
                <w:szCs w:val="20"/>
              </w:rPr>
              <w:t xml:space="preserve">对PPT/字幕条视频能补充视觉信息</w:t>
            </w:r>
          </w:p>
        </w:tc>
      </w:tr>
      <w:tr>
        <w:trPr>
          <w:cantSplit/>
        </w:trPr>
        <w:tc>
          <w:tcPr>
            <w:tcW w:type="pct" w:w="8%"/>
            <w:tcMar>
              <w:top w:type="dxa" w:w="60"/>
              <w:left w:type="dxa" w:w="100"/>
              <w:bottom w:type="dxa" w:w="60"/>
              <w:right w:type="dxa" w:w="100"/>
            </w:tcMar>
          </w:tcPr>
          <w:p>
            <w:r>
              <w:rPr>
                <w:rFonts w:ascii="Times New Roman" w:eastAsia="SimSun"/>
                <w:color w:val="1A2B40"/>
                <w:sz w:val="20"/>
                <w:szCs w:val="20"/>
              </w:rPr>
              <w:t xml:space="preserve">F-08</w:t>
            </w:r>
          </w:p>
        </w:tc>
        <w:tc>
          <w:tcPr>
            <w:tcW w:type="pct" w:w="14%"/>
            <w:tcMar>
              <w:top w:type="dxa" w:w="60"/>
              <w:left w:type="dxa" w:w="100"/>
              <w:bottom w:type="dxa" w:w="60"/>
              <w:right w:type="dxa" w:w="100"/>
            </w:tcMar>
          </w:tcPr>
          <w:p>
            <w:r>
              <w:rPr>
                <w:rFonts w:ascii="Times New Roman" w:eastAsia="SimSun"/>
                <w:color w:val="1A2B40"/>
                <w:sz w:val="20"/>
                <w:szCs w:val="20"/>
              </w:rPr>
              <w:t xml:space="preserve">内容总结</w:t>
            </w:r>
          </w:p>
        </w:tc>
        <w:tc>
          <w:tcPr>
            <w:tcW w:type="pct" w:w="8%"/>
            <w:tcMar>
              <w:top w:type="dxa" w:w="60"/>
              <w:left w:type="dxa" w:w="100"/>
              <w:bottom w:type="dxa" w:w="60"/>
              <w:right w:type="dxa" w:w="100"/>
            </w:tcMar>
          </w:tcPr>
          <w:p>
            <w:r>
              <w:rPr>
                <w:rFonts w:ascii="Times New Roman" w:eastAsia="SimSun"/>
                <w:color w:val="1A2B40"/>
                <w:sz w:val="20"/>
                <w:szCs w:val="20"/>
              </w:rPr>
              <w:t xml:space="preserve">P0</w:t>
            </w:r>
          </w:p>
        </w:tc>
        <w:tc>
          <w:tcPr>
            <w:tcW w:type="pct" w:w="35%"/>
            <w:tcMar>
              <w:top w:type="dxa" w:w="60"/>
              <w:left w:type="dxa" w:w="100"/>
              <w:bottom w:type="dxa" w:w="60"/>
              <w:right w:type="dxa" w:w="100"/>
            </w:tcMar>
          </w:tcPr>
          <w:p>
            <w:r>
              <w:rPr>
                <w:rFonts w:ascii="Times New Roman" w:eastAsia="SimSun"/>
                <w:color w:val="1A2B40"/>
                <w:sz w:val="20"/>
                <w:szCs w:val="20"/>
              </w:rPr>
              <w:t xml:space="preserve">调用Claude/本地LLM生成3-7条要点</w:t>
            </w:r>
          </w:p>
        </w:tc>
        <w:tc>
          <w:tcPr>
            <w:tcW w:type="pct" w:w="35%"/>
            <w:tcMar>
              <w:top w:type="dxa" w:w="60"/>
              <w:left w:type="dxa" w:w="100"/>
              <w:bottom w:type="dxa" w:w="60"/>
              <w:right w:type="dxa" w:w="100"/>
            </w:tcMar>
          </w:tcPr>
          <w:p>
            <w:r>
              <w:rPr>
                <w:rFonts w:ascii="Times New Roman" w:eastAsia="SimSun"/>
                <w:color w:val="1A2B40"/>
                <w:sz w:val="20"/>
                <w:szCs w:val="20"/>
              </w:rPr>
              <w:t xml:space="preserve">总结覆盖核心信息且无幻觉</w:t>
            </w:r>
          </w:p>
        </w:tc>
      </w:tr>
      <w:tr>
        <w:trPr>
          <w:cantSplit/>
        </w:trPr>
        <w:tc>
          <w:tcPr>
            <w:tcW w:type="pct" w:w="8%"/>
            <w:tcMar>
              <w:top w:type="dxa" w:w="60"/>
              <w:left w:type="dxa" w:w="100"/>
              <w:bottom w:type="dxa" w:w="60"/>
              <w:right w:type="dxa" w:w="100"/>
            </w:tcMar>
          </w:tcPr>
          <w:p>
            <w:r>
              <w:rPr>
                <w:rFonts w:ascii="Times New Roman" w:eastAsia="SimSun"/>
                <w:color w:val="1A2B40"/>
                <w:sz w:val="20"/>
                <w:szCs w:val="20"/>
              </w:rPr>
              <w:t xml:space="preserve">F-09</w:t>
            </w:r>
          </w:p>
        </w:tc>
        <w:tc>
          <w:tcPr>
            <w:tcW w:type="pct" w:w="14%"/>
            <w:tcMar>
              <w:top w:type="dxa" w:w="60"/>
              <w:left w:type="dxa" w:w="100"/>
              <w:bottom w:type="dxa" w:w="60"/>
              <w:right w:type="dxa" w:w="100"/>
            </w:tcMar>
          </w:tcPr>
          <w:p>
            <w:r>
              <w:rPr>
                <w:rFonts w:ascii="Times New Roman" w:eastAsia="SimSun"/>
                <w:color w:val="1A2B40"/>
                <w:sz w:val="20"/>
                <w:szCs w:val="20"/>
              </w:rPr>
              <w:t xml:space="preserve">笔记生成</w:t>
            </w:r>
          </w:p>
        </w:tc>
        <w:tc>
          <w:tcPr>
            <w:tcW w:type="pct" w:w="8%"/>
            <w:tcMar>
              <w:top w:type="dxa" w:w="60"/>
              <w:left w:type="dxa" w:w="100"/>
              <w:bottom w:type="dxa" w:w="60"/>
              <w:right w:type="dxa" w:w="100"/>
            </w:tcMar>
          </w:tcPr>
          <w:p>
            <w:r>
              <w:rPr>
                <w:rFonts w:ascii="Times New Roman" w:eastAsia="SimSun"/>
                <w:color w:val="1A2B40"/>
                <w:sz w:val="20"/>
                <w:szCs w:val="20"/>
              </w:rPr>
              <w:t xml:space="preserve">P0</w:t>
            </w:r>
          </w:p>
        </w:tc>
        <w:tc>
          <w:tcPr>
            <w:tcW w:type="pct" w:w="35%"/>
            <w:tcMar>
              <w:top w:type="dxa" w:w="60"/>
              <w:left w:type="dxa" w:w="100"/>
              <w:bottom w:type="dxa" w:w="60"/>
              <w:right w:type="dxa" w:w="100"/>
            </w:tcMar>
          </w:tcPr>
          <w:p>
            <w:r>
              <w:rPr>
                <w:rFonts w:ascii="Times New Roman" w:eastAsia="SimSun"/>
                <w:color w:val="1A2B40"/>
                <w:sz w:val="20"/>
                <w:szCs w:val="20"/>
              </w:rPr>
              <w:t xml:space="preserve">按Obsidian模板生成含frontmatter的MD</w:t>
            </w:r>
          </w:p>
        </w:tc>
        <w:tc>
          <w:tcPr>
            <w:tcW w:type="pct" w:w="35%"/>
            <w:tcMar>
              <w:top w:type="dxa" w:w="60"/>
              <w:left w:type="dxa" w:w="100"/>
              <w:bottom w:type="dxa" w:w="60"/>
              <w:right w:type="dxa" w:w="100"/>
            </w:tcMar>
          </w:tcPr>
          <w:p>
            <w:r>
              <w:rPr>
                <w:rFonts w:ascii="Times New Roman" w:eastAsia="SimSun"/>
                <w:color w:val="1A2B40"/>
                <w:sz w:val="20"/>
                <w:szCs w:val="20"/>
              </w:rPr>
              <w:t xml:space="preserve">frontmatter字段完整可被识别</w:t>
            </w:r>
          </w:p>
        </w:tc>
      </w:tr>
      <w:tr>
        <w:trPr>
          <w:cantSplit/>
        </w:trPr>
        <w:tc>
          <w:tcPr>
            <w:tcW w:type="pct" w:w="8%"/>
            <w:tcMar>
              <w:top w:type="dxa" w:w="60"/>
              <w:left w:type="dxa" w:w="100"/>
              <w:bottom w:type="dxa" w:w="60"/>
              <w:right w:type="dxa" w:w="100"/>
            </w:tcMar>
          </w:tcPr>
          <w:p>
            <w:r>
              <w:rPr>
                <w:rFonts w:ascii="Times New Roman" w:eastAsia="SimSun"/>
                <w:color w:val="1A2B40"/>
                <w:sz w:val="20"/>
                <w:szCs w:val="20"/>
              </w:rPr>
              <w:t xml:space="preserve">F-10</w:t>
            </w:r>
          </w:p>
        </w:tc>
        <w:tc>
          <w:tcPr>
            <w:tcW w:type="pct" w:w="14%"/>
            <w:tcMar>
              <w:top w:type="dxa" w:w="60"/>
              <w:left w:type="dxa" w:w="100"/>
              <w:bottom w:type="dxa" w:w="60"/>
              <w:right w:type="dxa" w:w="100"/>
            </w:tcMar>
          </w:tcPr>
          <w:p>
            <w:r>
              <w:rPr>
                <w:rFonts w:ascii="Times New Roman" w:eastAsia="SimSun"/>
                <w:color w:val="1A2B40"/>
                <w:sz w:val="20"/>
                <w:szCs w:val="20"/>
              </w:rPr>
              <w:t xml:space="preserve">笔记写入</w:t>
            </w:r>
          </w:p>
        </w:tc>
        <w:tc>
          <w:tcPr>
            <w:tcW w:type="pct" w:w="8%"/>
            <w:tcMar>
              <w:top w:type="dxa" w:w="60"/>
              <w:left w:type="dxa" w:w="100"/>
              <w:bottom w:type="dxa" w:w="60"/>
              <w:right w:type="dxa" w:w="100"/>
            </w:tcMar>
          </w:tcPr>
          <w:p>
            <w:r>
              <w:rPr>
                <w:rFonts w:ascii="Times New Roman" w:eastAsia="SimSun"/>
                <w:color w:val="1A2B40"/>
                <w:sz w:val="20"/>
                <w:szCs w:val="20"/>
              </w:rPr>
              <w:t xml:space="preserve">P0</w:t>
            </w:r>
          </w:p>
        </w:tc>
        <w:tc>
          <w:tcPr>
            <w:tcW w:type="pct" w:w="35%"/>
            <w:tcMar>
              <w:top w:type="dxa" w:w="60"/>
              <w:left w:type="dxa" w:w="100"/>
              <w:bottom w:type="dxa" w:w="60"/>
              <w:right w:type="dxa" w:w="100"/>
            </w:tcMar>
          </w:tcPr>
          <w:p>
            <w:r>
              <w:rPr>
                <w:rFonts w:ascii="Times New Roman" w:eastAsia="SimSun"/>
                <w:color w:val="1A2B40"/>
                <w:sz w:val="20"/>
                <w:szCs w:val="20"/>
              </w:rPr>
              <w:t xml:space="preserve">通过文件系统直接写入Vault目录</w:t>
            </w:r>
          </w:p>
        </w:tc>
        <w:tc>
          <w:tcPr>
            <w:tcW w:type="pct" w:w="35%"/>
            <w:tcMar>
              <w:top w:type="dxa" w:w="60"/>
              <w:left w:type="dxa" w:w="100"/>
              <w:bottom w:type="dxa" w:w="60"/>
              <w:right w:type="dxa" w:w="100"/>
            </w:tcMar>
          </w:tcPr>
          <w:p>
            <w:r>
              <w:rPr>
                <w:rFonts w:ascii="Times New Roman" w:eastAsia="SimSun"/>
                <w:color w:val="1A2B40"/>
                <w:sz w:val="20"/>
                <w:szCs w:val="20"/>
              </w:rPr>
              <w:t xml:space="preserve">文件出现后Obsidian自动刷新</w:t>
            </w:r>
          </w:p>
        </w:tc>
      </w:tr>
      <w:tr>
        <w:trPr>
          <w:cantSplit/>
        </w:trPr>
        <w:tc>
          <w:tcPr>
            <w:tcW w:type="pct" w:w="8%"/>
            <w:tcMar>
              <w:top w:type="dxa" w:w="60"/>
              <w:left w:type="dxa" w:w="100"/>
              <w:bottom w:type="dxa" w:w="60"/>
              <w:right w:type="dxa" w:w="100"/>
            </w:tcMar>
          </w:tcPr>
          <w:p>
            <w:r>
              <w:rPr>
                <w:rFonts w:ascii="Times New Roman" w:eastAsia="SimSun"/>
                <w:color w:val="1A2B40"/>
                <w:sz w:val="20"/>
                <w:szCs w:val="20"/>
              </w:rPr>
              <w:t xml:space="preserve">F-11</w:t>
            </w:r>
          </w:p>
        </w:tc>
        <w:tc>
          <w:tcPr>
            <w:tcW w:type="pct" w:w="14%"/>
            <w:tcMar>
              <w:top w:type="dxa" w:w="60"/>
              <w:left w:type="dxa" w:w="100"/>
              <w:bottom w:type="dxa" w:w="60"/>
              <w:right w:type="dxa" w:w="100"/>
            </w:tcMar>
          </w:tcPr>
          <w:p>
            <w:r>
              <w:rPr>
                <w:rFonts w:ascii="Times New Roman" w:eastAsia="SimSun"/>
                <w:color w:val="1A2B40"/>
                <w:sz w:val="20"/>
                <w:szCs w:val="20"/>
              </w:rPr>
              <w:t xml:space="preserve">状态回执</w:t>
            </w:r>
          </w:p>
        </w:tc>
        <w:tc>
          <w:tcPr>
            <w:tcW w:type="pct" w:w="8%"/>
            <w:tcMar>
              <w:top w:type="dxa" w:w="60"/>
              <w:left w:type="dxa" w:w="100"/>
              <w:bottom w:type="dxa" w:w="60"/>
              <w:right w:type="dxa" w:w="100"/>
            </w:tcMar>
          </w:tcPr>
          <w:p>
            <w:r>
              <w:rPr>
                <w:rFonts w:ascii="Times New Roman" w:eastAsia="SimSun"/>
                <w:color w:val="1A2B40"/>
                <w:sz w:val="20"/>
                <w:szCs w:val="20"/>
              </w:rPr>
              <w:t xml:space="preserve">P1</w:t>
            </w:r>
          </w:p>
        </w:tc>
        <w:tc>
          <w:tcPr>
            <w:tcW w:type="pct" w:w="35%"/>
            <w:tcMar>
              <w:top w:type="dxa" w:w="60"/>
              <w:left w:type="dxa" w:w="100"/>
              <w:bottom w:type="dxa" w:w="60"/>
              <w:right w:type="dxa" w:w="100"/>
            </w:tcMar>
          </w:tcPr>
          <w:p>
            <w:r>
              <w:rPr>
                <w:rFonts w:ascii="Times New Roman" w:eastAsia="SimSun"/>
                <w:color w:val="1A2B40"/>
                <w:sz w:val="20"/>
                <w:szCs w:val="20"/>
              </w:rPr>
              <w:t xml:space="preserve">处理完成后通过飞书bot推送结果摘要</w:t>
            </w:r>
          </w:p>
        </w:tc>
        <w:tc>
          <w:tcPr>
            <w:tcW w:type="pct" w:w="35%"/>
            <w:tcMar>
              <w:top w:type="dxa" w:w="60"/>
              <w:left w:type="dxa" w:w="100"/>
              <w:bottom w:type="dxa" w:w="60"/>
              <w:right w:type="dxa" w:w="100"/>
            </w:tcMar>
          </w:tcPr>
          <w:p>
            <w:r>
              <w:rPr>
                <w:rFonts w:ascii="Times New Roman" w:eastAsia="SimSun"/>
                <w:color w:val="1A2B40"/>
                <w:sz w:val="20"/>
                <w:szCs w:val="20"/>
              </w:rPr>
              <w:t xml:space="preserve">5分钟内收到含笔记标题的回执</w:t>
            </w:r>
          </w:p>
        </w:tc>
      </w:tr>
      <w:tr>
        <w:trPr>
          <w:cantSplit/>
        </w:trPr>
        <w:tc>
          <w:tcPr>
            <w:tcW w:type="pct" w:w="8%"/>
            <w:tcMar>
              <w:top w:type="dxa" w:w="60"/>
              <w:left w:type="dxa" w:w="100"/>
              <w:bottom w:type="dxa" w:w="60"/>
              <w:right w:type="dxa" w:w="100"/>
            </w:tcMar>
          </w:tcPr>
          <w:p>
            <w:r>
              <w:rPr>
                <w:rFonts w:ascii="Times New Roman" w:eastAsia="SimSun"/>
                <w:color w:val="1A2B40"/>
                <w:sz w:val="20"/>
                <w:szCs w:val="20"/>
              </w:rPr>
              <w:t xml:space="preserve">F-12</w:t>
            </w:r>
          </w:p>
        </w:tc>
        <w:tc>
          <w:tcPr>
            <w:tcW w:type="pct" w:w="14%"/>
            <w:tcMar>
              <w:top w:type="dxa" w:w="60"/>
              <w:left w:type="dxa" w:w="100"/>
              <w:bottom w:type="dxa" w:w="60"/>
              <w:right w:type="dxa" w:w="100"/>
            </w:tcMar>
          </w:tcPr>
          <w:p>
            <w:r>
              <w:rPr>
                <w:rFonts w:ascii="Times New Roman" w:eastAsia="SimSun"/>
                <w:color w:val="1A2B40"/>
                <w:sz w:val="20"/>
                <w:szCs w:val="20"/>
              </w:rPr>
              <w:t xml:space="preserve">Syncthing同步</w:t>
            </w:r>
          </w:p>
        </w:tc>
        <w:tc>
          <w:tcPr>
            <w:tcW w:type="pct" w:w="8%"/>
            <w:tcMar>
              <w:top w:type="dxa" w:w="60"/>
              <w:left w:type="dxa" w:w="100"/>
              <w:bottom w:type="dxa" w:w="60"/>
              <w:right w:type="dxa" w:w="100"/>
            </w:tcMar>
          </w:tcPr>
          <w:p>
            <w:r>
              <w:rPr>
                <w:rFonts w:ascii="Times New Roman" w:eastAsia="SimSun"/>
                <w:color w:val="1A2B40"/>
                <w:sz w:val="20"/>
                <w:szCs w:val="20"/>
              </w:rPr>
              <w:t xml:space="preserve">P0</w:t>
            </w:r>
          </w:p>
        </w:tc>
        <w:tc>
          <w:tcPr>
            <w:tcW w:type="pct" w:w="35%"/>
            <w:tcMar>
              <w:top w:type="dxa" w:w="60"/>
              <w:left w:type="dxa" w:w="100"/>
              <w:bottom w:type="dxa" w:w="60"/>
              <w:right w:type="dxa" w:w="100"/>
            </w:tcMar>
          </w:tcPr>
          <w:p>
            <w:r>
              <w:rPr>
                <w:rFonts w:ascii="Times New Roman" w:eastAsia="SimSun"/>
                <w:color w:val="1A2B40"/>
                <w:sz w:val="20"/>
                <w:szCs w:val="20"/>
              </w:rPr>
              <w:t xml:space="preserve">P2P实时同步Vault到手机端</w:t>
            </w:r>
          </w:p>
        </w:tc>
        <w:tc>
          <w:tcPr>
            <w:tcW w:type="pct" w:w="35%"/>
            <w:tcMar>
              <w:top w:type="dxa" w:w="60"/>
              <w:left w:type="dxa" w:w="100"/>
              <w:bottom w:type="dxa" w:w="60"/>
              <w:right w:type="dxa" w:w="100"/>
            </w:tcMar>
          </w:tcPr>
          <w:p>
            <w:r>
              <w:rPr>
                <w:rFonts w:ascii="Times New Roman" w:eastAsia="SimSun"/>
                <w:color w:val="1A2B40"/>
                <w:sz w:val="20"/>
                <w:szCs w:val="20"/>
              </w:rPr>
              <w:t xml:space="preserve">局域网秒级，外网分钟级</w:t>
            </w:r>
          </w:p>
        </w:tc>
      </w:tr>
      <w:tr>
        <w:trPr>
          <w:cantSplit/>
        </w:trPr>
        <w:tc>
          <w:tcPr>
            <w:tcW w:type="pct" w:w="8%"/>
            <w:tcMar>
              <w:top w:type="dxa" w:w="60"/>
              <w:left w:type="dxa" w:w="100"/>
              <w:bottom w:type="dxa" w:w="60"/>
              <w:right w:type="dxa" w:w="100"/>
            </w:tcMar>
          </w:tcPr>
          <w:p>
            <w:r>
              <w:rPr>
                <w:rFonts w:ascii="Times New Roman" w:eastAsia="SimSun"/>
                <w:color w:val="1A2B40"/>
                <w:sz w:val="20"/>
                <w:szCs w:val="20"/>
              </w:rPr>
              <w:t xml:space="preserve">F-13</w:t>
            </w:r>
          </w:p>
        </w:tc>
        <w:tc>
          <w:tcPr>
            <w:tcW w:type="pct" w:w="14%"/>
            <w:tcMar>
              <w:top w:type="dxa" w:w="60"/>
              <w:left w:type="dxa" w:w="100"/>
              <w:bottom w:type="dxa" w:w="60"/>
              <w:right w:type="dxa" w:w="100"/>
            </w:tcMar>
          </w:tcPr>
          <w:p>
            <w:r>
              <w:rPr>
                <w:rFonts w:ascii="Times New Roman" w:eastAsia="SimSun"/>
                <w:color w:val="1A2B40"/>
                <w:sz w:val="20"/>
                <w:szCs w:val="20"/>
              </w:rPr>
              <w:t xml:space="preserve">Git版本控制</w:t>
            </w:r>
          </w:p>
        </w:tc>
        <w:tc>
          <w:tcPr>
            <w:tcW w:type="pct" w:w="8%"/>
            <w:tcMar>
              <w:top w:type="dxa" w:w="60"/>
              <w:left w:type="dxa" w:w="100"/>
              <w:bottom w:type="dxa" w:w="60"/>
              <w:right w:type="dxa" w:w="100"/>
            </w:tcMar>
          </w:tcPr>
          <w:p>
            <w:r>
              <w:rPr>
                <w:rFonts w:ascii="Times New Roman" w:eastAsia="SimSun"/>
                <w:color w:val="1A2B40"/>
                <w:sz w:val="20"/>
                <w:szCs w:val="20"/>
              </w:rPr>
              <w:t xml:space="preserve">P1</w:t>
            </w:r>
          </w:p>
        </w:tc>
        <w:tc>
          <w:tcPr>
            <w:tcW w:type="pct" w:w="35%"/>
            <w:tcMar>
              <w:top w:type="dxa" w:w="60"/>
              <w:left w:type="dxa" w:w="100"/>
              <w:bottom w:type="dxa" w:w="60"/>
              <w:right w:type="dxa" w:w="100"/>
            </w:tcMar>
          </w:tcPr>
          <w:p>
            <w:r>
              <w:rPr>
                <w:rFonts w:ascii="Times New Roman" w:eastAsia="SimSun"/>
                <w:color w:val="1A2B40"/>
                <w:sz w:val="20"/>
                <w:szCs w:val="20"/>
              </w:rPr>
              <w:t xml:space="preserve">定期commit+push到私仓</w:t>
            </w:r>
          </w:p>
        </w:tc>
        <w:tc>
          <w:tcPr>
            <w:tcW w:type="pct" w:w="35%"/>
            <w:tcMar>
              <w:top w:type="dxa" w:w="60"/>
              <w:left w:type="dxa" w:w="100"/>
              <w:bottom w:type="dxa" w:w="60"/>
              <w:right w:type="dxa" w:w="100"/>
            </w:tcMar>
          </w:tcPr>
          <w:p>
            <w:r>
              <w:rPr>
                <w:rFonts w:ascii="Times New Roman" w:eastAsia="SimSun"/>
                <w:color w:val="1A2B40"/>
                <w:sz w:val="20"/>
                <w:szCs w:val="20"/>
              </w:rPr>
              <w:t xml:space="preserve">每条笔记一个commit，可回溯</w:t>
            </w:r>
          </w:p>
        </w:tc>
      </w:tr>
      <w:tr>
        <w:trPr>
          <w:cantSplit/>
        </w:trPr>
        <w:tc>
          <w:tcPr>
            <w:tcW w:type="pct" w:w="8%"/>
            <w:tcMar>
              <w:top w:type="dxa" w:w="60"/>
              <w:left w:type="dxa" w:w="100"/>
              <w:bottom w:type="dxa" w:w="60"/>
              <w:right w:type="dxa" w:w="100"/>
            </w:tcMar>
          </w:tcPr>
          <w:p>
            <w:r>
              <w:rPr>
                <w:rFonts w:ascii="Times New Roman" w:eastAsia="SimSun"/>
                <w:color w:val="1A2B40"/>
                <w:sz w:val="20"/>
                <w:szCs w:val="20"/>
              </w:rPr>
              <w:t xml:space="preserve">F-14</w:t>
            </w:r>
          </w:p>
        </w:tc>
        <w:tc>
          <w:tcPr>
            <w:tcW w:type="pct" w:w="14%"/>
            <w:tcMar>
              <w:top w:type="dxa" w:w="60"/>
              <w:left w:type="dxa" w:w="100"/>
              <w:bottom w:type="dxa" w:w="60"/>
              <w:right w:type="dxa" w:w="100"/>
            </w:tcMar>
          </w:tcPr>
          <w:p>
            <w:r>
              <w:rPr>
                <w:rFonts w:ascii="Times New Roman" w:eastAsia="SimSun"/>
                <w:color w:val="1A2B40"/>
                <w:sz w:val="20"/>
                <w:szCs w:val="20"/>
              </w:rPr>
              <w:t xml:space="preserve">云盘备份</w:t>
            </w:r>
          </w:p>
        </w:tc>
        <w:tc>
          <w:tcPr>
            <w:tcW w:type="pct" w:w="8%"/>
            <w:tcMar>
              <w:top w:type="dxa" w:w="60"/>
              <w:left w:type="dxa" w:w="100"/>
              <w:bottom w:type="dxa" w:w="60"/>
              <w:right w:type="dxa" w:w="100"/>
            </w:tcMar>
          </w:tcPr>
          <w:p>
            <w:r>
              <w:rPr>
                <w:rFonts w:ascii="Times New Roman" w:eastAsia="SimSun"/>
                <w:color w:val="1A2B40"/>
                <w:sz w:val="20"/>
                <w:szCs w:val="20"/>
              </w:rPr>
              <w:t xml:space="preserve">P2</w:t>
            </w:r>
          </w:p>
        </w:tc>
        <w:tc>
          <w:tcPr>
            <w:tcW w:type="pct" w:w="35%"/>
            <w:tcMar>
              <w:top w:type="dxa" w:w="60"/>
              <w:left w:type="dxa" w:w="100"/>
              <w:bottom w:type="dxa" w:w="60"/>
              <w:right w:type="dxa" w:w="100"/>
            </w:tcMar>
          </w:tcPr>
          <w:p>
            <w:r>
              <w:rPr>
                <w:rFonts w:ascii="Times New Roman" w:eastAsia="SimSun"/>
                <w:color w:val="1A2B40"/>
                <w:sz w:val="20"/>
                <w:szCs w:val="20"/>
              </w:rPr>
              <w:t xml:space="preserve">iCloud/OneDrive镜像Vault目录</w:t>
            </w:r>
          </w:p>
        </w:tc>
        <w:tc>
          <w:tcPr>
            <w:tcW w:type="pct" w:w="35%"/>
            <w:tcMar>
              <w:top w:type="dxa" w:w="60"/>
              <w:left w:type="dxa" w:w="100"/>
              <w:bottom w:type="dxa" w:w="60"/>
              <w:right w:type="dxa" w:w="100"/>
            </w:tcMar>
          </w:tcPr>
          <w:p>
            <w:r>
              <w:rPr>
                <w:rFonts w:ascii="Times New Roman" w:eastAsia="SimSun"/>
                <w:color w:val="1A2B40"/>
                <w:sz w:val="20"/>
                <w:szCs w:val="20"/>
              </w:rPr>
              <w:t xml:space="preserve">每日增量备份到云端</w:t>
            </w:r>
          </w:p>
        </w:tc>
      </w:tr>
      <w:tr>
        <w:trPr>
          <w:cantSplit/>
        </w:trPr>
        <w:tc>
          <w:tcPr>
            <w:tcW w:type="pct" w:w="8%"/>
            <w:tcMar>
              <w:top w:type="dxa" w:w="60"/>
              <w:left w:type="dxa" w:w="100"/>
              <w:bottom w:type="dxa" w:w="60"/>
              <w:right w:type="dxa" w:w="100"/>
            </w:tcMar>
          </w:tcPr>
          <w:p>
            <w:r>
              <w:rPr>
                <w:rFonts w:ascii="Times New Roman" w:eastAsia="SimSun"/>
                <w:color w:val="1A2B40"/>
                <w:sz w:val="20"/>
                <w:szCs w:val="20"/>
              </w:rPr>
              <w:t xml:space="preserve">F-15</w:t>
            </w:r>
          </w:p>
        </w:tc>
        <w:tc>
          <w:tcPr>
            <w:tcW w:type="pct" w:w="14%"/>
            <w:tcMar>
              <w:top w:type="dxa" w:w="60"/>
              <w:left w:type="dxa" w:w="100"/>
              <w:bottom w:type="dxa" w:w="60"/>
              <w:right w:type="dxa" w:w="100"/>
            </w:tcMar>
          </w:tcPr>
          <w:p>
            <w:r>
              <w:rPr>
                <w:rFonts w:ascii="Times New Roman" w:eastAsia="SimSun"/>
                <w:color w:val="1A2B40"/>
                <w:sz w:val="20"/>
                <w:szCs w:val="20"/>
              </w:rPr>
              <w:t xml:space="preserve">去重检查</w:t>
            </w:r>
          </w:p>
        </w:tc>
        <w:tc>
          <w:tcPr>
            <w:tcW w:type="pct" w:w="8%"/>
            <w:tcMar>
              <w:top w:type="dxa" w:w="60"/>
              <w:left w:type="dxa" w:w="100"/>
              <w:bottom w:type="dxa" w:w="60"/>
              <w:right w:type="dxa" w:w="100"/>
            </w:tcMar>
          </w:tcPr>
          <w:p>
            <w:r>
              <w:rPr>
                <w:rFonts w:ascii="Times New Roman" w:eastAsia="SimSun"/>
                <w:color w:val="1A2B40"/>
                <w:sz w:val="20"/>
                <w:szCs w:val="20"/>
              </w:rPr>
              <w:t xml:space="preserve">P1</w:t>
            </w:r>
          </w:p>
        </w:tc>
        <w:tc>
          <w:tcPr>
            <w:tcW w:type="pct" w:w="35%"/>
            <w:tcMar>
              <w:top w:type="dxa" w:w="60"/>
              <w:left w:type="dxa" w:w="100"/>
              <w:bottom w:type="dxa" w:w="60"/>
              <w:right w:type="dxa" w:w="100"/>
            </w:tcMar>
          </w:tcPr>
          <w:p>
            <w:r>
              <w:rPr>
                <w:rFonts w:ascii="Times New Roman" w:eastAsia="SimSun"/>
                <w:color w:val="1A2B40"/>
                <w:sz w:val="20"/>
                <w:szCs w:val="20"/>
              </w:rPr>
              <w:t xml:space="preserve">相同URL跳过处理并提示已归档</w:t>
            </w:r>
          </w:p>
        </w:tc>
        <w:tc>
          <w:tcPr>
            <w:tcW w:type="pct" w:w="35%"/>
            <w:tcMar>
              <w:top w:type="dxa" w:w="60"/>
              <w:left w:type="dxa" w:w="100"/>
              <w:bottom w:type="dxa" w:w="60"/>
              <w:right w:type="dxa" w:w="100"/>
            </w:tcMar>
          </w:tcPr>
          <w:p>
            <w:r>
              <w:rPr>
                <w:rFonts w:ascii="Times New Roman" w:eastAsia="SimSun"/>
                <w:color w:val="1A2B40"/>
                <w:sz w:val="20"/>
                <w:szCs w:val="20"/>
              </w:rPr>
              <w:t xml:space="preserve">URL哈希索引文件存在性检查</w:t>
            </w:r>
          </w:p>
        </w:tc>
      </w:tr>
      <w:tr>
        <w:trPr>
          <w:cantSplit/>
        </w:trPr>
        <w:tc>
          <w:tcPr>
            <w:tcW w:type="pct" w:w="8%"/>
            <w:tcMar>
              <w:top w:type="dxa" w:w="60"/>
              <w:left w:type="dxa" w:w="100"/>
              <w:bottom w:type="dxa" w:w="60"/>
              <w:right w:type="dxa" w:w="100"/>
            </w:tcMar>
          </w:tcPr>
          <w:p>
            <w:r>
              <w:rPr>
                <w:rFonts w:ascii="Times New Roman" w:eastAsia="SimSun"/>
                <w:color w:val="1A2B40"/>
                <w:sz w:val="20"/>
                <w:szCs w:val="20"/>
              </w:rPr>
              <w:t xml:space="preserve">F-16</w:t>
            </w:r>
          </w:p>
        </w:tc>
        <w:tc>
          <w:tcPr>
            <w:tcW w:type="pct" w:w="14%"/>
            <w:tcMar>
              <w:top w:type="dxa" w:w="60"/>
              <w:left w:type="dxa" w:w="100"/>
              <w:bottom w:type="dxa" w:w="60"/>
              <w:right w:type="dxa" w:w="100"/>
            </w:tcMar>
          </w:tcPr>
          <w:p>
            <w:r>
              <w:rPr>
                <w:rFonts w:ascii="Times New Roman" w:eastAsia="SimSun"/>
                <w:color w:val="1A2B40"/>
                <w:sz w:val="20"/>
                <w:szCs w:val="20"/>
              </w:rPr>
              <w:t xml:space="preserve">错误重试</w:t>
            </w:r>
          </w:p>
        </w:tc>
        <w:tc>
          <w:tcPr>
            <w:tcW w:type="pct" w:w="8%"/>
            <w:tcMar>
              <w:top w:type="dxa" w:w="60"/>
              <w:left w:type="dxa" w:w="100"/>
              <w:bottom w:type="dxa" w:w="60"/>
              <w:right w:type="dxa" w:w="100"/>
            </w:tcMar>
          </w:tcPr>
          <w:p>
            <w:r>
              <w:rPr>
                <w:rFonts w:ascii="Times New Roman" w:eastAsia="SimSun"/>
                <w:color w:val="1A2B40"/>
                <w:sz w:val="20"/>
                <w:szCs w:val="20"/>
              </w:rPr>
              <w:t xml:space="preserve">P1</w:t>
            </w:r>
          </w:p>
        </w:tc>
        <w:tc>
          <w:tcPr>
            <w:tcW w:type="pct" w:w="35%"/>
            <w:tcMar>
              <w:top w:type="dxa" w:w="60"/>
              <w:left w:type="dxa" w:w="100"/>
              <w:bottom w:type="dxa" w:w="60"/>
              <w:right w:type="dxa" w:w="100"/>
            </w:tcMar>
          </w:tcPr>
          <w:p>
            <w:r>
              <w:rPr>
                <w:rFonts w:ascii="Times New Roman" w:eastAsia="SimSun"/>
                <w:color w:val="1A2B40"/>
                <w:sz w:val="20"/>
                <w:szCs w:val="20"/>
              </w:rPr>
              <w:t xml:space="preserve">下载/转写失败自动重试3次</w:t>
            </w:r>
          </w:p>
        </w:tc>
        <w:tc>
          <w:tcPr>
            <w:tcW w:type="pct" w:w="35%"/>
            <w:tcMar>
              <w:top w:type="dxa" w:w="60"/>
              <w:left w:type="dxa" w:w="100"/>
              <w:bottom w:type="dxa" w:w="60"/>
              <w:right w:type="dxa" w:w="100"/>
            </w:tcMar>
          </w:tcPr>
          <w:p>
            <w:r>
              <w:rPr>
                <w:rFonts w:ascii="Times New Roman" w:eastAsia="SimSun"/>
                <w:color w:val="1A2B40"/>
                <w:sz w:val="20"/>
                <w:szCs w:val="20"/>
              </w:rPr>
              <w:t xml:space="preserve">瞬时错误可自动恢复</w:t>
            </w:r>
          </w:p>
        </w:tc>
      </w:tr>
    </w:tbl>
    <w:p>
      <w:pPr>
        <w:pStyle w:val="Heading2"/>
        <w:spacing w:after="140" w:before="320" w:line="312"/>
      </w:pPr>
      <w:bookmarkStart w:id="100015" w:name="_Toc100015"/>
      <w:r>
        <w:rPr>
          <w:rFonts w:ascii="Calibri" w:eastAsia="SimHei"/>
          <w:b/>
          <w:bCs/>
          <w:color w:val="0A1628"/>
          <w:sz w:val="28"/>
          <w:szCs w:val="28"/>
        </w:rPr>
        <w:t xml:space="preserve">3.3 优先级划分原则</w:t>
      </w:r>
      <w:bookmarkEnd w:id="100015"/>
    </w:p>
    <w:p>
      <w:pPr>
        <w:spacing w:after="80" w:line="312"/>
        <w:ind w:firstLine="480"/>
        <w:jc w:val="both"/>
      </w:pPr>
      <w:r>
        <w:rPr>
          <w:rFonts w:ascii="Times New Roman" w:eastAsia="SimSun"/>
          <w:color w:val="1A2B40"/>
          <w:sz w:val="24"/>
          <w:szCs w:val="24"/>
        </w:rPr>
        <w:t xml:space="preserve">P0功能构成了从“用户发送链接”到“笔记出现在Vault并通过Syncthing同步”的最小闭环，必须在Phase 1全部实现。P1功能保证了系统的健壮性和用户体验闭环（VLM补充、Git版本、状态回执、去重、重试），是完整产品所需。P2功能（云盘备份）属于异地容灾优化，可根据实际使用情况按需迭代。字幕优先策略体现在F-04/F-05是P0必选，F-06 Whisper兜底也是P0（覆盖字幕缺失场景），F-07 VLM是P1（视觉信息补充非必需但显著提升笔记质量）。</w:t>
      </w:r>
    </w:p>
    <w:p>
      <w:pPr>
        <w:pStyle w:val="Heading1"/>
        <w:spacing w:after="200" w:before="480" w:line="360"/>
      </w:pPr>
      <w:bookmarkStart w:id="100016" w:name="_Toc100016"/>
      <w:r>
        <w:rPr>
          <w:rFonts w:ascii="Calibri" w:eastAsia="SimHei"/>
          <w:b/>
          <w:bCs/>
          <w:color w:val="0A1628"/>
          <w:sz w:val="32"/>
          <w:szCs w:val="32"/>
        </w:rPr>
        <w:t xml:space="preserve">技术方案设计</w:t>
      </w:r>
      <w:bookmarkEnd w:id="100016"/>
    </w:p>
    <w:p>
      <w:pPr>
        <w:pStyle w:val="Heading2"/>
        <w:spacing w:after="140" w:before="320" w:line="312"/>
      </w:pPr>
      <w:bookmarkStart w:id="100017" w:name="_Toc100017"/>
      <w:r>
        <w:rPr>
          <w:rFonts w:ascii="Calibri" w:eastAsia="SimHei"/>
          <w:b/>
          <w:bCs/>
          <w:color w:val="0A1628"/>
          <w:sz w:val="28"/>
          <w:szCs w:val="28"/>
        </w:rPr>
        <w:t xml:space="preserve">4.1 抖音URL解析与视频下载</w:t>
      </w:r>
      <w:bookmarkEnd w:id="100017"/>
    </w:p>
    <w:p>
      <w:pPr>
        <w:spacing w:after="80" w:line="312"/>
        <w:ind w:firstLine="480"/>
        <w:jc w:val="both"/>
      </w:pPr>
      <w:r>
        <w:rPr>
          <w:rFonts w:ascii="Times New Roman" w:eastAsia="SimSun"/>
          <w:color w:val="1A2B40"/>
          <w:sz w:val="24"/>
          <w:szCs w:val="24"/>
        </w:rPr>
        <w:t xml:space="preserve">抖音分享链接有两种常见格式：短链格式如v.douyin.com/xxxxxxx/需要跟随HTTP 302重定向才能拿到真实视频地址；完整链接格式如www.douyin.com/video/xxxxxxxxx可以直接解析。yt-dlp对两种格式都原生支持。关键参数是同时下载视频和字幕——使用--write-subs --sub-langs all --sub-format vtt让yt-dlp尝试下载所有可用字幕轨道。</w:t>
      </w:r>
    </w:p>
    <w:p>
      <w:pPr>
        <w:spacing w:after="80" w:line="312"/>
        <w:ind w:firstLine="480"/>
        <w:jc w:val="both"/>
      </w:pPr>
      <w:r>
        <w:rPr>
          <w:rFonts w:ascii="Times New Roman" w:eastAsia="SimSun"/>
          <w:color w:val="1A2B40"/>
          <w:sz w:val="24"/>
          <w:szCs w:val="24"/>
        </w:rPr>
        <w:t xml:space="preserve">实际下载命令示例如下。该命令会同时下载视频文件和字幕文件（如果存在），字幕文件名与视频文件同前缀但扩展名为.vtt。若抖音未提供字幕，yt-dlp会跳过字幕下载仅生成视频文件，pipeline通过判断字幕文件是否存在决定走字幕路径还是Whisper兜底路径。</w:t>
      </w:r>
    </w:p>
    <w:p>
      <w:pPr>
        <w:shd w:fill="F4F6F8" w:val="clear"/>
        <w:spacing w:after="80" w:before="80" w:line="280"/>
        <w:ind w:left="240" w:right="240"/>
      </w:pPr>
      <w:r>
        <w:rPr>
          <w:rFonts w:ascii="Consolas" w:eastAsia="Sarasa Mono SC"/>
          <w:color w:val="0A1628"/>
          <w:sz w:val="20"/>
          <w:szCs w:val="20"/>
        </w:rPr>
        <w:t xml:space="preserve">yt-dlp \
  --no-playlist \
  --socket-timeout 30 \
  --retries 3 \
  --write-subs \
  --sub-langs all \
  --sub-format vtt \
  -o "/tmp/douyin_%(id)s.%(ext)s" \
  "https://v.douyin.com/xxxxxxx/"</w:t>
      </w:r>
    </w:p>
    <w:p>
      <w:pPr>
        <w:spacing w:after="80" w:line="312"/>
        <w:ind w:firstLine="480"/>
        <w:jc w:val="both"/>
      </w:pPr>
      <w:r>
        <w:rPr>
          <w:rFonts w:ascii="Times New Roman" w:eastAsia="SimSun"/>
          <w:color w:val="1A2B40"/>
          <w:sz w:val="24"/>
          <w:szCs w:val="24"/>
        </w:rPr>
        <w:t xml:space="preserve">常见错误处理：HTTP Error 403通常表示抖音风控触发，需要补充cookies.txt文件（从浏览器导出抖音登录态）；HTTP Error 412需要降低请求频率并添加User-Agent；字幕下载为空有两种可能——视频本身无字幕（走Whisper兜底）或字幕被加密（罕见，走Whisper兜底）。</w:t>
      </w:r>
    </w:p>
    <w:p>
      <w:pPr>
        <w:pStyle w:val="Heading2"/>
        <w:spacing w:after="140" w:before="320" w:line="312"/>
      </w:pPr>
      <w:bookmarkStart w:id="100018" w:name="_Toc100018"/>
      <w:r>
        <w:rPr>
          <w:rFonts w:ascii="Calibri" w:eastAsia="SimHei"/>
          <w:b/>
          <w:bCs/>
          <w:color w:val="0A1628"/>
          <w:sz w:val="28"/>
          <w:szCs w:val="28"/>
        </w:rPr>
        <w:t xml:space="preserve">4.2 字幕优先策略</w:t>
      </w:r>
      <w:bookmarkEnd w:id="100018"/>
    </w:p>
    <w:p>
      <w:pPr>
        <w:spacing w:after="80" w:line="312"/>
        <w:ind w:firstLine="480"/>
        <w:jc w:val="both"/>
      </w:pPr>
      <w:r>
        <w:rPr>
          <w:rFonts w:ascii="Times New Roman" w:eastAsia="SimSun"/>
          <w:color w:val="1A2B40"/>
          <w:sz w:val="24"/>
          <w:szCs w:val="24"/>
        </w:rPr>
        <w:t xml:space="preserve">抖音视频字幕来源有三类：第一类是创作者上传的字幕（质量最高但很少见）；第二类是抖音平台自动生成的CC字幕（最常见，基于抖音ASR，中文准确率95%+）；第三类是直播切片的自动字幕（质量参差）。yt-dlp --write-subs会优先下载第一类，其次第二类。下载到的字幕是WebVTT格式，包含时间戳和文本内容，需要解析为纯文本用于后续AI总结。</w:t>
      </w:r>
    </w:p>
    <w:p>
      <w:pPr>
        <w:spacing w:after="80" w:line="312"/>
        <w:ind w:firstLine="480"/>
        <w:jc w:val="both"/>
      </w:pPr>
      <w:r>
        <w:rPr>
          <w:rFonts w:ascii="Times New Roman" w:eastAsia="SimSun"/>
          <w:color w:val="1A2B40"/>
          <w:sz w:val="24"/>
          <w:szCs w:val="24"/>
        </w:rPr>
        <w:t xml:space="preserve">字幕解析脚本示例。VTT格式以WEBVTT FILE开头，每段字幕包含时间戳行（如00:00:01.000 --&gt; 00:00:03.000）和文本行，段间用空行分隔。解析时去除时间戳和HTML标签（如&lt;c.colorFFFFFF&gt;），保留纯文本和时间戳元数据。时间戳元数据可用于后续在笔记中标注“00:30处提到X”方便用户回看视频。</w:t>
      </w:r>
    </w:p>
    <w:p>
      <w:pPr>
        <w:shd w:fill="F4F6F8" w:val="clear"/>
        <w:spacing w:after="80" w:before="80" w:line="280"/>
        <w:ind w:left="240" w:right="240"/>
      </w:pPr>
      <w:r>
        <w:rPr>
          <w:rFonts w:ascii="Consolas" w:eastAsia="Sarasa Mono SC"/>
          <w:color w:val="0A1628"/>
          <w:sz w:val="20"/>
          <w:szCs w:val="20"/>
        </w:rPr>
        <w:t xml:space="preserve">def parse_vtt(vtt_path: str) -&gt; dict:
    """解析VTT字幕，返回{text, segments}"""
    segments = []
    current_text = []
    current_start = None
    with open(vtt_path, encoding='utf-8') as f:
        for line in f:
            line = line.strip()
            if not line or line.startswith('WEBVTT'):
                continue
            if '--&gt;' in line:
                # 保存上一段
                if current_text:
                    segments.append({
                        'start': current_start,
                        'text': ' '.join(current_text)
                    })
                # 解析新段时间戳
                current_start = line.split(' --&gt; ')[0]
                current_text = []
            elif line and not line.isdigit():
                # 去除HTML标签
                import re
                clean = re.sub(r'&lt;[^&gt;]+&gt;', '', line)
                if clean:
                    current_text.append(clean)
        # 保存最后一段
        if current_text:
            segments.append({
                'start': current_start,
                'text': ' '.join(current_text)
            })
    return {
        'text': ' '.join(s['text'] for s in segments),
        'segments': segments
    }</w:t>
      </w:r>
    </w:p>
    <w:p>
      <w:pPr>
        <w:pStyle w:val="Heading2"/>
        <w:spacing w:after="140" w:before="320" w:line="312"/>
      </w:pPr>
      <w:bookmarkStart w:id="100019" w:name="_Toc100019"/>
      <w:r>
        <w:rPr>
          <w:rFonts w:ascii="Calibri" w:eastAsia="SimHei"/>
          <w:b/>
          <w:bCs/>
          <w:color w:val="0A1628"/>
          <w:sz w:val="28"/>
          <w:szCs w:val="28"/>
        </w:rPr>
        <w:t xml:space="preserve">4.3 faster-whisper GPU转写（兜底方案）</w:t>
      </w:r>
      <w:bookmarkEnd w:id="100019"/>
    </w:p>
    <w:p>
      <w:pPr>
        <w:spacing w:after="80" w:line="312"/>
        <w:ind w:firstLine="480"/>
        <w:jc w:val="both"/>
      </w:pPr>
      <w:r>
        <w:rPr>
          <w:rFonts w:ascii="Times New Roman" w:eastAsia="SimSun"/>
          <w:color w:val="1A2B40"/>
          <w:sz w:val="24"/>
          <w:szCs w:val="24"/>
        </w:rPr>
        <w:t xml:space="preserve">当字幕不存在时启用Whisper兜底。v2.0推荐faster-whisper而非whisper.cpp，因为faster-whisper基于CTranslate2后端，在NVIDIA GPU上有2-4倍性能提升且支持INT8量化。4070s 12GB显卡可轻松运行medium模型（实际显存占用约5GB），处理5分钟视频仅需约30秒（0.1x实时），相比whisper.cpp CPU方案快10倍以上。</w:t>
      </w:r>
    </w:p>
    <w:p>
      <w:pPr>
        <w:spacing w:after="80" w:line="312"/>
        <w:ind w:firstLine="480"/>
        <w:jc w:val="both"/>
      </w:pPr>
      <w:r>
        <w:rPr>
          <w:rFonts w:ascii="Times New Roman" w:eastAsia="SimSun"/>
          <w:color w:val="1A2B40"/>
          <w:sz w:val="24"/>
          <w:szCs w:val="24"/>
        </w:rPr>
        <w:t xml:space="preserve">faster-whisper安装与使用非常简洁。安装命令pip install faster-whisper即可，使用时通过Python API调用。以下代码片段展示了完整的GPU转写流程，包含模型加载（首次加载耗时约10秒，后续复用）、音频转写（自动分段）、结果格式化。建议在OpenClaw中作为常驻服务运行，避免每次重新加载模型。</w:t>
      </w:r>
    </w:p>
    <w:p>
      <w:pPr>
        <w:shd w:fill="F4F6F8" w:val="clear"/>
        <w:spacing w:after="80" w:before="80" w:line="280"/>
        <w:ind w:left="240" w:right="240"/>
      </w:pPr>
      <w:r>
        <w:rPr>
          <w:rFonts w:ascii="Consolas" w:eastAsia="Sarasa Mono SC"/>
          <w:color w:val="0A1628"/>
          <w:sz w:val="20"/>
          <w:szCs w:val="20"/>
        </w:rPr>
        <w:t xml:space="preserve">from faster_whisper import WhisperModel
# 加载medium模型，INT8量化，CUDA加速
model = WhisperModel(
    'medium',
    device='cuda',
    compute_type='int8_float16'  # 4070s推荐配置
)
# 转写音频
segments, info = model.transcribe(
    'audio.wav',
    language='zh',
    beam_size=5,
    vad_filter=True  # 过滤静音段，提升速度
)
# 收集结果
segments_list = []
for segment in segments:
    segments_list.append({
        'start': segment.start,
        'end': segment.end,
        'text': segment.text.strip()
    }
full_text = ' '.join(s['text'] for s in segments_list)</w:t>
      </w:r>
    </w:p>
    <w:p>
      <w:pPr>
        <w:spacing w:after="80" w:line="312"/>
        <w:ind w:firstLine="480"/>
        <w:jc w:val="both"/>
      </w:pPr>
      <w:r>
        <w:rPr>
          <w:rFonts w:ascii="Times New Roman" w:eastAsia="SimSun"/>
          <w:color w:val="1A2B40"/>
          <w:sz w:val="24"/>
          <w:szCs w:val="24"/>
        </w:rPr>
        <w:t xml:space="preserve">模型选择策略。4070s 12GB显存可运行以下模型，按精度从高到低：large-v3（96%准确率，显存8GB，5min视频约90秒）、medium（93%准确率，显存5GB，5min视频约30秒，推荐）、small（88%准确率，显存2GB，5min视频约15秒，速度优先）。日常推荐medium平衡精度与速度，对长视频或精度要求高的场景可临时切换large-v3。INT8量化对精度影响小于1%但速度提升约30%，强烈推荐启用。</w:t>
      </w:r>
    </w:p>
    <w:p>
      <w:pPr>
        <w:keepNext/>
        <w:spacing w:after="80" w:before="200"/>
      </w:pPr>
      <w:r>
        <w:rPr>
          <w:rFonts w:ascii="Calibri" w:eastAsia="SimHei"/>
          <w:b/>
          <w:bCs/>
          <w:color w:val="0A1628"/>
          <w:sz w:val="21"/>
          <w:szCs w:val="21"/>
        </w:rPr>
        <w:t xml:space="preserve">表4-1 faster-whisper模型在4070s上的性能对比</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gridCol w:w="100"/>
        <w:gridCol w:w="100"/>
      </w:tblGrid>
      <w:tr>
        <w:trPr>
          <w:cantSplit/>
          <w:tblHeader/>
        </w:trPr>
        <w:tc>
          <w:tcPr>
            <w:tcW w:type="pct" w:w="2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模型</w:t>
            </w:r>
          </w:p>
        </w:tc>
        <w:tc>
          <w:tcPr>
            <w:tcW w:type="pct" w:w="16%"/>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显存占用</w:t>
            </w:r>
          </w:p>
        </w:tc>
        <w:tc>
          <w:tcPr>
            <w:tcW w:type="pct" w:w="1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5min视频耗时</w:t>
            </w:r>
          </w:p>
        </w:tc>
        <w:tc>
          <w:tcPr>
            <w:tcW w:type="pct" w:w="1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中文准确率</w:t>
            </w:r>
          </w:p>
        </w:tc>
        <w:tc>
          <w:tcPr>
            <w:tcW w:type="pct" w:w="26%"/>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适用场景</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small (int8)</w:t>
            </w:r>
          </w:p>
        </w:tc>
        <w:tc>
          <w:tcPr>
            <w:tcW w:type="pct" w:w="16%"/>
            <w:tcMar>
              <w:top w:type="dxa" w:w="60"/>
              <w:left w:type="dxa" w:w="100"/>
              <w:bottom w:type="dxa" w:w="60"/>
              <w:right w:type="dxa" w:w="100"/>
            </w:tcMar>
          </w:tcPr>
          <w:p>
            <w:r>
              <w:rPr>
                <w:rFonts w:ascii="Times New Roman" w:eastAsia="SimSun"/>
                <w:color w:val="1A2B40"/>
                <w:sz w:val="20"/>
                <w:szCs w:val="20"/>
              </w:rPr>
              <w:t xml:space="preserve">约2GB</w:t>
            </w:r>
          </w:p>
        </w:tc>
        <w:tc>
          <w:tcPr>
            <w:tcW w:type="pct" w:w="18%"/>
            <w:tcMar>
              <w:top w:type="dxa" w:w="60"/>
              <w:left w:type="dxa" w:w="100"/>
              <w:bottom w:type="dxa" w:w="60"/>
              <w:right w:type="dxa" w:w="100"/>
            </w:tcMar>
          </w:tcPr>
          <w:p>
            <w:r>
              <w:rPr>
                <w:rFonts w:ascii="Times New Roman" w:eastAsia="SimSun"/>
                <w:color w:val="1A2B40"/>
                <w:sz w:val="20"/>
                <w:szCs w:val="20"/>
              </w:rPr>
              <w:t xml:space="preserve">约15秒</w:t>
            </w:r>
          </w:p>
        </w:tc>
        <w:tc>
          <w:tcPr>
            <w:tcW w:type="pct" w:w="18%"/>
            <w:tcMar>
              <w:top w:type="dxa" w:w="60"/>
              <w:left w:type="dxa" w:w="100"/>
              <w:bottom w:type="dxa" w:w="60"/>
              <w:right w:type="dxa" w:w="100"/>
            </w:tcMar>
          </w:tcPr>
          <w:p>
            <w:r>
              <w:rPr>
                <w:rFonts w:ascii="Times New Roman" w:eastAsia="SimSun"/>
                <w:color w:val="1A2B40"/>
                <w:sz w:val="20"/>
                <w:szCs w:val="20"/>
              </w:rPr>
              <w:t xml:space="preserve">约88%</w:t>
            </w:r>
          </w:p>
        </w:tc>
        <w:tc>
          <w:tcPr>
            <w:tcW w:type="pct" w:w="26%"/>
            <w:tcMar>
              <w:top w:type="dxa" w:w="60"/>
              <w:left w:type="dxa" w:w="100"/>
              <w:bottom w:type="dxa" w:w="60"/>
              <w:right w:type="dxa" w:w="100"/>
            </w:tcMar>
          </w:tcPr>
          <w:p>
            <w:r>
              <w:rPr>
                <w:rFonts w:ascii="Times New Roman" w:eastAsia="SimSun"/>
                <w:color w:val="1A2B40"/>
                <w:sz w:val="20"/>
                <w:szCs w:val="20"/>
              </w:rPr>
              <w:t xml:space="preserve">速度优先，长视频</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medium (int8)</w:t>
            </w:r>
          </w:p>
        </w:tc>
        <w:tc>
          <w:tcPr>
            <w:tcW w:type="pct" w:w="16%"/>
            <w:tcMar>
              <w:top w:type="dxa" w:w="60"/>
              <w:left w:type="dxa" w:w="100"/>
              <w:bottom w:type="dxa" w:w="60"/>
              <w:right w:type="dxa" w:w="100"/>
            </w:tcMar>
          </w:tcPr>
          <w:p>
            <w:r>
              <w:rPr>
                <w:rFonts w:ascii="Times New Roman" w:eastAsia="SimSun"/>
                <w:color w:val="1A2B40"/>
                <w:sz w:val="20"/>
                <w:szCs w:val="20"/>
              </w:rPr>
              <w:t xml:space="preserve">约5GB</w:t>
            </w:r>
          </w:p>
        </w:tc>
        <w:tc>
          <w:tcPr>
            <w:tcW w:type="pct" w:w="18%"/>
            <w:tcMar>
              <w:top w:type="dxa" w:w="60"/>
              <w:left w:type="dxa" w:w="100"/>
              <w:bottom w:type="dxa" w:w="60"/>
              <w:right w:type="dxa" w:w="100"/>
            </w:tcMar>
          </w:tcPr>
          <w:p>
            <w:r>
              <w:rPr>
                <w:rFonts w:ascii="Times New Roman" w:eastAsia="SimSun"/>
                <w:color w:val="1A2B40"/>
                <w:sz w:val="20"/>
                <w:szCs w:val="20"/>
              </w:rPr>
              <w:t xml:space="preserve">约30秒</w:t>
            </w:r>
          </w:p>
        </w:tc>
        <w:tc>
          <w:tcPr>
            <w:tcW w:type="pct" w:w="18%"/>
            <w:tcMar>
              <w:top w:type="dxa" w:w="60"/>
              <w:left w:type="dxa" w:w="100"/>
              <w:bottom w:type="dxa" w:w="60"/>
              <w:right w:type="dxa" w:w="100"/>
            </w:tcMar>
          </w:tcPr>
          <w:p>
            <w:r>
              <w:rPr>
                <w:rFonts w:ascii="Times New Roman" w:eastAsia="SimSun"/>
                <w:color w:val="1A2B40"/>
                <w:sz w:val="20"/>
                <w:szCs w:val="20"/>
              </w:rPr>
              <w:t xml:space="preserve">约93%</w:t>
            </w:r>
          </w:p>
        </w:tc>
        <w:tc>
          <w:tcPr>
            <w:tcW w:type="pct" w:w="26%"/>
            <w:tcMar>
              <w:top w:type="dxa" w:w="60"/>
              <w:left w:type="dxa" w:w="100"/>
              <w:bottom w:type="dxa" w:w="60"/>
              <w:right w:type="dxa" w:w="100"/>
            </w:tcMar>
          </w:tcPr>
          <w:p>
            <w:r>
              <w:rPr>
                <w:rFonts w:ascii="Times New Roman" w:eastAsia="SimSun"/>
                <w:color w:val="1A2B40"/>
                <w:sz w:val="20"/>
                <w:szCs w:val="20"/>
              </w:rPr>
              <w:t xml:space="preserve">推荐默认配置</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large-v3 (int8)</w:t>
            </w:r>
          </w:p>
        </w:tc>
        <w:tc>
          <w:tcPr>
            <w:tcW w:type="pct" w:w="16%"/>
            <w:tcMar>
              <w:top w:type="dxa" w:w="60"/>
              <w:left w:type="dxa" w:w="100"/>
              <w:bottom w:type="dxa" w:w="60"/>
              <w:right w:type="dxa" w:w="100"/>
            </w:tcMar>
          </w:tcPr>
          <w:p>
            <w:r>
              <w:rPr>
                <w:rFonts w:ascii="Times New Roman" w:eastAsia="SimSun"/>
                <w:color w:val="1A2B40"/>
                <w:sz w:val="20"/>
                <w:szCs w:val="20"/>
              </w:rPr>
              <w:t xml:space="preserve">约8GB</w:t>
            </w:r>
          </w:p>
        </w:tc>
        <w:tc>
          <w:tcPr>
            <w:tcW w:type="pct" w:w="18%"/>
            <w:tcMar>
              <w:top w:type="dxa" w:w="60"/>
              <w:left w:type="dxa" w:w="100"/>
              <w:bottom w:type="dxa" w:w="60"/>
              <w:right w:type="dxa" w:w="100"/>
            </w:tcMar>
          </w:tcPr>
          <w:p>
            <w:r>
              <w:rPr>
                <w:rFonts w:ascii="Times New Roman" w:eastAsia="SimSun"/>
                <w:color w:val="1A2B40"/>
                <w:sz w:val="20"/>
                <w:szCs w:val="20"/>
              </w:rPr>
              <w:t xml:space="preserve">约90秒</w:t>
            </w:r>
          </w:p>
        </w:tc>
        <w:tc>
          <w:tcPr>
            <w:tcW w:type="pct" w:w="18%"/>
            <w:tcMar>
              <w:top w:type="dxa" w:w="60"/>
              <w:left w:type="dxa" w:w="100"/>
              <w:bottom w:type="dxa" w:w="60"/>
              <w:right w:type="dxa" w:w="100"/>
            </w:tcMar>
          </w:tcPr>
          <w:p>
            <w:r>
              <w:rPr>
                <w:rFonts w:ascii="Times New Roman" w:eastAsia="SimSun"/>
                <w:color w:val="1A2B40"/>
                <w:sz w:val="20"/>
                <w:szCs w:val="20"/>
              </w:rPr>
              <w:t xml:space="preserve">约96%</w:t>
            </w:r>
          </w:p>
        </w:tc>
        <w:tc>
          <w:tcPr>
            <w:tcW w:type="pct" w:w="26%"/>
            <w:tcMar>
              <w:top w:type="dxa" w:w="60"/>
              <w:left w:type="dxa" w:w="100"/>
              <w:bottom w:type="dxa" w:w="60"/>
              <w:right w:type="dxa" w:w="100"/>
            </w:tcMar>
          </w:tcPr>
          <w:p>
            <w:r>
              <w:rPr>
                <w:rFonts w:ascii="Times New Roman" w:eastAsia="SimSun"/>
                <w:color w:val="1A2B40"/>
                <w:sz w:val="20"/>
                <w:szCs w:val="20"/>
              </w:rPr>
              <w:t xml:space="preserve">精度优先，短视频</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large-v3 (fp16)</w:t>
            </w:r>
          </w:p>
        </w:tc>
        <w:tc>
          <w:tcPr>
            <w:tcW w:type="pct" w:w="16%"/>
            <w:tcMar>
              <w:top w:type="dxa" w:w="60"/>
              <w:left w:type="dxa" w:w="100"/>
              <w:bottom w:type="dxa" w:w="60"/>
              <w:right w:type="dxa" w:w="100"/>
            </w:tcMar>
          </w:tcPr>
          <w:p>
            <w:r>
              <w:rPr>
                <w:rFonts w:ascii="Times New Roman" w:eastAsia="SimSun"/>
                <w:color w:val="1A2B40"/>
                <w:sz w:val="20"/>
                <w:szCs w:val="20"/>
              </w:rPr>
              <w:t xml:space="preserve">约10GB</w:t>
            </w:r>
          </w:p>
        </w:tc>
        <w:tc>
          <w:tcPr>
            <w:tcW w:type="pct" w:w="18%"/>
            <w:tcMar>
              <w:top w:type="dxa" w:w="60"/>
              <w:left w:type="dxa" w:w="100"/>
              <w:bottom w:type="dxa" w:w="60"/>
              <w:right w:type="dxa" w:w="100"/>
            </w:tcMar>
          </w:tcPr>
          <w:p>
            <w:r>
              <w:rPr>
                <w:rFonts w:ascii="Times New Roman" w:eastAsia="SimSun"/>
                <w:color w:val="1A2B40"/>
                <w:sz w:val="20"/>
                <w:szCs w:val="20"/>
              </w:rPr>
              <w:t xml:space="preserve">约70秒</w:t>
            </w:r>
          </w:p>
        </w:tc>
        <w:tc>
          <w:tcPr>
            <w:tcW w:type="pct" w:w="18%"/>
            <w:tcMar>
              <w:top w:type="dxa" w:w="60"/>
              <w:left w:type="dxa" w:w="100"/>
              <w:bottom w:type="dxa" w:w="60"/>
              <w:right w:type="dxa" w:w="100"/>
            </w:tcMar>
          </w:tcPr>
          <w:p>
            <w:r>
              <w:rPr>
                <w:rFonts w:ascii="Times New Roman" w:eastAsia="SimSun"/>
                <w:color w:val="1A2B40"/>
                <w:sz w:val="20"/>
                <w:szCs w:val="20"/>
              </w:rPr>
              <w:t xml:space="preserve">约96%</w:t>
            </w:r>
          </w:p>
        </w:tc>
        <w:tc>
          <w:tcPr>
            <w:tcW w:type="pct" w:w="26%"/>
            <w:tcMar>
              <w:top w:type="dxa" w:w="60"/>
              <w:left w:type="dxa" w:w="100"/>
              <w:bottom w:type="dxa" w:w="60"/>
              <w:right w:type="dxa" w:w="100"/>
            </w:tcMar>
          </w:tcPr>
          <w:p>
            <w:r>
              <w:rPr>
                <w:rFonts w:ascii="Times New Roman" w:eastAsia="SimSun"/>
                <w:color w:val="1A2B40"/>
                <w:sz w:val="20"/>
                <w:szCs w:val="20"/>
              </w:rPr>
              <w:t xml:space="preserve">极限精度，不量化</w:t>
            </w:r>
          </w:p>
        </w:tc>
      </w:tr>
    </w:tbl>
    <w:p>
      <w:pPr>
        <w:pStyle w:val="Heading2"/>
        <w:spacing w:after="140" w:before="320" w:line="312"/>
      </w:pPr>
      <w:bookmarkStart w:id="100020" w:name="_Toc100020"/>
      <w:r>
        <w:rPr>
          <w:rFonts w:ascii="Calibri" w:eastAsia="SimHei"/>
          <w:b/>
          <w:bCs/>
          <w:color w:val="0A1628"/>
          <w:sz w:val="28"/>
          <w:szCs w:val="28"/>
        </w:rPr>
        <w:t xml:space="preserve">4.4 关键帧VLM视觉理解（补充方案）</w:t>
      </w:r>
      <w:bookmarkEnd w:id="100020"/>
    </w:p>
    <w:p>
      <w:pPr>
        <w:spacing w:after="80" w:line="312"/>
        <w:ind w:firstLine="480"/>
        <w:jc w:val="both"/>
      </w:pPr>
      <w:r>
        <w:rPr>
          <w:rFonts w:ascii="Times New Roman" w:eastAsia="SimSun"/>
          <w:color w:val="1A2B40"/>
          <w:sz w:val="24"/>
          <w:szCs w:val="24"/>
        </w:rPr>
        <w:t xml:space="preserve">部分抖音知识视频的核心信息密度集中在画面而非语音，典型场景包括：PPT讲解类视频（画面有大量文字）、字幕条类视频（语音不清但字幕清晰）、操作演示类视频（手势/界面操作）。对这类视频，单纯依赖语音转写会丢失关键信息，需要补充关键帧VLM理解。本方案作为P1可选功能，对识别为“PPT/字幕条”类视频自动启用。</w:t>
      </w:r>
    </w:p>
    <w:p>
      <w:pPr>
        <w:spacing w:after="80" w:line="312"/>
        <w:ind w:firstLine="480"/>
        <w:jc w:val="both"/>
      </w:pPr>
      <w:r>
        <w:rPr>
          <w:rFonts w:ascii="Times New Roman" w:eastAsia="SimSun"/>
          <w:color w:val="1A2B40"/>
          <w:sz w:val="24"/>
          <w:szCs w:val="24"/>
        </w:rPr>
        <w:t xml:space="preserve">关键帧抽取策略。直接按固定间隔（如每5秒一帧）会抽取大量冗余帧，浪费VLM token。推荐使用ffmpeg的场景检测功能，仅在画面发生显著变化时抽帧：ffmpeg -i input.mp4 -vf "select='gt(scene,0.4)'" -vsync vframe thumb_%03d.jpg。scene阈值0.4表示场景变化超过40%才抽帧，典型5分钟视频可抽到15-30帧关键帧，平衡覆盖度和token消耗。</w:t>
      </w:r>
    </w:p>
    <w:p>
      <w:pPr>
        <w:spacing w:after="80" w:line="312"/>
        <w:ind w:firstLine="480"/>
        <w:jc w:val="both"/>
      </w:pPr>
      <w:r>
        <w:rPr>
          <w:rFonts w:ascii="Times New Roman" w:eastAsia="SimSun"/>
          <w:color w:val="1A2B40"/>
          <w:sz w:val="24"/>
          <w:szCs w:val="24"/>
        </w:rPr>
        <w:t xml:space="preserve">VLM选型策略采用“短期云端+长期本地”双轨方案。短期：用户当前有全模态LLM token（2个月有效期），可调用GPT-4o/Claude/Gemini理解关键帧，质量最高且无本地资源消耗，单条视频约消耗5000-10000 tokens。长期：4070s 12GB可运行Qwen2-VL-7B-Instruct或MiniCPM-V 2.6等开源VLM，完全本地化无API成本，精度略低于GPT-4o但满足知识归档需求。建议先用云端VLM跑通链路，token到期前完成本地VLM部署切换。</w:t>
      </w:r>
    </w:p>
    <w:p>
      <w:pPr>
        <w:spacing w:after="80" w:line="312"/>
        <w:ind w:firstLine="480"/>
        <w:jc w:val="both"/>
      </w:pPr>
      <w:r>
        <w:rPr>
          <w:rFonts w:ascii="Times New Roman" w:eastAsia="SimSun"/>
          <w:color w:val="1A2B40"/>
          <w:sz w:val="24"/>
          <w:szCs w:val="24"/>
        </w:rPr>
        <w:t xml:space="preserve">VLM调用Prompt设计。对每张关键帧发送统一Prompt：“这是一段抖音知识视频的关键帧，请用一句话描述画面中的关键信息（PPT文字、字幕条、操作界面、图表数据等），如果画面无重要信息请回复‘无关键信息’。”。收集所有帧描述后，由总结LLM统一整合到笔记中。这种分离设计避免VLM直接生成长文本（成本高且易幻觉），同时保留帧级别可追溯性。</w:t>
      </w:r>
    </w:p>
    <w:p>
      <w:pPr>
        <w:pStyle w:val="Heading2"/>
        <w:spacing w:after="140" w:before="320" w:line="312"/>
      </w:pPr>
      <w:bookmarkStart w:id="100021" w:name="_Toc100021"/>
      <w:r>
        <w:rPr>
          <w:rFonts w:ascii="Calibri" w:eastAsia="SimHei"/>
          <w:b/>
          <w:bCs/>
          <w:color w:val="0A1628"/>
          <w:sz w:val="28"/>
          <w:szCs w:val="28"/>
        </w:rPr>
        <w:t xml:space="preserve">4.5 OpenClaw编排设计</w:t>
      </w:r>
      <w:bookmarkEnd w:id="100021"/>
    </w:p>
    <w:p>
      <w:pPr>
        <w:spacing w:after="80" w:line="312"/>
        <w:ind w:firstLine="480"/>
        <w:jc w:val="both"/>
      </w:pPr>
      <w:r>
        <w:rPr>
          <w:rFonts w:ascii="Times New Roman" w:eastAsia="SimSun"/>
          <w:color w:val="1A2B40"/>
          <w:sz w:val="24"/>
          <w:szCs w:val="24"/>
        </w:rPr>
        <w:t xml:space="preserve">OpenClaw作为Agent编排中枢，其核心价值在于声明式地定义“收到飞书事件→调用哪些工具→按什么顺序→失败如何降级”的工作流。相比v1.0中Claude Code直调的命令式脚本，OpenClaw的编排具有三个优势：第一，工具调用可观测（每步执行日志、耗时、结果都可见）；第二，失败降级声明式（pipeline.yaml中定义try-catch逻辑）；第三，工具可替换（如把Claude换成Qwen2.5只需改配置）。</w:t>
      </w:r>
    </w:p>
    <w:p>
      <w:pPr>
        <w:spacing w:after="80" w:line="312"/>
        <w:ind w:firstLine="480"/>
        <w:jc w:val="both"/>
      </w:pPr>
      <w:r>
        <w:rPr>
          <w:rFonts w:ascii="Times New Roman" w:eastAsia="SimSun"/>
          <w:color w:val="1A2B40"/>
          <w:sz w:val="24"/>
          <w:szCs w:val="24"/>
        </w:rPr>
        <w:t xml:space="preserve">OpenClaw的工作流定义示例。以下YAML声明了“字幕优先+Whisper兜底+VLM可选”的完整编排逻辑。OpenClaw按声明顺序执行，遇到失败按on_error策略降级。这种声明式定义让链路变更只需改YAML不需改代码，极大降低维护成本。</w:t>
      </w:r>
    </w:p>
    <w:p>
      <w:pPr>
        <w:shd w:fill="F4F6F8" w:val="clear"/>
        <w:spacing w:after="80" w:before="80" w:line="280"/>
        <w:ind w:left="240" w:right="240"/>
      </w:pPr>
      <w:r>
        <w:rPr>
          <w:rFonts w:ascii="Consolas" w:eastAsia="Sarasa Mono SC"/>
          <w:color w:val="0A1628"/>
          <w:sz w:val="20"/>
          <w:szCs w:val="20"/>
        </w:rPr>
        <w:t xml:space="preserve"># openclaw-workflow.yaml
name: douyin-archive
trigger:
  type: feishu_event
  event_type: message.receive
  filter: "event.message.content contains 'douyin.com'"
steps:
  - id: extract_url
    tool: regex_extract
    input: {text: "{{event.message.content}}", pattern: "https?://[^\\s]+"}
    output: {url: "{{result.0}}"}
  - id: check_duplicate
    tool: file_index_lookup
    input: {index_file: "vault/.archive_index.jsonl", key: "{{steps.extract_url.url}}"}
    output: {existing: "{{result}}"}
    on_result:
      if: "{{steps.check_duplicate.existing}}"
      then: [reply_already_archived, stop]
  - id: download_video
    tool: ytdlp
    input:
      url: "{{steps.extract_url.url}}"
      args: ["--write-subs", "--sub-langs", "all", "--sub-format", "vtt"]
      output_dir: "/tmp/douyin_{{task_id}}"
    output: {video_path: "{{result.video}}", subtitle_path: "{{result.subtitle}}"}
    on_error: [reply_download_failed, stop]
  - id: get_transcript
    if: "{{steps.download_video.subtitle_path}}"
    then:
      - tool: vtt_parse
        input: {vtt_path: "{{steps.download_video.subtitle_path}}"}
        output: {transcript: "{{result.text}}", source: "subtitle"}
    else:
      - tool: ffmpeg_extract_audio
        input: {video: "{{steps.download_video.video_path}}", output: "/tmp/{{task_id}}.wav"}
      - tool: faster_whisper
        input: {audio: "/tmp/{{task_id}}.wav", model: "medium", device: "cuda"}
        output: {transcript: "{{result.text}}", source: "whisper"}
  - id: extract_keyframes
    tool: ffmpeg_scene_extract
    input: {video: "{{steps.download_video.video_path}}", threshold: 0.4}
    output: {keyframes: "{{result.frames}}"}
  - id: vlm_understand
    tool: vlm_batch
    input:
      images: "{{steps.extract_keyframes.keyframes}}"
      prompt: "描述画面关键信息"
      backend: "qwen2-vl-7b"  # 或 "gpt-4o" 短期
    output: {frame_descriptions: "{{result}}"}
    on_error: [skip, continue]  # VLM失败不影响主链路
  - id: summarize
    tool: llm_complete
    input:
      model: "claude-sonnet-4"  # 或 "qwen2.5-72b" 长期本地
      prompt_template: "summarize_douyin_note"
      context:
        transcript: "{{steps.get_transcript.transcript}}"
        frame_descriptions: "{{steps.vlm_understand.frame_descriptions}}"
        video_url: "{{steps.extract_url.url}}"
    output: {note_content: "{{result}}"}
  - id: write_note
    tool: filesystem_write
    input:
      path: "vault/{{date YYYY-MM}}/{{date YYYY-MM-DD}}/{{time HHMMSS}}.md"
      content: "{{steps.summarize.note_content}}"
    output: {note_path: "{{result.path}}"}
  - id: reply_success
    tool: feishu_reply
    input:
      chat_id: "{{event.message.chat_id}}"
      text: "归档完成：{{steps.write_note.note_path}}"</w:t>
      </w:r>
    </w:p>
    <w:p>
      <w:pPr>
        <w:pStyle w:val="Heading2"/>
        <w:spacing w:after="140" w:before="320" w:line="312"/>
      </w:pPr>
      <w:bookmarkStart w:id="100022" w:name="_Toc100022"/>
      <w:r>
        <w:rPr>
          <w:rFonts w:ascii="Calibri" w:eastAsia="SimHei"/>
          <w:b/>
          <w:bCs/>
          <w:color w:val="0A1628"/>
          <w:sz w:val="28"/>
          <w:szCs w:val="28"/>
        </w:rPr>
        <w:t xml:space="preserve">4.6 Obsidian写入与多路同步</w:t>
      </w:r>
      <w:bookmarkEnd w:id="100022"/>
    </w:p>
    <w:p>
      <w:pPr>
        <w:spacing w:after="80" w:line="312"/>
        <w:ind w:firstLine="480"/>
        <w:jc w:val="both"/>
      </w:pPr>
      <w:r>
        <w:rPr>
          <w:rFonts w:ascii="Times New Roman" w:eastAsia="SimSun"/>
          <w:color w:val="1A2B40"/>
          <w:sz w:val="24"/>
          <w:szCs w:val="24"/>
        </w:rPr>
        <w:t xml:space="preserve">笔记写入采用最简单的文件系统直写方式，OpenClaw通过filesystem_write工具直接在Vault目录下创建Markdown文件。这种方式避免了obsidian-mcp的额外依赖和REST API的网络开销，且Obsidian原生支持文件系统监听（通过chokidar库），新文件创建后1-2秒内界面自动刷新。这一设计澄清了“Obsidian能否解析视频内容”的疑问——Obsidian不解析，只展示被外部工具写入的文件。</w:t>
      </w:r>
    </w:p>
    <w:p>
      <w:pPr>
        <w:spacing w:after="80" w:line="312"/>
        <w:ind w:firstLine="480"/>
        <w:jc w:val="both"/>
      </w:pPr>
      <w:r>
        <w:rPr>
          <w:rFonts w:ascii="Times New Roman" w:eastAsia="SimSun"/>
          <w:color w:val="1A2B40"/>
          <w:sz w:val="24"/>
          <w:szCs w:val="24"/>
        </w:rPr>
        <w:t xml:space="preserve">多路同步采用Syncthing+Git+iCloud/OneDrive三层方案，各层职责互补。Syncthing层：在PC和手机都安装Syncthing，配置Vault目录为共享文件夹，PC端设置为“仅发送”或“发送接收”，手机端设置为“仅接收”，避免手机端误修改引发冲突。局域网内同步延迟秒级，外网通过STUN/TURN打洞P2P同步延迟分钟级，无服务器中转零成本。Git层：在Vault目录git init，配置远程私仓（GitHub Private或Gitee私仓），OpenClaw每写完一篇笔记自动git add+commit+push，提供版本历史和分支管理能力。iCloud/OneDrive层：将Vault目录放在iCloud Drive或OneDrive同步目录下，操作系统自动同步到云端，提供异地容灾。</w:t>
      </w:r>
    </w:p>
    <w:p>
      <w:pPr>
        <w:spacing w:after="80" w:line="312"/>
        <w:ind w:firstLine="480"/>
        <w:jc w:val="both"/>
      </w:pPr>
      <w:r>
        <w:rPr>
          <w:rFonts w:ascii="Times New Roman" w:eastAsia="SimSun"/>
          <w:color w:val="1A2B40"/>
          <w:sz w:val="24"/>
          <w:szCs w:val="24"/>
        </w:rPr>
        <w:t xml:space="preserve">三层方案的冲突处理。Syncthing和iCloud/OneDrive同时监听同一目录可能产生冲突（两端同时检测到文件变化）。解决方案：将Vault目录放在Syncthing管理路径下，iCloud/OneDrive仅同步Syncthing目录的快照副本（通过定时rsync或符号链接）。或者优先使用Syncthing，iCloud/OneDrive仅作为离线备份（不实时同步）。Git层与Syncthing层无冲突，Git只追踪文件变化不监听文件系统。</w:t>
      </w:r>
    </w:p>
    <w:p>
      <w:pPr>
        <w:pStyle w:val="Heading1"/>
        <w:spacing w:after="200" w:before="480" w:line="360"/>
      </w:pPr>
      <w:bookmarkStart w:id="100023" w:name="_Toc100023"/>
      <w:r>
        <w:rPr>
          <w:rFonts w:ascii="Calibri" w:eastAsia="SimHei"/>
          <w:b/>
          <w:bCs/>
          <w:color w:val="0A1628"/>
          <w:sz w:val="32"/>
          <w:szCs w:val="32"/>
        </w:rPr>
        <w:t xml:space="preserve">中转通道：飞书自建机器人</w:t>
      </w:r>
      <w:bookmarkEnd w:id="100023"/>
    </w:p>
    <w:p>
      <w:pPr>
        <w:pStyle w:val="Heading2"/>
        <w:spacing w:after="140" w:before="320" w:line="312"/>
      </w:pPr>
      <w:bookmarkStart w:id="100024" w:name="_Toc100024"/>
      <w:r>
        <w:rPr>
          <w:rFonts w:ascii="Calibri" w:eastAsia="SimHei"/>
          <w:b/>
          <w:bCs/>
          <w:color w:val="0A1628"/>
          <w:sz w:val="28"/>
          <w:szCs w:val="28"/>
        </w:rPr>
        <w:t xml:space="preserve">5.1 已有对接情况说明</w:t>
      </w:r>
      <w:bookmarkEnd w:id="100024"/>
    </w:p>
    <w:p>
      <w:pPr>
        <w:spacing w:after="80" w:line="312"/>
        <w:ind w:firstLine="480"/>
        <w:jc w:val="both"/>
      </w:pPr>
      <w:r>
        <w:rPr>
          <w:rFonts w:ascii="Times New Roman" w:eastAsia="SimSun"/>
          <w:color w:val="1A2B40"/>
          <w:sz w:val="24"/>
          <w:szCs w:val="24"/>
        </w:rPr>
        <w:t xml:space="preserve">用户已实现飞书自建机器人到PC端OpenClaw的事件对接，本节不重复基础配置教程，仅说明在已有对接基础上需要扩展的部分。已有能力包括：飞书开放平台创建自建应用、配置事件订阅URL、OpenClaw接收im.message.receive_v1事件、解析消息内容并响应。本方案在此基础上扩展两类能力：第一，URL识别与触发（识别抖音链接并启动归档pipeline）；第二，异步结果回执（pipeline完成后主动发消息通知用户）。</w:t>
      </w:r>
    </w:p>
    <w:p>
      <w:pPr>
        <w:pStyle w:val="Heading2"/>
        <w:spacing w:after="140" w:before="320" w:line="312"/>
      </w:pPr>
      <w:bookmarkStart w:id="100025" w:name="_Toc100025"/>
      <w:r>
        <w:rPr>
          <w:rFonts w:ascii="Calibri" w:eastAsia="SimHei"/>
          <w:b/>
          <w:bCs/>
          <w:color w:val="0A1628"/>
          <w:sz w:val="28"/>
          <w:szCs w:val="28"/>
        </w:rPr>
        <w:t xml:space="preserve">5.2 飞书自建机器人 vs 企业微信群机器人</w:t>
      </w:r>
      <w:bookmarkEnd w:id="100025"/>
    </w:p>
    <w:p>
      <w:pPr>
        <w:spacing w:after="80" w:line="312"/>
        <w:ind w:firstLine="480"/>
        <w:jc w:val="both"/>
      </w:pPr>
      <w:r>
        <w:rPr>
          <w:rFonts w:ascii="Times New Roman" w:eastAsia="SimSun"/>
          <w:color w:val="1A2B40"/>
          <w:sz w:val="24"/>
          <w:szCs w:val="24"/>
        </w:rPr>
        <w:t xml:space="preserve">v2.0相比v1.0切换到飞书方案的核心原因不仅是用户已对接，更重要的是飞书开放平台本身比企业微信更适合本场景。下表对比了两者关键差异。飞书的事件订阅机制无需可信IP白名单（企业微信必需），加密回调机制更简洁（仅AES-256-CBC，企业微信还需SHA1签名），消息发送配额更宽松（每分钟100条vs企业微信20条）。</w:t>
      </w:r>
    </w:p>
    <w:p>
      <w:pPr>
        <w:keepNext/>
        <w:spacing w:after="80" w:before="200"/>
      </w:pPr>
      <w:r>
        <w:rPr>
          <w:rFonts w:ascii="Calibri" w:eastAsia="SimHei"/>
          <w:b/>
          <w:bCs/>
          <w:color w:val="0A1628"/>
          <w:sz w:val="21"/>
          <w:szCs w:val="21"/>
        </w:rPr>
        <w:t xml:space="preserve">表5-1 飞书 vs 企业微信 开发体验对比</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tblGrid>
      <w:tr>
        <w:trPr>
          <w:cantSplit/>
          <w:tblHeader/>
        </w:trPr>
        <w:tc>
          <w:tcPr>
            <w:tcW w:type="pct" w:w="2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维度</w:t>
            </w:r>
          </w:p>
        </w:tc>
        <w:tc>
          <w:tcPr>
            <w:tcW w:type="pct" w:w="3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飞书自建机器人</w:t>
            </w:r>
          </w:p>
        </w:tc>
        <w:tc>
          <w:tcPr>
            <w:tcW w:type="pct" w:w="40%"/>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企业微信自建应用</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事件订阅</w:t>
            </w:r>
          </w:p>
        </w:tc>
        <w:tc>
          <w:tcPr>
            <w:tcW w:type="pct" w:w="38%"/>
            <w:tcMar>
              <w:top w:type="dxa" w:w="60"/>
              <w:left w:type="dxa" w:w="100"/>
              <w:bottom w:type="dxa" w:w="60"/>
              <w:right w:type="dxa" w:w="100"/>
            </w:tcMar>
          </w:tcPr>
          <w:p>
            <w:r>
              <w:rPr>
                <w:rFonts w:ascii="Times New Roman" w:eastAsia="SimSun"/>
                <w:color w:val="1A2B40"/>
                <w:sz w:val="20"/>
                <w:szCs w:val="20"/>
              </w:rPr>
              <w:t xml:space="preserve">URL+Verification Token</w:t>
            </w:r>
          </w:p>
        </w:tc>
        <w:tc>
          <w:tcPr>
            <w:tcW w:type="pct" w:w="40%"/>
            <w:tcMar>
              <w:top w:type="dxa" w:w="60"/>
              <w:left w:type="dxa" w:w="100"/>
              <w:bottom w:type="dxa" w:w="60"/>
              <w:right w:type="dxa" w:w="100"/>
            </w:tcMar>
          </w:tcPr>
          <w:p>
            <w:r>
              <w:rPr>
                <w:rFonts w:ascii="Times New Roman" w:eastAsia="SimSun"/>
                <w:color w:val="1A2B40"/>
                <w:sz w:val="20"/>
                <w:szCs w:val="20"/>
              </w:rPr>
              <w:t xml:space="preserve">URL+Token+EncodingAESKey+可信IP</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消息加密</w:t>
            </w:r>
          </w:p>
        </w:tc>
        <w:tc>
          <w:tcPr>
            <w:tcW w:type="pct" w:w="38%"/>
            <w:tcMar>
              <w:top w:type="dxa" w:w="60"/>
              <w:left w:type="dxa" w:w="100"/>
              <w:bottom w:type="dxa" w:w="60"/>
              <w:right w:type="dxa" w:w="100"/>
            </w:tcMar>
          </w:tcPr>
          <w:p>
            <w:r>
              <w:rPr>
                <w:rFonts w:ascii="Times New Roman" w:eastAsia="SimSun"/>
                <w:color w:val="1A2B40"/>
                <w:sz w:val="20"/>
                <w:szCs w:val="20"/>
              </w:rPr>
              <w:t xml:space="preserve">AES-256-CBC</w:t>
            </w:r>
          </w:p>
        </w:tc>
        <w:tc>
          <w:tcPr>
            <w:tcW w:type="pct" w:w="40%"/>
            <w:tcMar>
              <w:top w:type="dxa" w:w="60"/>
              <w:left w:type="dxa" w:w="100"/>
              <w:bottom w:type="dxa" w:w="60"/>
              <w:right w:type="dxa" w:w="100"/>
            </w:tcMar>
          </w:tcPr>
          <w:p>
            <w:r>
              <w:rPr>
                <w:rFonts w:ascii="Times New Roman" w:eastAsia="SimSun"/>
                <w:color w:val="1A2B40"/>
                <w:sz w:val="20"/>
                <w:szCs w:val="20"/>
              </w:rPr>
              <w:t xml:space="preserve">AES-CBC+SHA1签名</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回调验证</w:t>
            </w:r>
          </w:p>
        </w:tc>
        <w:tc>
          <w:tcPr>
            <w:tcW w:type="pct" w:w="38%"/>
            <w:tcMar>
              <w:top w:type="dxa" w:w="60"/>
              <w:left w:type="dxa" w:w="100"/>
              <w:bottom w:type="dxa" w:w="60"/>
              <w:right w:type="dxa" w:w="100"/>
            </w:tcMar>
          </w:tcPr>
          <w:p>
            <w:r>
              <w:rPr>
                <w:rFonts w:ascii="Times New Roman" w:eastAsia="SimSun"/>
                <w:color w:val="1A2B40"/>
                <w:sz w:val="20"/>
                <w:szCs w:val="20"/>
              </w:rPr>
              <w:t xml:space="preserve">URL验证(POST challenge)</w:t>
            </w:r>
          </w:p>
        </w:tc>
        <w:tc>
          <w:tcPr>
            <w:tcW w:type="pct" w:w="40%"/>
            <w:tcMar>
              <w:top w:type="dxa" w:w="60"/>
              <w:left w:type="dxa" w:w="100"/>
              <w:bottom w:type="dxa" w:w="60"/>
              <w:right w:type="dxa" w:w="100"/>
            </w:tcMar>
          </w:tcPr>
          <w:p>
            <w:r>
              <w:rPr>
                <w:rFonts w:ascii="Times New Roman" w:eastAsia="SimSun"/>
                <w:color w:val="1A2B40"/>
                <w:sz w:val="20"/>
                <w:szCs w:val="20"/>
              </w:rPr>
              <w:t xml:space="preserve">URL验证(GET echostr解密)</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主动发消息配额</w:t>
            </w:r>
          </w:p>
        </w:tc>
        <w:tc>
          <w:tcPr>
            <w:tcW w:type="pct" w:w="38%"/>
            <w:tcMar>
              <w:top w:type="dxa" w:w="60"/>
              <w:left w:type="dxa" w:w="100"/>
              <w:bottom w:type="dxa" w:w="60"/>
              <w:right w:type="dxa" w:w="100"/>
            </w:tcMar>
          </w:tcPr>
          <w:p>
            <w:r>
              <w:rPr>
                <w:rFonts w:ascii="Times New Roman" w:eastAsia="SimSun"/>
                <w:color w:val="1A2B40"/>
                <w:sz w:val="20"/>
                <w:szCs w:val="20"/>
              </w:rPr>
              <w:t xml:space="preserve">100条/分钟</w:t>
            </w:r>
          </w:p>
        </w:tc>
        <w:tc>
          <w:tcPr>
            <w:tcW w:type="pct" w:w="40%"/>
            <w:tcMar>
              <w:top w:type="dxa" w:w="60"/>
              <w:left w:type="dxa" w:w="100"/>
              <w:bottom w:type="dxa" w:w="60"/>
              <w:right w:type="dxa" w:w="100"/>
            </w:tcMar>
          </w:tcPr>
          <w:p>
            <w:r>
              <w:rPr>
                <w:rFonts w:ascii="Times New Roman" w:eastAsia="SimSun"/>
                <w:color w:val="1A2B40"/>
                <w:sz w:val="20"/>
                <w:szCs w:val="20"/>
              </w:rPr>
              <w:t xml:space="preserve">20条/分钟</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富文本消息</w:t>
            </w:r>
          </w:p>
        </w:tc>
        <w:tc>
          <w:tcPr>
            <w:tcW w:type="pct" w:w="38%"/>
            <w:tcMar>
              <w:top w:type="dxa" w:w="60"/>
              <w:left w:type="dxa" w:w="100"/>
              <w:bottom w:type="dxa" w:w="60"/>
              <w:right w:type="dxa" w:w="100"/>
            </w:tcMar>
          </w:tcPr>
          <w:p>
            <w:r>
              <w:rPr>
                <w:rFonts w:ascii="Times New Roman" w:eastAsia="SimSun"/>
                <w:color w:val="1A2B40"/>
                <w:sz w:val="20"/>
                <w:szCs w:val="20"/>
              </w:rPr>
              <w:t xml:space="preserve">支持post消息类型</w:t>
            </w:r>
          </w:p>
        </w:tc>
        <w:tc>
          <w:tcPr>
            <w:tcW w:type="pct" w:w="40%"/>
            <w:tcMar>
              <w:top w:type="dxa" w:w="60"/>
              <w:left w:type="dxa" w:w="100"/>
              <w:bottom w:type="dxa" w:w="60"/>
              <w:right w:type="dxa" w:w="100"/>
            </w:tcMar>
          </w:tcPr>
          <w:p>
            <w:r>
              <w:rPr>
                <w:rFonts w:ascii="Times New Roman" w:eastAsia="SimSun"/>
                <w:color w:val="1A2B40"/>
                <w:sz w:val="20"/>
                <w:szCs w:val="20"/>
              </w:rPr>
              <w:t xml:space="preserve">支持news消息类型</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国内访问稳定性</w:t>
            </w:r>
          </w:p>
        </w:tc>
        <w:tc>
          <w:tcPr>
            <w:tcW w:type="pct" w:w="38%"/>
            <w:tcMar>
              <w:top w:type="dxa" w:w="60"/>
              <w:left w:type="dxa" w:w="100"/>
              <w:bottom w:type="dxa" w:w="60"/>
              <w:right w:type="dxa" w:w="100"/>
            </w:tcMar>
          </w:tcPr>
          <w:p>
            <w:r>
              <w:rPr>
                <w:rFonts w:ascii="Times New Roman" w:eastAsia="SimSun"/>
                <w:color w:val="1A2B40"/>
                <w:sz w:val="20"/>
                <w:szCs w:val="20"/>
              </w:rPr>
              <w:t xml:space="preserve">高(阿里云基础设施)</w:t>
            </w:r>
          </w:p>
        </w:tc>
        <w:tc>
          <w:tcPr>
            <w:tcW w:type="pct" w:w="40%"/>
            <w:tcMar>
              <w:top w:type="dxa" w:w="60"/>
              <w:left w:type="dxa" w:w="100"/>
              <w:bottom w:type="dxa" w:w="60"/>
              <w:right w:type="dxa" w:w="100"/>
            </w:tcMar>
          </w:tcPr>
          <w:p>
            <w:r>
              <w:rPr>
                <w:rFonts w:ascii="Times New Roman" w:eastAsia="SimSun"/>
                <w:color w:val="1A2B40"/>
                <w:sz w:val="20"/>
                <w:szCs w:val="20"/>
              </w:rPr>
              <w:t xml:space="preserve">高(腾讯云基础设施)</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个人开发者门槛</w:t>
            </w:r>
          </w:p>
        </w:tc>
        <w:tc>
          <w:tcPr>
            <w:tcW w:type="pct" w:w="38%"/>
            <w:tcMar>
              <w:top w:type="dxa" w:w="60"/>
              <w:left w:type="dxa" w:w="100"/>
              <w:bottom w:type="dxa" w:w="60"/>
              <w:right w:type="dxa" w:w="100"/>
            </w:tcMar>
          </w:tcPr>
          <w:p>
            <w:r>
              <w:rPr>
                <w:rFonts w:ascii="Times New Roman" w:eastAsia="SimSun"/>
                <w:color w:val="1A2B40"/>
                <w:sz w:val="20"/>
                <w:szCs w:val="20"/>
              </w:rPr>
              <w:t xml:space="preserve">低(个人即可创建)</w:t>
            </w:r>
          </w:p>
        </w:tc>
        <w:tc>
          <w:tcPr>
            <w:tcW w:type="pct" w:w="40%"/>
            <w:tcMar>
              <w:top w:type="dxa" w:w="60"/>
              <w:left w:type="dxa" w:w="100"/>
              <w:bottom w:type="dxa" w:w="60"/>
              <w:right w:type="dxa" w:w="100"/>
            </w:tcMar>
          </w:tcPr>
          <w:p>
            <w:r>
              <w:rPr>
                <w:rFonts w:ascii="Times New Roman" w:eastAsia="SimSun"/>
                <w:color w:val="1A2B40"/>
                <w:sz w:val="20"/>
                <w:szCs w:val="20"/>
              </w:rPr>
              <w:t xml:space="preserve">中(需企业微信管理员)</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文档完善度</w:t>
            </w:r>
          </w:p>
        </w:tc>
        <w:tc>
          <w:tcPr>
            <w:tcW w:type="pct" w:w="38%"/>
            <w:tcMar>
              <w:top w:type="dxa" w:w="60"/>
              <w:left w:type="dxa" w:w="100"/>
              <w:bottom w:type="dxa" w:w="60"/>
              <w:right w:type="dxa" w:w="100"/>
            </w:tcMar>
          </w:tcPr>
          <w:p>
            <w:r>
              <w:rPr>
                <w:rFonts w:ascii="Times New Roman" w:eastAsia="SimSun"/>
                <w:color w:val="1A2B40"/>
                <w:sz w:val="20"/>
                <w:szCs w:val="20"/>
              </w:rPr>
              <w:t xml:space="preserve">高(中英文双语)</w:t>
            </w:r>
          </w:p>
        </w:tc>
        <w:tc>
          <w:tcPr>
            <w:tcW w:type="pct" w:w="40%"/>
            <w:tcMar>
              <w:top w:type="dxa" w:w="60"/>
              <w:left w:type="dxa" w:w="100"/>
              <w:bottom w:type="dxa" w:w="60"/>
              <w:right w:type="dxa" w:w="100"/>
            </w:tcMar>
          </w:tcPr>
          <w:p>
            <w:r>
              <w:rPr>
                <w:rFonts w:ascii="Times New Roman" w:eastAsia="SimSun"/>
                <w:color w:val="1A2B40"/>
                <w:sz w:val="20"/>
                <w:szCs w:val="20"/>
              </w:rPr>
              <w:t xml:space="preserve">中(主要中文)</w:t>
            </w:r>
          </w:p>
        </w:tc>
      </w:tr>
    </w:tbl>
    <w:p>
      <w:pPr>
        <w:pStyle w:val="Heading2"/>
        <w:spacing w:after="140" w:before="320" w:line="312"/>
      </w:pPr>
      <w:bookmarkStart w:id="100026" w:name="_Toc100026"/>
      <w:r>
        <w:rPr>
          <w:rFonts w:ascii="Calibri" w:eastAsia="SimHei"/>
          <w:b/>
          <w:bCs/>
          <w:color w:val="0A1628"/>
          <w:sz w:val="28"/>
          <w:szCs w:val="28"/>
        </w:rPr>
        <w:t xml:space="preserve">5.3 需扩展的飞书能力</w:t>
      </w:r>
      <w:bookmarkEnd w:id="100026"/>
    </w:p>
    <w:p>
      <w:pPr>
        <w:pStyle w:val="Heading3"/>
        <w:spacing w:after="120" w:before="240" w:line="312"/>
      </w:pPr>
      <w:bookmarkStart w:id="100027" w:name="_Toc100027"/>
      <w:r>
        <w:rPr>
          <w:rFonts w:ascii="Calibri" w:eastAsia="SimHei"/>
          <w:b/>
          <w:bCs/>
          <w:color w:val="0A1628"/>
          <w:sz w:val="24"/>
          <w:szCs w:val="24"/>
        </w:rPr>
        <w:t xml:space="preserve">5.3.1 URL识别与触发</w:t>
      </w:r>
      <w:bookmarkEnd w:id="100027"/>
    </w:p>
    <w:p>
      <w:pPr>
        <w:spacing w:after="80" w:line="312"/>
        <w:ind w:firstLine="480"/>
        <w:jc w:val="both"/>
      </w:pPr>
      <w:r>
        <w:rPr>
          <w:rFonts w:ascii="Times New Roman" w:eastAsia="SimSun"/>
          <w:color w:val="1A2B40"/>
          <w:sz w:val="24"/>
          <w:szCs w:val="24"/>
        </w:rPr>
        <w:t xml:space="preserve">OpenClaw已有的事件处理逻辑需要扩展URL识别分支。当收到im.message.receive_v1事件时，先解析消息内容是否为文本类型，再用正则匹配是否包含douyin.com域名。若匹配则触发douyin-archive工作流（见4.5节），否则按原逻辑处理。这一扩展仅需在OpenClaw的事件路由配置中添加一条规则，无需改动OpenClaw核心代码。</w:t>
      </w:r>
    </w:p>
    <w:p>
      <w:pPr>
        <w:shd w:fill="F4F6F8" w:val="clear"/>
        <w:spacing w:after="80" w:before="80" w:line="280"/>
        <w:ind w:left="240" w:right="240"/>
      </w:pPr>
      <w:r>
        <w:rPr>
          <w:rFonts w:ascii="Consolas" w:eastAsia="Sarasa Mono SC"/>
          <w:color w:val="0A1628"/>
          <w:sz w:val="20"/>
          <w:szCs w:val="20"/>
        </w:rPr>
        <w:t xml:space="preserve">// 伪代码示例：OpenClaw事件路由扩展
function onFeishuMessage(event) {
  const content = JSON.parse(event.message.content).text || '';
  const url = extractUrl(content);
  if (url &amp;&amp; url.includes('douyin.com')) {
    // 触发抖音归档工作流
    return openclaw.runWorkflow('douyin-archive', {url, event});
  }
  // 其他消息按原逻辑处理
  return handleOtherMessage(event);
}</w:t>
      </w:r>
    </w:p>
    <w:p>
      <w:pPr>
        <w:pStyle w:val="Heading3"/>
        <w:spacing w:after="120" w:before="240" w:line="312"/>
      </w:pPr>
      <w:bookmarkStart w:id="100028" w:name="_Toc100028"/>
      <w:r>
        <w:rPr>
          <w:rFonts w:ascii="Calibri" w:eastAsia="SimHei"/>
          <w:b/>
          <w:bCs/>
          <w:color w:val="0A1628"/>
          <w:sz w:val="24"/>
          <w:szCs w:val="24"/>
        </w:rPr>
        <w:t xml:space="preserve">5.3.2 异步结果回执</w:t>
      </w:r>
      <w:bookmarkEnd w:id="100028"/>
    </w:p>
    <w:p>
      <w:pPr>
        <w:spacing w:after="80" w:line="312"/>
        <w:ind w:firstLine="480"/>
        <w:jc w:val="both"/>
      </w:pPr>
      <w:r>
        <w:rPr>
          <w:rFonts w:ascii="Times New Roman" w:eastAsia="SimSun"/>
          <w:color w:val="1A2B40"/>
          <w:sz w:val="24"/>
          <w:szCs w:val="24"/>
        </w:rPr>
        <w:t xml:space="preserve">抖音归档pipeline耗时较长（2-6分钟），无法在飞书事件的5秒响应窗口内完成。需要采用“立即确认+异步回执”模式：收到链接后立即被动回复“已收到，开始处理”，pipeline完成后通过飞书主动发消息API推送结果。主动发消息需要应用的tenant_access_token，OpenClaw应缓存该token（有效期2小时）并在过期前自动刷新。</w:t>
      </w:r>
    </w:p>
    <w:p>
      <w:pPr>
        <w:shd w:fill="F4F6F8" w:val="clear"/>
        <w:spacing w:after="80" w:before="80" w:line="280"/>
        <w:ind w:left="240" w:right="240"/>
      </w:pPr>
      <w:r>
        <w:rPr>
          <w:rFonts w:ascii="Consolas" w:eastAsia="Sarasa Mono SC"/>
          <w:color w:val="0A1628"/>
          <w:sz w:val="20"/>
          <w:szCs w:val="20"/>
        </w:rPr>
        <w:t xml:space="preserve">// 飞书主动发消息示例
async function sendFeishuReply(chatId, text) {
  const token = await getTenantAccessToken();  // 缓存机制
  const resp = await fetch('https://open.feishu.cn/open-apis/im/v1/messages', {
    method: 'POST',
    headers: {
      'Authorization': `Bearer ${token}`,
      'Content-Type': 'application/json'
    },
    body: JSON.stringify({
      receive_id: chatId,
      msg_type: 'text',
      content: JSON.stringify({text})
    })
  });
  return await resp.json();
}</w:t>
      </w:r>
    </w:p>
    <w:p>
      <w:pPr>
        <w:pStyle w:val="Heading2"/>
        <w:spacing w:after="140" w:before="320" w:line="312"/>
      </w:pPr>
      <w:bookmarkStart w:id="100029" w:name="_Toc100029"/>
      <w:r>
        <w:rPr>
          <w:rFonts w:ascii="Calibri" w:eastAsia="SimHei"/>
          <w:b/>
          <w:bCs/>
          <w:color w:val="0A1628"/>
          <w:sz w:val="28"/>
          <w:szCs w:val="28"/>
        </w:rPr>
        <w:t xml:space="preserve">5.4 飞书回调安全配置</w:t>
      </w:r>
      <w:bookmarkEnd w:id="100029"/>
    </w:p>
    <w:p>
      <w:pPr>
        <w:spacing w:after="80" w:line="312"/>
        <w:ind w:firstLine="480"/>
        <w:jc w:val="both"/>
      </w:pPr>
      <w:r>
        <w:rPr>
          <w:rFonts w:ascii="Times New Roman" w:eastAsia="SimSun"/>
          <w:color w:val="1A2B40"/>
          <w:sz w:val="24"/>
          <w:szCs w:val="24"/>
        </w:rPr>
        <w:t xml:space="preserve">飞书开放平台的事件订阅采用Verification Token+Encrypt Key双重安全机制。Verification Token在每个事件回调的header中携带，OpenClaw需验证该token与飞书应用配置一致，防止伪造请求。Encrypt Key用于加密事件payload（可选但强烈推荐启用），启用后所有事件body为AES-256-CBC加密的base64字符串，OpenClaw需用Encrypt Key解密后才能解析。</w:t>
      </w:r>
    </w:p>
    <w:p>
      <w:pPr>
        <w:spacing w:after="80" w:line="312"/>
        <w:ind w:firstLine="480"/>
        <w:jc w:val="both"/>
      </w:pPr>
      <w:r>
        <w:rPr>
          <w:rFonts w:ascii="Times New Roman" w:eastAsia="SimSun"/>
          <w:color w:val="1A2B40"/>
          <w:sz w:val="24"/>
          <w:szCs w:val="24"/>
        </w:rPr>
        <w:t xml:space="preserve">相比企业微信的回调机制，飞书的优势在于：第一，URL验证流程简单（飞书POST一个challenge字段，OpenClaw原样返回即可，无需复杂签名计算）；第二，Encrypt Key可选（不启用也能用，便于开发期调试），企业微信的EncodingAESKey是必选；第三，无需可信IP白名单（企业微信要求所有主动发消息的IP在白名单内，对内网穿透场景不友好）。</w:t>
      </w:r>
    </w:p>
    <w:p>
      <w:pPr>
        <w:pStyle w:val="Heading1"/>
        <w:spacing w:after="200" w:before="480" w:line="360"/>
      </w:pPr>
      <w:bookmarkStart w:id="100030" w:name="_Toc100030"/>
      <w:r>
        <w:rPr>
          <w:rFonts w:ascii="Calibri" w:eastAsia="SimHei"/>
          <w:b/>
          <w:bCs/>
          <w:color w:val="0A1628"/>
          <w:sz w:val="32"/>
          <w:szCs w:val="32"/>
        </w:rPr>
        <w:t xml:space="preserve">数据模型与笔记结构</w:t>
      </w:r>
      <w:bookmarkEnd w:id="100030"/>
    </w:p>
    <w:p>
      <w:pPr>
        <w:pStyle w:val="Heading2"/>
        <w:spacing w:after="140" w:before="320" w:line="312"/>
      </w:pPr>
      <w:bookmarkStart w:id="100031" w:name="_Toc100031"/>
      <w:r>
        <w:rPr>
          <w:rFonts w:ascii="Calibri" w:eastAsia="SimHei"/>
          <w:b/>
          <w:bCs/>
          <w:color w:val="0A1628"/>
          <w:sz w:val="28"/>
          <w:szCs w:val="28"/>
        </w:rPr>
        <w:t xml:space="preserve">6.1 Frontmatter规范</w:t>
      </w:r>
      <w:bookmarkEnd w:id="100031"/>
    </w:p>
    <w:p>
      <w:pPr>
        <w:spacing w:after="80" w:line="312"/>
        <w:ind w:firstLine="480"/>
        <w:jc w:val="both"/>
      </w:pPr>
      <w:r>
        <w:rPr>
          <w:rFonts w:ascii="Times New Roman" w:eastAsia="SimSun"/>
          <w:color w:val="1A2B40"/>
          <w:sz w:val="24"/>
          <w:szCs w:val="24"/>
        </w:rPr>
        <w:t xml:space="preserve">v2.0的frontmatter在v1.0基础上增加subtitle_source字段（标识转写来源是字幕还是Whisper），以及keyframe_count字段（标识关键帧VLM是否启用及帧数）。这两个字段便于后续按数据源筛选笔记和评估VLM补充价值。</w:t>
      </w:r>
    </w:p>
    <w:p>
      <w:pPr>
        <w:shd w:fill="F4F6F8" w:val="clear"/>
        <w:spacing w:after="80" w:before="80" w:line="280"/>
        <w:ind w:left="240" w:right="240"/>
      </w:pPr>
      <w:r>
        <w:rPr>
          <w:rFonts w:ascii="Consolas" w:eastAsia="Sarasa Mono SC"/>
          <w:color w:val="0A1628"/>
          <w:sz w:val="20"/>
          <w:szCs w:val="20"/>
        </w:rPr>
        <w:t xml:space="preserve">---
source_url: https://www.douyin.com/video/7xxxxxxxxxxxxxx
source_platform: douyin
author: 知识UP主名称
author_id: douyin_user_xxx
duration: 285  # 视频时长(秒)
captured_at: 2026-06-19T10:30:00+08:00
topic_tags:
  - claude-code
  - 编程工具
  - ai-workflow
ai_summary: 一句话总结视频核心内容
transcript_source: subtitle  # subtitle / whisper / hybrid
transcript_confidence: 0.95  # 字幕=1.0, whisper按模型估算
keyframe_count: 18  # VLM理解的关键帧数，0表示未启用
status: draft  # draft / archived / trash
---</w:t>
      </w:r>
    </w:p>
    <w:p>
      <w:pPr>
        <w:pStyle w:val="Heading2"/>
        <w:spacing w:after="140" w:before="320" w:line="312"/>
      </w:pPr>
      <w:bookmarkStart w:id="100032" w:name="_Toc100032"/>
      <w:r>
        <w:rPr>
          <w:rFonts w:ascii="Calibri" w:eastAsia="SimHei"/>
          <w:b/>
          <w:bCs/>
          <w:color w:val="0A1628"/>
          <w:sz w:val="28"/>
          <w:szCs w:val="28"/>
        </w:rPr>
        <w:t xml:space="preserve">6.2 笔记正文模板</w:t>
      </w:r>
      <w:bookmarkEnd w:id="100032"/>
    </w:p>
    <w:p>
      <w:pPr>
        <w:spacing w:after="80" w:line="312"/>
        <w:ind w:firstLine="480"/>
        <w:jc w:val="both"/>
      </w:pPr>
      <w:r>
        <w:rPr>
          <w:rFonts w:ascii="Times New Roman" w:eastAsia="SimSun"/>
          <w:color w:val="1A2B40"/>
          <w:sz w:val="24"/>
          <w:szCs w:val="24"/>
        </w:rPr>
        <w:t xml:space="preserve">v2.0笔记正文相比v1.0增加“画面要点”区块（仅当VLM启用时出现），用于展示关键帧VLM理解结果。其余结构与v1.0保持一致，便于用户跨版本阅读。</w:t>
      </w:r>
    </w:p>
    <w:p>
      <w:pPr>
        <w:shd w:fill="F4F6F8" w:val="clear"/>
        <w:spacing w:after="80" w:before="80" w:line="280"/>
        <w:ind w:left="240" w:right="240"/>
      </w:pPr>
      <w:r>
        <w:rPr>
          <w:rFonts w:ascii="Consolas" w:eastAsia="Sarasa Mono SC"/>
          <w:color w:val="0A1628"/>
          <w:sz w:val="20"/>
          <w:szCs w:val="20"/>
        </w:rPr>
        <w:t xml:space="preserve"># {{视频标题或AI生成标题}}
## 元信息
![缩略图](attachments/thumb_xxx.jpg)
- 作者：{{author}}
- 时长：{{mm:ss}}
- 原始链接：{{source_url}}
- 采集时间：{{captured_at}}
- 转写来源：{{transcript_source_label}}
## AI总结
{{Claude生成的3-7条要点}}
## 画面要点
{{仅当keyframe_count &gt; 0时出现，列出关键帧VLM理解的关键信息}}
- [00:23] PPT展示了Claude Code的MCP架构图
- [01:45] 演示了重构命令的执行结果
- ...
## 详细转写
{{字幕或Whisper完整输出，按段落分隔}}
## 相关笔记
- [[相关笔记1]]
- [[相关笔记2]]</w:t>
      </w:r>
    </w:p>
    <w:p>
      <w:pPr>
        <w:pStyle w:val="Heading2"/>
        <w:spacing w:after="140" w:before="320" w:line="312"/>
      </w:pPr>
      <w:bookmarkStart w:id="100033" w:name="_Toc100033"/>
      <w:r>
        <w:rPr>
          <w:rFonts w:ascii="Calibri" w:eastAsia="SimHei"/>
          <w:b/>
          <w:bCs/>
          <w:color w:val="0A1628"/>
          <w:sz w:val="28"/>
          <w:szCs w:val="28"/>
        </w:rPr>
        <w:t xml:space="preserve">6.3 目录结构</w:t>
      </w:r>
      <w:bookmarkEnd w:id="100033"/>
    </w:p>
    <w:p>
      <w:pPr>
        <w:spacing w:after="80" w:line="312"/>
        <w:ind w:firstLine="480"/>
        <w:jc w:val="both"/>
      </w:pPr>
      <w:r>
        <w:rPr>
          <w:rFonts w:ascii="Times New Roman" w:eastAsia="SimSun"/>
          <w:color w:val="1A2B40"/>
          <w:sz w:val="24"/>
          <w:szCs w:val="24"/>
        </w:rPr>
        <w:t xml:space="preserve">Vault目录结构与v1.0保持一致，采用Daily Notes风格组织。Syncthing、Git、iCloud/OneDrive三层同步都追踪整个Vault目录，无需特殊配置。</w:t>
      </w:r>
    </w:p>
    <w:p>
      <w:pPr>
        <w:shd w:fill="F4F6F8" w:val="clear"/>
        <w:spacing w:after="80" w:before="80" w:line="280"/>
        <w:ind w:left="240" w:right="240"/>
      </w:pPr>
      <w:r>
        <w:rPr>
          <w:rFonts w:ascii="Consolas" w:eastAsia="Sarasa Mono SC"/>
          <w:color w:val="0A1628"/>
          <w:sz w:val="20"/>
          <w:szCs w:val="20"/>
        </w:rPr>
        <w:t xml:space="preserve">ObsidianVault/  (Syncthing共享 + Git仓库 + iCloud镜像)
├── 2026-06/
│   ├── 2026-06-19/
│   │   ├── 20260619-103000-claude-code重构技巧.md
│   │   └── attachments/
│   │       └── thumb_xxx1.jpg
│   └── 2026-06-20/
├── templates/
│   └── douyin-note-template.md
├── .obsidian/
├── .git/  (Git版本控制)
├── .stfolder/  (Syncthing标记目录)
└── .archive_index.jsonl  (URL去重索引)</w:t>
      </w:r>
    </w:p>
    <w:p>
      <w:pPr>
        <w:pStyle w:val="Heading2"/>
        <w:spacing w:after="140" w:before="320" w:line="312"/>
      </w:pPr>
      <w:bookmarkStart w:id="100034" w:name="_Toc100034"/>
      <w:r>
        <w:rPr>
          <w:rFonts w:ascii="Calibri" w:eastAsia="SimHei"/>
          <w:b/>
          <w:bCs/>
          <w:color w:val="0A1628"/>
          <w:sz w:val="28"/>
          <w:szCs w:val="28"/>
        </w:rPr>
        <w:t xml:space="preserve">6.4 去重策略</w:t>
      </w:r>
      <w:bookmarkEnd w:id="100034"/>
    </w:p>
    <w:p>
      <w:pPr>
        <w:spacing w:after="80" w:line="312"/>
        <w:ind w:firstLine="480"/>
        <w:jc w:val="both"/>
      </w:pPr>
      <w:r>
        <w:rPr>
          <w:rFonts w:ascii="Times New Roman" w:eastAsia="SimSun"/>
          <w:color w:val="1A2B40"/>
          <w:sz w:val="24"/>
          <w:szCs w:val="24"/>
        </w:rPr>
        <w:t xml:space="preserve">去重策略与v1.0一致，通过URL哈希索引文件实现。索引文件.archive_index.jsonl放在Vault根目录，会跟随Syncthing/Git/iCloud三层同步，确保多端去重一致。每条记录增加transcript_source字段，便于统计字幕路径与Whisper路径的使用比例，优化后续pipeline策略。</w:t>
      </w:r>
    </w:p>
    <w:p>
      <w:pPr>
        <w:pStyle w:val="Heading1"/>
        <w:spacing w:after="200" w:before="480" w:line="360"/>
      </w:pPr>
      <w:bookmarkStart w:id="100035" w:name="_Toc100035"/>
      <w:r>
        <w:rPr>
          <w:rFonts w:ascii="Calibri" w:eastAsia="SimHei"/>
          <w:b/>
          <w:bCs/>
          <w:color w:val="0A1628"/>
          <w:sz w:val="32"/>
          <w:szCs w:val="32"/>
        </w:rPr>
        <w:t xml:space="preserve">AI能力集成：OpenClaw编排中枢</w:t>
      </w:r>
      <w:bookmarkEnd w:id="100035"/>
    </w:p>
    <w:p>
      <w:pPr>
        <w:pStyle w:val="Heading2"/>
        <w:spacing w:after="140" w:before="320" w:line="312"/>
      </w:pPr>
      <w:bookmarkStart w:id="100036" w:name="_Toc100036"/>
      <w:r>
        <w:rPr>
          <w:rFonts w:ascii="Calibri" w:eastAsia="SimHei"/>
          <w:b/>
          <w:bCs/>
          <w:color w:val="0A1628"/>
          <w:sz w:val="28"/>
          <w:szCs w:val="28"/>
        </w:rPr>
        <w:t xml:space="preserve">7.1 OpenClaw在链路中的角色</w:t>
      </w:r>
      <w:bookmarkEnd w:id="100036"/>
    </w:p>
    <w:p>
      <w:pPr>
        <w:spacing w:after="80" w:line="312"/>
        <w:ind w:firstLine="480"/>
        <w:jc w:val="both"/>
      </w:pPr>
      <w:r>
        <w:rPr>
          <w:rFonts w:ascii="Times New Roman" w:eastAsia="SimSun"/>
          <w:color w:val="1A2B40"/>
          <w:sz w:val="24"/>
          <w:szCs w:val="24"/>
        </w:rPr>
        <w:t xml:space="preserve">OpenClaw是v2.0链路的核心创新点，作为Agent编排中枢承担四类职责：第一，事件接收（已对接飞书bot，接收im.message.receive_v1事件）；第二，工具编排（按YAML声明的工作流依次调用yt-dlp、ffmpeg、faster-whisper、VLM、LLM、filesystem等工具）；第三，错误降级（每个步骤的on_error策略声明式定义，如VLM失败不影响主链路）；第四，结果回执（通过飞书主动发消息API推送结果）。相比v1.0中Claude Code直调的命令式脚本，OpenClaw的声明式编排让链路变更只需改YAML不需改代码。</w:t>
      </w:r>
    </w:p>
    <w:p>
      <w:pPr>
        <w:spacing w:after="80" w:line="312"/>
        <w:ind w:firstLine="480"/>
        <w:jc w:val="both"/>
      </w:pPr>
      <w:r>
        <w:rPr>
          <w:rFonts w:ascii="Times New Roman" w:eastAsia="SimSun"/>
          <w:color w:val="1A2B40"/>
          <w:sz w:val="24"/>
          <w:szCs w:val="24"/>
        </w:rPr>
        <w:t xml:space="preserve">选择OpenClaw而非纯脚本调用的原因有三：第一，OpenClaw已是用户PC常驻服务，无额外启动开销；第二，OpenClaw的MCP工具生态丰富，新增工具只需注册不需改核心代码；第三，OpenClaw支持工作流可视化调试（每步执行日志、耗时、结果都可见），便于排查链路问题。</w:t>
      </w:r>
    </w:p>
    <w:p>
      <w:pPr>
        <w:pStyle w:val="Heading2"/>
        <w:spacing w:after="140" w:before="320" w:line="312"/>
      </w:pPr>
      <w:bookmarkStart w:id="100037" w:name="_Toc100037"/>
      <w:r>
        <w:rPr>
          <w:rFonts w:ascii="Calibri" w:eastAsia="SimHei"/>
          <w:b/>
          <w:bCs/>
          <w:color w:val="0A1628"/>
          <w:sz w:val="28"/>
          <w:szCs w:val="28"/>
        </w:rPr>
        <w:t xml:space="preserve">7.2 工具注册与MCP集成</w:t>
      </w:r>
      <w:bookmarkEnd w:id="100037"/>
    </w:p>
    <w:p>
      <w:pPr>
        <w:spacing w:after="80" w:line="312"/>
        <w:ind w:firstLine="480"/>
        <w:jc w:val="both"/>
      </w:pPr>
      <w:r>
        <w:rPr>
          <w:rFonts w:ascii="Times New Roman" w:eastAsia="SimSun"/>
          <w:color w:val="1A2B40"/>
          <w:sz w:val="24"/>
          <w:szCs w:val="24"/>
        </w:rPr>
        <w:t xml:space="preserve">OpenClaw通过MCP协议调用外部工具。本方案涉及的工具按类型分为三类：命令行工具（yt-dlp、ffmpeg，通过subprocess调用）、Python库（faster-whisper、vtt解析，通过Python MCP server包装）、API服务（飞书发消息、Claude/GPT-4o LLM、VLM，通过HTTP调用）。每类工具在OpenClaw中注册为MCP server，工作流YAML中通过tool字段引用。</w:t>
      </w:r>
    </w:p>
    <w:p>
      <w:pPr>
        <w:spacing w:after="80" w:line="312"/>
        <w:ind w:firstLine="480"/>
        <w:jc w:val="both"/>
      </w:pPr>
      <w:r>
        <w:rPr>
          <w:rFonts w:ascii="Times New Roman" w:eastAsia="SimSun"/>
          <w:color w:val="1A2B40"/>
          <w:sz w:val="24"/>
          <w:szCs w:val="24"/>
        </w:rPr>
        <w:t xml:space="preserve">工具注册示例。以下JSON展示了OpenClaw配置文件中注册核心工具的格式。每个工具定义name、command、args、input_schema、output_schema，OpenClaw根据schema自动完成参数校验和结果解析。这种声明式注册让新增工具（如切换Claude到Qwen2.5）只需改配置不需改代码。</w:t>
      </w:r>
    </w:p>
    <w:p>
      <w:pPr>
        <w:shd w:fill="F4F6F8" w:val="clear"/>
        <w:spacing w:after="80" w:before="80" w:line="280"/>
        <w:ind w:left="240" w:right="240"/>
      </w:pPr>
      <w:r>
        <w:rPr>
          <w:rFonts w:ascii="Consolas" w:eastAsia="Sarasa Mono SC"/>
          <w:color w:val="0A1628"/>
          <w:sz w:val="20"/>
          <w:szCs w:val="20"/>
        </w:rPr>
        <w:t xml:space="preserve">{
  "tools": [
    {
      "name": "ytdlp",
      "command": "python",
      "args": ["/opt/openclaw/tools/ytdlp_wrapper.py"],
      "input_schema": {
        "url": "string",
        "args": "array",
        "output_dir": "string"
      },
      "output_schema": {
        "video_path": "string?",
        "subtitle_path": "string?"
      }
    },
    {
      "name": "faster_whisper",
      "command": "python",
      "args": ["/opt/openclaw/tools/whisper_wrapper.py"],
      "input_schema": {
        "audio": "string",
        "model": "string",
        "device": "string"
      },
      "output_schema": {
        "text": "string",
        "segments": "array"
      }
    },
    {
      "name": "vlm_batch",
      "command": "python",
      "args": ["/opt/openclaw/tools/vlm_wrapper.py"],
      "input_schema": {
        "images": "array",
        "prompt": "string",
        "backend": "string"
      },
      "output_schema": {
        "descriptions": "array"
      }
    }
  ]
}</w:t>
      </w:r>
    </w:p>
    <w:p>
      <w:pPr>
        <w:pStyle w:val="Heading2"/>
        <w:spacing w:after="140" w:before="320" w:line="312"/>
      </w:pPr>
      <w:bookmarkStart w:id="100038" w:name="_Toc100038"/>
      <w:r>
        <w:rPr>
          <w:rFonts w:ascii="Calibri" w:eastAsia="SimHei"/>
          <w:b/>
          <w:bCs/>
          <w:color w:val="0A1628"/>
          <w:sz w:val="28"/>
          <w:szCs w:val="28"/>
        </w:rPr>
        <w:t xml:space="preserve">7.3 LLM选型：短期云端+长期本地</w:t>
      </w:r>
      <w:bookmarkEnd w:id="100038"/>
    </w:p>
    <w:p>
      <w:pPr>
        <w:spacing w:after="80" w:line="312"/>
        <w:ind w:firstLine="480"/>
        <w:jc w:val="both"/>
      </w:pPr>
      <w:r>
        <w:rPr>
          <w:rFonts w:ascii="Times New Roman" w:eastAsia="SimSun"/>
          <w:color w:val="1A2B40"/>
          <w:sz w:val="24"/>
          <w:szCs w:val="24"/>
        </w:rPr>
        <w:t xml:space="preserve">总结环节的LLM选型采用“短期云端+长期本地”双轨方案。短期：用户当前有全模态LLM token（2个月有效期），可调用Claude Sonnet 4或GPT-4o做总结，质量最高且无本地资源消耗，单条视频约消耗2000-5000 tokens。长期：token到期后切换到本地LLM，4070s 12GB可运行Qwen2.5-7B-Instruct或GLM-4-9B-Chat等开源模型，完全本地化无API成本，精度略低于Claude但满足知识归档需求。</w:t>
      </w:r>
    </w:p>
    <w:p>
      <w:pPr>
        <w:spacing w:after="80" w:line="312"/>
        <w:ind w:firstLine="480"/>
        <w:jc w:val="both"/>
      </w:pPr>
      <w:r>
        <w:rPr>
          <w:rFonts w:ascii="Times New Roman" w:eastAsia="SimSun"/>
          <w:color w:val="1A2B40"/>
          <w:sz w:val="24"/>
          <w:szCs w:val="24"/>
        </w:rPr>
        <w:t xml:space="preserve">本地LLM部署推荐使用Ollama或vLLM框架。Ollama适合单用户场景（部署简单，模型管理方便），vLLM适合高并发场景（吞吐量高但配置复杂）。本方案单用户单任务场景推荐Ollama：安装后执行ollama pull qwen2.5:7b-instruct即可下载模型，OpenClaw通过Ollama的OpenAI兼容API调用（http://localhost:11434/v1/chat/completions）。4070s 12GB运行7B模型INT4量化版显存占用约5GB，生成速度约30 tokens/秒，5分钟视频总结约30秒完成。</w:t>
      </w:r>
    </w:p>
    <w:p>
      <w:pPr>
        <w:keepNext/>
        <w:spacing w:after="80" w:before="200"/>
      </w:pPr>
      <w:r>
        <w:rPr>
          <w:rFonts w:ascii="Calibri" w:eastAsia="SimHei"/>
          <w:b/>
          <w:bCs/>
          <w:color w:val="0A1628"/>
          <w:sz w:val="21"/>
          <w:szCs w:val="21"/>
        </w:rPr>
        <w:t xml:space="preserve">表7-1 LLM选型对比</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gridCol w:w="100"/>
        <w:gridCol w:w="100"/>
        <w:gridCol w:w="100"/>
      </w:tblGrid>
      <w:tr>
        <w:trPr>
          <w:cantSplit/>
          <w:tblHeader/>
        </w:trPr>
        <w:tc>
          <w:tcPr>
            <w:tcW w:type="pct" w:w="2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方案</w:t>
            </w:r>
          </w:p>
        </w:tc>
        <w:tc>
          <w:tcPr>
            <w:tcW w:type="pct" w:w="14%"/>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类型</w:t>
            </w:r>
          </w:p>
        </w:tc>
        <w:tc>
          <w:tcPr>
            <w:tcW w:type="pct" w:w="1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质量</w:t>
            </w:r>
          </w:p>
        </w:tc>
        <w:tc>
          <w:tcPr>
            <w:tcW w:type="pct" w:w="16%"/>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成本</w:t>
            </w:r>
          </w:p>
        </w:tc>
        <w:tc>
          <w:tcPr>
            <w:tcW w:type="pct" w:w="1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速度</w:t>
            </w:r>
          </w:p>
        </w:tc>
        <w:tc>
          <w:tcPr>
            <w:tcW w:type="pct" w:w="24%"/>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适用阶段</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Claude Sonnet 4</w:t>
            </w:r>
          </w:p>
        </w:tc>
        <w:tc>
          <w:tcPr>
            <w:tcW w:type="pct" w:w="14%"/>
            <w:tcMar>
              <w:top w:type="dxa" w:w="60"/>
              <w:left w:type="dxa" w:w="100"/>
              <w:bottom w:type="dxa" w:w="60"/>
              <w:right w:type="dxa" w:w="100"/>
            </w:tcMar>
          </w:tcPr>
          <w:p>
            <w:r>
              <w:rPr>
                <w:rFonts w:ascii="Times New Roman" w:eastAsia="SimSun"/>
                <w:color w:val="1A2B40"/>
                <w:sz w:val="20"/>
                <w:szCs w:val="20"/>
              </w:rPr>
              <w:t xml:space="preserve">云端API</w:t>
            </w:r>
          </w:p>
        </w:tc>
        <w:tc>
          <w:tcPr>
            <w:tcW w:type="pct" w:w="12%"/>
            <w:tcMar>
              <w:top w:type="dxa" w:w="60"/>
              <w:left w:type="dxa" w:w="100"/>
              <w:bottom w:type="dxa" w:w="60"/>
              <w:right w:type="dxa" w:w="100"/>
            </w:tcMar>
          </w:tcPr>
          <w:p>
            <w:r>
              <w:rPr>
                <w:rFonts w:ascii="Times New Roman" w:eastAsia="SimSun"/>
                <w:color w:val="1A2B40"/>
                <w:sz w:val="20"/>
                <w:szCs w:val="20"/>
              </w:rPr>
              <w:t xml:space="preserve">★★★★★</w:t>
            </w:r>
          </w:p>
        </w:tc>
        <w:tc>
          <w:tcPr>
            <w:tcW w:type="pct" w:w="16%"/>
            <w:tcMar>
              <w:top w:type="dxa" w:w="60"/>
              <w:left w:type="dxa" w:w="100"/>
              <w:bottom w:type="dxa" w:w="60"/>
              <w:right w:type="dxa" w:w="100"/>
            </w:tcMar>
          </w:tcPr>
          <w:p>
            <w:r>
              <w:rPr>
                <w:rFonts w:ascii="Times New Roman" w:eastAsia="SimSun"/>
                <w:color w:val="1A2B40"/>
                <w:sz w:val="20"/>
                <w:szCs w:val="20"/>
              </w:rPr>
              <w:t xml:space="preserve">按量计费</w:t>
            </w:r>
          </w:p>
        </w:tc>
        <w:tc>
          <w:tcPr>
            <w:tcW w:type="pct" w:w="12%"/>
            <w:tcMar>
              <w:top w:type="dxa" w:w="60"/>
              <w:left w:type="dxa" w:w="100"/>
              <w:bottom w:type="dxa" w:w="60"/>
              <w:right w:type="dxa" w:w="100"/>
            </w:tcMar>
          </w:tcPr>
          <w:p>
            <w:r>
              <w:rPr>
                <w:rFonts w:ascii="Times New Roman" w:eastAsia="SimSun"/>
                <w:color w:val="1A2B40"/>
                <w:sz w:val="20"/>
                <w:szCs w:val="20"/>
              </w:rPr>
              <w:t xml:space="preserve">快</w:t>
            </w:r>
          </w:p>
        </w:tc>
        <w:tc>
          <w:tcPr>
            <w:tcW w:type="pct" w:w="24%"/>
            <w:tcMar>
              <w:top w:type="dxa" w:w="60"/>
              <w:left w:type="dxa" w:w="100"/>
              <w:bottom w:type="dxa" w:w="60"/>
              <w:right w:type="dxa" w:w="100"/>
            </w:tcMar>
          </w:tcPr>
          <w:p>
            <w:r>
              <w:rPr>
                <w:rFonts w:ascii="Times New Roman" w:eastAsia="SimSun"/>
                <w:color w:val="1A2B40"/>
                <w:sz w:val="20"/>
                <w:szCs w:val="20"/>
              </w:rPr>
              <w:t xml:space="preserve">短期(token有效期内)</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GPT-4o</w:t>
            </w:r>
          </w:p>
        </w:tc>
        <w:tc>
          <w:tcPr>
            <w:tcW w:type="pct" w:w="14%"/>
            <w:tcMar>
              <w:top w:type="dxa" w:w="60"/>
              <w:left w:type="dxa" w:w="100"/>
              <w:bottom w:type="dxa" w:w="60"/>
              <w:right w:type="dxa" w:w="100"/>
            </w:tcMar>
          </w:tcPr>
          <w:p>
            <w:r>
              <w:rPr>
                <w:rFonts w:ascii="Times New Roman" w:eastAsia="SimSun"/>
                <w:color w:val="1A2B40"/>
                <w:sz w:val="20"/>
                <w:szCs w:val="20"/>
              </w:rPr>
              <w:t xml:space="preserve">云端API</w:t>
            </w:r>
          </w:p>
        </w:tc>
        <w:tc>
          <w:tcPr>
            <w:tcW w:type="pct" w:w="12%"/>
            <w:tcMar>
              <w:top w:type="dxa" w:w="60"/>
              <w:left w:type="dxa" w:w="100"/>
              <w:bottom w:type="dxa" w:w="60"/>
              <w:right w:type="dxa" w:w="100"/>
            </w:tcMar>
          </w:tcPr>
          <w:p>
            <w:r>
              <w:rPr>
                <w:rFonts w:ascii="Times New Roman" w:eastAsia="SimSun"/>
                <w:color w:val="1A2B40"/>
                <w:sz w:val="20"/>
                <w:szCs w:val="20"/>
              </w:rPr>
              <w:t xml:space="preserve">★★★★★</w:t>
            </w:r>
          </w:p>
        </w:tc>
        <w:tc>
          <w:tcPr>
            <w:tcW w:type="pct" w:w="16%"/>
            <w:tcMar>
              <w:top w:type="dxa" w:w="60"/>
              <w:left w:type="dxa" w:w="100"/>
              <w:bottom w:type="dxa" w:w="60"/>
              <w:right w:type="dxa" w:w="100"/>
            </w:tcMar>
          </w:tcPr>
          <w:p>
            <w:r>
              <w:rPr>
                <w:rFonts w:ascii="Times New Roman" w:eastAsia="SimSun"/>
                <w:color w:val="1A2B40"/>
                <w:sz w:val="20"/>
                <w:szCs w:val="20"/>
              </w:rPr>
              <w:t xml:space="preserve">按量计费</w:t>
            </w:r>
          </w:p>
        </w:tc>
        <w:tc>
          <w:tcPr>
            <w:tcW w:type="pct" w:w="12%"/>
            <w:tcMar>
              <w:top w:type="dxa" w:w="60"/>
              <w:left w:type="dxa" w:w="100"/>
              <w:bottom w:type="dxa" w:w="60"/>
              <w:right w:type="dxa" w:w="100"/>
            </w:tcMar>
          </w:tcPr>
          <w:p>
            <w:r>
              <w:rPr>
                <w:rFonts w:ascii="Times New Roman" w:eastAsia="SimSun"/>
                <w:color w:val="1A2B40"/>
                <w:sz w:val="20"/>
                <w:szCs w:val="20"/>
              </w:rPr>
              <w:t xml:space="preserve">快</w:t>
            </w:r>
          </w:p>
        </w:tc>
        <w:tc>
          <w:tcPr>
            <w:tcW w:type="pct" w:w="24%"/>
            <w:tcMar>
              <w:top w:type="dxa" w:w="60"/>
              <w:left w:type="dxa" w:w="100"/>
              <w:bottom w:type="dxa" w:w="60"/>
              <w:right w:type="dxa" w:w="100"/>
            </w:tcMar>
          </w:tcPr>
          <w:p>
            <w:r>
              <w:rPr>
                <w:rFonts w:ascii="Times New Roman" w:eastAsia="SimSun"/>
                <w:color w:val="1A2B40"/>
                <w:sz w:val="20"/>
                <w:szCs w:val="20"/>
              </w:rPr>
              <w:t xml:space="preserve">短期(token有效期内)</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Qwen2.5-7B (Ollama)</w:t>
            </w:r>
          </w:p>
        </w:tc>
        <w:tc>
          <w:tcPr>
            <w:tcW w:type="pct" w:w="14%"/>
            <w:tcMar>
              <w:top w:type="dxa" w:w="60"/>
              <w:left w:type="dxa" w:w="100"/>
              <w:bottom w:type="dxa" w:w="60"/>
              <w:right w:type="dxa" w:w="100"/>
            </w:tcMar>
          </w:tcPr>
          <w:p>
            <w:r>
              <w:rPr>
                <w:rFonts w:ascii="Times New Roman" w:eastAsia="SimSun"/>
                <w:color w:val="1A2B40"/>
                <w:sz w:val="20"/>
                <w:szCs w:val="20"/>
              </w:rPr>
              <w:t xml:space="preserve">本地</w:t>
            </w:r>
          </w:p>
        </w:tc>
        <w:tc>
          <w:tcPr>
            <w:tcW w:type="pct" w:w="12%"/>
            <w:tcMar>
              <w:top w:type="dxa" w:w="60"/>
              <w:left w:type="dxa" w:w="100"/>
              <w:bottom w:type="dxa" w:w="60"/>
              <w:right w:type="dxa" w:w="100"/>
            </w:tcMar>
          </w:tcPr>
          <w:p>
            <w:r>
              <w:rPr>
                <w:rFonts w:ascii="Times New Roman" w:eastAsia="SimSun"/>
                <w:color w:val="1A2B40"/>
                <w:sz w:val="20"/>
                <w:szCs w:val="20"/>
              </w:rPr>
              <w:t xml:space="preserve">★★★★</w:t>
            </w:r>
          </w:p>
        </w:tc>
        <w:tc>
          <w:tcPr>
            <w:tcW w:type="pct" w:w="16%"/>
            <w:tcMar>
              <w:top w:type="dxa" w:w="60"/>
              <w:left w:type="dxa" w:w="100"/>
              <w:bottom w:type="dxa" w:w="60"/>
              <w:right w:type="dxa" w:w="100"/>
            </w:tcMar>
          </w:tcPr>
          <w:p>
            <w:r>
              <w:rPr>
                <w:rFonts w:ascii="Times New Roman" w:eastAsia="SimSun"/>
                <w:color w:val="1A2B40"/>
                <w:sz w:val="20"/>
                <w:szCs w:val="20"/>
              </w:rPr>
              <w:t xml:space="preserve">零成本</w:t>
            </w:r>
          </w:p>
        </w:tc>
        <w:tc>
          <w:tcPr>
            <w:tcW w:type="pct" w:w="12%"/>
            <w:tcMar>
              <w:top w:type="dxa" w:w="60"/>
              <w:left w:type="dxa" w:w="100"/>
              <w:bottom w:type="dxa" w:w="60"/>
              <w:right w:type="dxa" w:w="100"/>
            </w:tcMar>
          </w:tcPr>
          <w:p>
            <w:r>
              <w:rPr>
                <w:rFonts w:ascii="Times New Roman" w:eastAsia="SimSun"/>
                <w:color w:val="1A2B40"/>
                <w:sz w:val="20"/>
                <w:szCs w:val="20"/>
              </w:rPr>
              <w:t xml:space="preserve">中</w:t>
            </w:r>
          </w:p>
        </w:tc>
        <w:tc>
          <w:tcPr>
            <w:tcW w:type="pct" w:w="24%"/>
            <w:tcMar>
              <w:top w:type="dxa" w:w="60"/>
              <w:left w:type="dxa" w:w="100"/>
              <w:bottom w:type="dxa" w:w="60"/>
              <w:right w:type="dxa" w:w="100"/>
            </w:tcMar>
          </w:tcPr>
          <w:p>
            <w:r>
              <w:rPr>
                <w:rFonts w:ascii="Times New Roman" w:eastAsia="SimSun"/>
                <w:color w:val="1A2B40"/>
                <w:sz w:val="20"/>
                <w:szCs w:val="20"/>
              </w:rPr>
              <w:t xml:space="preserve">长期推荐</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GLM-4-9B (Ollama)</w:t>
            </w:r>
          </w:p>
        </w:tc>
        <w:tc>
          <w:tcPr>
            <w:tcW w:type="pct" w:w="14%"/>
            <w:tcMar>
              <w:top w:type="dxa" w:w="60"/>
              <w:left w:type="dxa" w:w="100"/>
              <w:bottom w:type="dxa" w:w="60"/>
              <w:right w:type="dxa" w:w="100"/>
            </w:tcMar>
          </w:tcPr>
          <w:p>
            <w:r>
              <w:rPr>
                <w:rFonts w:ascii="Times New Roman" w:eastAsia="SimSun"/>
                <w:color w:val="1A2B40"/>
                <w:sz w:val="20"/>
                <w:szCs w:val="20"/>
              </w:rPr>
              <w:t xml:space="preserve">本地</w:t>
            </w:r>
          </w:p>
        </w:tc>
        <w:tc>
          <w:tcPr>
            <w:tcW w:type="pct" w:w="12%"/>
            <w:tcMar>
              <w:top w:type="dxa" w:w="60"/>
              <w:left w:type="dxa" w:w="100"/>
              <w:bottom w:type="dxa" w:w="60"/>
              <w:right w:type="dxa" w:w="100"/>
            </w:tcMar>
          </w:tcPr>
          <w:p>
            <w:r>
              <w:rPr>
                <w:rFonts w:ascii="Times New Roman" w:eastAsia="SimSun"/>
                <w:color w:val="1A2B40"/>
                <w:sz w:val="20"/>
                <w:szCs w:val="20"/>
              </w:rPr>
              <w:t xml:space="preserve">★★★★</w:t>
            </w:r>
          </w:p>
        </w:tc>
        <w:tc>
          <w:tcPr>
            <w:tcW w:type="pct" w:w="16%"/>
            <w:tcMar>
              <w:top w:type="dxa" w:w="60"/>
              <w:left w:type="dxa" w:w="100"/>
              <w:bottom w:type="dxa" w:w="60"/>
              <w:right w:type="dxa" w:w="100"/>
            </w:tcMar>
          </w:tcPr>
          <w:p>
            <w:r>
              <w:rPr>
                <w:rFonts w:ascii="Times New Roman" w:eastAsia="SimSun"/>
                <w:color w:val="1A2B40"/>
                <w:sz w:val="20"/>
                <w:szCs w:val="20"/>
              </w:rPr>
              <w:t xml:space="preserve">零成本</w:t>
            </w:r>
          </w:p>
        </w:tc>
        <w:tc>
          <w:tcPr>
            <w:tcW w:type="pct" w:w="12%"/>
            <w:tcMar>
              <w:top w:type="dxa" w:w="60"/>
              <w:left w:type="dxa" w:w="100"/>
              <w:bottom w:type="dxa" w:w="60"/>
              <w:right w:type="dxa" w:w="100"/>
            </w:tcMar>
          </w:tcPr>
          <w:p>
            <w:r>
              <w:rPr>
                <w:rFonts w:ascii="Times New Roman" w:eastAsia="SimSun"/>
                <w:color w:val="1A2B40"/>
                <w:sz w:val="20"/>
                <w:szCs w:val="20"/>
              </w:rPr>
              <w:t xml:space="preserve">中</w:t>
            </w:r>
          </w:p>
        </w:tc>
        <w:tc>
          <w:tcPr>
            <w:tcW w:type="pct" w:w="24%"/>
            <w:tcMar>
              <w:top w:type="dxa" w:w="60"/>
              <w:left w:type="dxa" w:w="100"/>
              <w:bottom w:type="dxa" w:w="60"/>
              <w:right w:type="dxa" w:w="100"/>
            </w:tcMar>
          </w:tcPr>
          <w:p>
            <w:r>
              <w:rPr>
                <w:rFonts w:ascii="Times New Roman" w:eastAsia="SimSun"/>
                <w:color w:val="1A2B40"/>
                <w:sz w:val="20"/>
                <w:szCs w:val="20"/>
              </w:rPr>
              <w:t xml:space="preserve">长期备选</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Qwen2.5-72B (API)</w:t>
            </w:r>
          </w:p>
        </w:tc>
        <w:tc>
          <w:tcPr>
            <w:tcW w:type="pct" w:w="14%"/>
            <w:tcMar>
              <w:top w:type="dxa" w:w="60"/>
              <w:left w:type="dxa" w:w="100"/>
              <w:bottom w:type="dxa" w:w="60"/>
              <w:right w:type="dxa" w:w="100"/>
            </w:tcMar>
          </w:tcPr>
          <w:p>
            <w:r>
              <w:rPr>
                <w:rFonts w:ascii="Times New Roman" w:eastAsia="SimSun"/>
                <w:color w:val="1A2B40"/>
                <w:sz w:val="20"/>
                <w:szCs w:val="20"/>
              </w:rPr>
              <w:t xml:space="preserve">云端API</w:t>
            </w:r>
          </w:p>
        </w:tc>
        <w:tc>
          <w:tcPr>
            <w:tcW w:type="pct" w:w="12%"/>
            <w:tcMar>
              <w:top w:type="dxa" w:w="60"/>
              <w:left w:type="dxa" w:w="100"/>
              <w:bottom w:type="dxa" w:w="60"/>
              <w:right w:type="dxa" w:w="100"/>
            </w:tcMar>
          </w:tcPr>
          <w:p>
            <w:r>
              <w:rPr>
                <w:rFonts w:ascii="Times New Roman" w:eastAsia="SimSun"/>
                <w:color w:val="1A2B40"/>
                <w:sz w:val="20"/>
                <w:szCs w:val="20"/>
              </w:rPr>
              <w:t xml:space="preserve">★★★★★</w:t>
            </w:r>
          </w:p>
        </w:tc>
        <w:tc>
          <w:tcPr>
            <w:tcW w:type="pct" w:w="16%"/>
            <w:tcMar>
              <w:top w:type="dxa" w:w="60"/>
              <w:left w:type="dxa" w:w="100"/>
              <w:bottom w:type="dxa" w:w="60"/>
              <w:right w:type="dxa" w:w="100"/>
            </w:tcMar>
          </w:tcPr>
          <w:p>
            <w:r>
              <w:rPr>
                <w:rFonts w:ascii="Times New Roman" w:eastAsia="SimSun"/>
                <w:color w:val="1A2B40"/>
                <w:sz w:val="20"/>
                <w:szCs w:val="20"/>
              </w:rPr>
              <w:t xml:space="preserve">按量计费</w:t>
            </w:r>
          </w:p>
        </w:tc>
        <w:tc>
          <w:tcPr>
            <w:tcW w:type="pct" w:w="12%"/>
            <w:tcMar>
              <w:top w:type="dxa" w:w="60"/>
              <w:left w:type="dxa" w:w="100"/>
              <w:bottom w:type="dxa" w:w="60"/>
              <w:right w:type="dxa" w:w="100"/>
            </w:tcMar>
          </w:tcPr>
          <w:p>
            <w:r>
              <w:rPr>
                <w:rFonts w:ascii="Times New Roman" w:eastAsia="SimSun"/>
                <w:color w:val="1A2B40"/>
                <w:sz w:val="20"/>
                <w:szCs w:val="20"/>
              </w:rPr>
              <w:t xml:space="preserve">快</w:t>
            </w:r>
          </w:p>
        </w:tc>
        <w:tc>
          <w:tcPr>
            <w:tcW w:type="pct" w:w="24%"/>
            <w:tcMar>
              <w:top w:type="dxa" w:w="60"/>
              <w:left w:type="dxa" w:w="100"/>
              <w:bottom w:type="dxa" w:w="60"/>
              <w:right w:type="dxa" w:w="100"/>
            </w:tcMar>
          </w:tcPr>
          <w:p>
            <w:r>
              <w:rPr>
                <w:rFonts w:ascii="Times New Roman" w:eastAsia="SimSun"/>
                <w:color w:val="1A2B40"/>
                <w:sz w:val="20"/>
                <w:szCs w:val="20"/>
              </w:rPr>
              <w:t xml:space="preserve">质量优先时备选</w:t>
            </w:r>
          </w:p>
        </w:tc>
      </w:tr>
    </w:tbl>
    <w:p>
      <w:pPr>
        <w:pStyle w:val="Heading2"/>
        <w:spacing w:after="140" w:before="320" w:line="312"/>
      </w:pPr>
      <w:bookmarkStart w:id="100039" w:name="_Toc100039"/>
      <w:r>
        <w:rPr>
          <w:rFonts w:ascii="Calibri" w:eastAsia="SimHei"/>
          <w:b/>
          <w:bCs/>
          <w:color w:val="0A1628"/>
          <w:sz w:val="28"/>
          <w:szCs w:val="28"/>
        </w:rPr>
        <w:t xml:space="preserve">7.4 Prompt模板设计</w:t>
      </w:r>
      <w:bookmarkEnd w:id="100039"/>
    </w:p>
    <w:p>
      <w:pPr>
        <w:spacing w:after="80" w:line="312"/>
        <w:ind w:firstLine="480"/>
        <w:jc w:val="both"/>
      </w:pPr>
      <w:r>
        <w:rPr>
          <w:rFonts w:ascii="Times New Roman" w:eastAsia="SimSun"/>
          <w:color w:val="1A2B40"/>
          <w:sz w:val="24"/>
          <w:szCs w:val="24"/>
        </w:rPr>
        <w:t xml:space="preserve">主Prompt模板与v1.0类似但增加画面要点整合。Prompt分为五部分：任务背景、输出要求、上下文（视频元信息）、转写文本、画面要点（可选）。其中画面要点部分采用条件拼接，仅当VLM启用时插入，避免无VLM场景下Prompt冗余。</w:t>
      </w:r>
    </w:p>
    <w:p>
      <w:pPr>
        <w:spacing w:after="80" w:line="312"/>
        <w:ind w:firstLine="480"/>
        <w:jc w:val="both"/>
      </w:pPr>
      <w:r>
        <w:rPr>
          <w:rFonts w:ascii="Times New Roman" w:eastAsia="SimSun"/>
          <w:color w:val="1A2B40"/>
          <w:sz w:val="24"/>
          <w:szCs w:val="24"/>
        </w:rPr>
        <w:t xml:space="preserve">Prompt工程的关键技巧：第一，明确禁止幻觉，要求LLM“只基于转写文本和画面要点生成总结，不要添加视频中未提及的内容”；第二，要求LLM在要点前加emoji增加可读性，但限制emoji种类（如只用5种固定emoji）；第三，对长视频（超过5分钟）要求LLM按主题分段总结而非全部要点平铺；第四，对转写中明显的同音错字（如“V八引擎”应为“V8引擎”）要求LLM做校正并标注[已校正]；第五，对画面要点要求LLM与转写文本整合，避免重复信息，仅补充转写未覆盖的视觉信息。</w:t>
      </w:r>
    </w:p>
    <w:p>
      <w:pPr>
        <w:pStyle w:val="Heading2"/>
        <w:spacing w:after="140" w:before="320" w:line="312"/>
      </w:pPr>
      <w:bookmarkStart w:id="100040" w:name="_Toc100040"/>
      <w:r>
        <w:rPr>
          <w:rFonts w:ascii="Calibri" w:eastAsia="SimHei"/>
          <w:b/>
          <w:bCs/>
          <w:color w:val="0A1628"/>
          <w:sz w:val="28"/>
          <w:szCs w:val="28"/>
        </w:rPr>
        <w:t xml:space="preserve">7.5 调用契约与降级策略</w:t>
      </w:r>
      <w:bookmarkEnd w:id="100040"/>
    </w:p>
    <w:p>
      <w:pPr>
        <w:spacing w:after="80" w:line="312"/>
        <w:ind w:firstLine="480"/>
        <w:jc w:val="both"/>
      </w:pPr>
      <w:r>
        <w:rPr>
          <w:rFonts w:ascii="Times New Roman" w:eastAsia="SimSun"/>
          <w:color w:val="1A2B40"/>
          <w:sz w:val="24"/>
          <w:szCs w:val="24"/>
        </w:rPr>
        <w:t xml:space="preserve">调用契约：OpenClaw通过MCP协议调用LLM工具，超时设置为120秒。若LLM返回非0退出码或超时，触发降级策略。降级策略与v1.0类似但增加本地LLM切换：第一级，重试一次（间隔10秒）；第二级，切换到简化Prompt（仅要求生成要点列表，不要求frontmatter和双链）；第三级，切换到本地LLM（Qwen2.5-7B），即使云端API不可用也能完成基本总结；第四级，跳过LLM总结直接写入原始转写文本，笔记status标记为draft。</w:t>
      </w:r>
    </w:p>
    <w:p>
      <w:pPr>
        <w:pStyle w:val="Heading2"/>
        <w:spacing w:after="140" w:before="320" w:line="312"/>
      </w:pPr>
      <w:bookmarkStart w:id="100041" w:name="_Toc100041"/>
      <w:r>
        <w:rPr>
          <w:rFonts w:ascii="Calibri" w:eastAsia="SimHei"/>
          <w:b/>
          <w:bCs/>
          <w:color w:val="0A1628"/>
          <w:sz w:val="28"/>
          <w:szCs w:val="28"/>
        </w:rPr>
        <w:t xml:space="preserve">7.6 成本估算</w:t>
      </w:r>
      <w:bookmarkEnd w:id="100041"/>
    </w:p>
    <w:p>
      <w:pPr>
        <w:spacing w:after="80" w:line="312"/>
        <w:ind w:firstLine="480"/>
        <w:jc w:val="both"/>
      </w:pPr>
      <w:r>
        <w:rPr>
          <w:rFonts w:ascii="Times New Roman" w:eastAsia="SimSun"/>
          <w:color w:val="1A2B40"/>
          <w:sz w:val="24"/>
          <w:szCs w:val="24"/>
        </w:rPr>
        <w:t xml:space="preserve">v2.0成本结构相比v1.0有显著优化。短期（2个月内）：用户已有全模态LLM token，云端LLM和VLM调用零成本，仅GPU电费约10-20元/月。长期（2个月后）：切换到本地LLM和VLM，所有AI调用零成本，仅GPU电费约15-25元/月（Qwen2.5-7B比Whisper medium耗电略高）。相比v1.0的Obsidian Sync订阅$4/月+Claude Pro $20/月，v2.0月度成本从约¥180降到约¥20，节省89%。</w:t>
      </w:r>
    </w:p>
    <w:p>
      <w:pPr>
        <w:pStyle w:val="Heading1"/>
        <w:spacing w:after="200" w:before="480" w:line="360"/>
      </w:pPr>
      <w:bookmarkStart w:id="100042" w:name="_Toc100042"/>
      <w:r>
        <w:rPr>
          <w:rFonts w:ascii="Calibri" w:eastAsia="SimHei"/>
          <w:b/>
          <w:bCs/>
          <w:color w:val="0A1628"/>
          <w:sz w:val="32"/>
          <w:szCs w:val="32"/>
        </w:rPr>
        <w:t xml:space="preserve">非功能需求</w:t>
      </w:r>
      <w:bookmarkEnd w:id="100042"/>
    </w:p>
    <w:p>
      <w:pPr>
        <w:pStyle w:val="Heading2"/>
        <w:spacing w:after="140" w:before="320" w:line="312"/>
      </w:pPr>
      <w:bookmarkStart w:id="100043" w:name="_Toc100043"/>
      <w:r>
        <w:rPr>
          <w:rFonts w:ascii="Calibri" w:eastAsia="SimHei"/>
          <w:b/>
          <w:bCs/>
          <w:color w:val="0A1628"/>
          <w:sz w:val="28"/>
          <w:szCs w:val="28"/>
        </w:rPr>
        <w:t xml:space="preserve">8.1 性能要求</w:t>
      </w:r>
      <w:bookmarkEnd w:id="100043"/>
    </w:p>
    <w:p>
      <w:pPr>
        <w:spacing w:after="80" w:line="312"/>
        <w:ind w:firstLine="480"/>
        <w:jc w:val="both"/>
      </w:pPr>
      <w:r>
        <w:rPr>
          <w:rFonts w:ascii="Times New Roman" w:eastAsia="SimSun"/>
          <w:color w:val="1A2B40"/>
          <w:sz w:val="24"/>
          <w:szCs w:val="24"/>
        </w:rPr>
        <w:t xml:space="preserve">v2.0性能要求相比v1.0显著提升，得益于字幕优先策略和GPU加速。端到端处理时间目标：字幕存在时≤2分钟（下载30秒+字幕解析5秒+LLM总结30秒+写入同步30秒）；字幕缺失需Whisper兜底时≤4分钟（增加Whisper转写30秒+音频提取10秒）；VLM补充启用时≤6分钟（增加关键帧抽取30秒+VLM理解60秒）。其中Whisper和VLM的耗时基于4070s 12GB显卡实测，CPU方案不可行（耗时10倍以上）。</w:t>
      </w:r>
    </w:p>
    <w:p>
      <w:pPr>
        <w:spacing w:after="80" w:line="312"/>
        <w:ind w:firstLine="480"/>
        <w:jc w:val="both"/>
      </w:pPr>
      <w:r>
        <w:rPr>
          <w:rFonts w:ascii="Times New Roman" w:eastAsia="SimSun"/>
          <w:color w:val="1A2B40"/>
          <w:sz w:val="24"/>
          <w:szCs w:val="24"/>
        </w:rPr>
        <w:t xml:space="preserve">并发处理能力：本方案设计为单用户单任务串行处理，不并发处理多条视频。这一决策基于三个考虑：其一，faster-whisper GPU转写时占用5GB显存，并发会显著降低单条速度；其二，VLM理解关键帧时GPU占用更高；其三，多路同步（Syncthing+Git+iCloud）的写入频率限制，并发写入会导致同步冲突。若用户有批处理需求，建议串行排队处理，每条之间间隔30秒。</w:t>
      </w:r>
    </w:p>
    <w:p>
      <w:pPr>
        <w:pStyle w:val="Heading2"/>
        <w:spacing w:after="140" w:before="320" w:line="312"/>
      </w:pPr>
      <w:bookmarkStart w:id="100044" w:name="_Toc100044"/>
      <w:r>
        <w:rPr>
          <w:rFonts w:ascii="Calibri" w:eastAsia="SimHei"/>
          <w:b/>
          <w:bCs/>
          <w:color w:val="0A1628"/>
          <w:sz w:val="28"/>
          <w:szCs w:val="28"/>
        </w:rPr>
        <w:t xml:space="preserve">8.2 可用性要求</w:t>
      </w:r>
      <w:bookmarkEnd w:id="100044"/>
    </w:p>
    <w:p>
      <w:pPr>
        <w:spacing w:after="80" w:line="312"/>
        <w:ind w:firstLine="480"/>
        <w:jc w:val="both"/>
      </w:pPr>
      <w:r>
        <w:rPr>
          <w:rFonts w:ascii="Times New Roman" w:eastAsia="SimSun"/>
          <w:color w:val="1A2B40"/>
          <w:sz w:val="24"/>
          <w:szCs w:val="24"/>
        </w:rPr>
        <w:t xml:space="preserve">系统可用性目标为“PC开机即用”，即用户开机后无需手动启动任何服务即可正常接收飞书事件并处理视频。这要求OpenClaw、Syncthing、Git自动提交脚本均配置为开机自启动。Windows可通过任务计划程序实现，macOS可通过launchd实现，Linux可通过systemd实现。</w:t>
      </w:r>
    </w:p>
    <w:p>
      <w:pPr>
        <w:spacing w:after="80" w:line="312"/>
        <w:ind w:firstLine="480"/>
        <w:jc w:val="both"/>
      </w:pPr>
      <w:r>
        <w:rPr>
          <w:rFonts w:ascii="Times New Roman" w:eastAsia="SimSun"/>
          <w:color w:val="1A2B40"/>
          <w:sz w:val="24"/>
          <w:szCs w:val="24"/>
        </w:rPr>
        <w:t xml:space="preserve">断网降级方案：当PC断网时，飞书事件接收失败（用户在飞书看到消息发送失败），但本地已下载的视频和转写文本不会丢失，断网恢复后用户可手动重发链接触发重新处理。当Syncthing P2P打洞失败时（如NAT严格），可配置Syncthing中继服务器作为兜底（速度较慢但可用）。当云端LLM不可用时，按7.5节降级策略切换到本地LLM。</w:t>
      </w:r>
    </w:p>
    <w:p>
      <w:pPr>
        <w:pStyle w:val="Heading2"/>
        <w:spacing w:after="140" w:before="320" w:line="312"/>
      </w:pPr>
      <w:bookmarkStart w:id="100045" w:name="_Toc100045"/>
      <w:r>
        <w:rPr>
          <w:rFonts w:ascii="Calibri" w:eastAsia="SimHei"/>
          <w:b/>
          <w:bCs/>
          <w:color w:val="0A1628"/>
          <w:sz w:val="28"/>
          <w:szCs w:val="28"/>
        </w:rPr>
        <w:t xml:space="preserve">8.3 安全性要求</w:t>
      </w:r>
      <w:bookmarkEnd w:id="100045"/>
    </w:p>
    <w:p>
      <w:pPr>
        <w:spacing w:after="80" w:line="312"/>
        <w:ind w:firstLine="480"/>
        <w:jc w:val="both"/>
      </w:pPr>
      <w:r>
        <w:rPr>
          <w:rFonts w:ascii="Times New Roman" w:eastAsia="SimSun"/>
          <w:color w:val="1A2B40"/>
          <w:sz w:val="24"/>
          <w:szCs w:val="24"/>
        </w:rPr>
        <w:t xml:space="preserve">飞书回调消息走HTTPS传输，Encrypt Key加密内容即使被中间人抓包也无法解密。Verification Token验证确保事件确实来自飞书服务器而非伪造。应用Secret和Encrypt Key存储在PC本地.env文件中，文件权限设为600仅当前用户可读，不进入版本控制。</w:t>
      </w:r>
    </w:p>
    <w:p>
      <w:pPr>
        <w:spacing w:after="80" w:line="312"/>
        <w:ind w:firstLine="480"/>
        <w:jc w:val="both"/>
      </w:pPr>
      <w:r>
        <w:rPr>
          <w:rFonts w:ascii="Times New Roman" w:eastAsia="SimSun"/>
          <w:color w:val="1A2B40"/>
          <w:sz w:val="24"/>
          <w:szCs w:val="24"/>
        </w:rPr>
        <w:t xml:space="preserve">云端LLM API key（短期使用）通过环境变量传入OpenClaw，不写入任何配置文件或日志。视频原文件处理完成后立即从/tmp目录删除，仅保留缩略图和转写文本进入Vault。Vault目录通过Syncthing端到端加密同步（可选启用），Git私仓设置为Private，iCloud/OneDrive账户启用两步验证。这三层同步各自独立加密，即使单层泄露也无法获取完整数据。</w:t>
      </w:r>
    </w:p>
    <w:p>
      <w:pPr>
        <w:pStyle w:val="Heading2"/>
        <w:spacing w:after="140" w:before="320" w:line="312"/>
      </w:pPr>
      <w:bookmarkStart w:id="100046" w:name="_Toc100046"/>
      <w:r>
        <w:rPr>
          <w:rFonts w:ascii="Calibri" w:eastAsia="SimHei"/>
          <w:b/>
          <w:bCs/>
          <w:color w:val="0A1628"/>
          <w:sz w:val="28"/>
          <w:szCs w:val="28"/>
        </w:rPr>
        <w:t xml:space="preserve">8.4 可维护性要求</w:t>
      </w:r>
      <w:bookmarkEnd w:id="100046"/>
    </w:p>
    <w:p>
      <w:pPr>
        <w:spacing w:after="80" w:line="312"/>
        <w:ind w:firstLine="480"/>
        <w:jc w:val="both"/>
      </w:pPr>
      <w:r>
        <w:rPr>
          <w:rFonts w:ascii="Times New Roman" w:eastAsia="SimSun"/>
          <w:color w:val="1A2B40"/>
          <w:sz w:val="24"/>
          <w:szCs w:val="24"/>
        </w:rPr>
        <w:t xml:space="preserve">OpenClaw的工作流YAML声明式定义让链路变更只需改配置不需改代码。新增工具（如支持B站）只需在tools配置中注册新tool并在workflow.yaml中引用，无需改动OpenClaw核心代码。新增同步通道（如增加Dropbox备份）只需在同步层增加一个rsync定时任务。这种声明式架构极大降低了系统维护成本。</w:t>
      </w:r>
    </w:p>
    <w:p>
      <w:pPr>
        <w:spacing w:after="80" w:line="312"/>
        <w:ind w:firstLine="480"/>
        <w:jc w:val="both"/>
      </w:pPr>
      <w:r>
        <w:rPr>
          <w:rFonts w:ascii="Times New Roman" w:eastAsia="SimSun"/>
          <w:color w:val="1A2B40"/>
          <w:sz w:val="24"/>
          <w:szCs w:val="24"/>
        </w:rPr>
        <w:t xml:space="preserve">日志规范：OpenClaw每个工具调用输出结构化日志（JSON格式），包含任务ID、工具名、开始时间、结束时间、耗时、状态、错误信息（如有）。日志写入~/douyin-archive/logs/目录，按日期分割保留30天。每个任务的完整日志可通过任务ID检索，便于问题排查。Syncthing和Git的日志各自独立，便于分层排查同步问题。</w:t>
      </w:r>
    </w:p>
    <w:p>
      <w:pPr>
        <w:pStyle w:val="Heading2"/>
        <w:spacing w:after="140" w:before="320" w:line="312"/>
      </w:pPr>
      <w:bookmarkStart w:id="100047" w:name="_Toc100047"/>
      <w:r>
        <w:rPr>
          <w:rFonts w:ascii="Calibri" w:eastAsia="SimHei"/>
          <w:b/>
          <w:bCs/>
          <w:color w:val="0A1628"/>
          <w:sz w:val="28"/>
          <w:szCs w:val="28"/>
        </w:rPr>
        <w:t xml:space="preserve">8.5 隐私合规要求</w:t>
      </w:r>
      <w:bookmarkEnd w:id="100047"/>
    </w:p>
    <w:p>
      <w:pPr>
        <w:spacing w:after="80" w:line="312"/>
        <w:ind w:firstLine="480"/>
        <w:jc w:val="both"/>
      </w:pPr>
      <w:r>
        <w:rPr>
          <w:rFonts w:ascii="Times New Roman" w:eastAsia="SimSun"/>
          <w:color w:val="1A2B40"/>
          <w:sz w:val="24"/>
          <w:szCs w:val="24"/>
        </w:rPr>
        <w:t xml:space="preserve">视频内容全程不上云（除短期云端LLM/VLM调用的文本和图片外）。具体而言：视频文件仅在本地/tmp目录短暂存在，处理完即删；音频文件仅在本地处理；字幕和转写文本传给云端LLM做总结（仅短期token有效期内，长期切换本地LLM）；关键帧图片传给云端VLM理解（同上）；最终笔记通过Syncthing P2P+Git私仓+iCloud/OneDrive三层同步，其中Syncthing可启用端到端加密，Git私仓仅自己可见，iCloud/OneDrive账户级加密。</w:t>
      </w:r>
    </w:p>
    <w:p>
      <w:pPr>
        <w:spacing w:after="80" w:line="312"/>
        <w:ind w:firstLine="480"/>
        <w:jc w:val="both"/>
      </w:pPr>
      <w:r>
        <w:rPr>
          <w:rFonts w:ascii="Times New Roman" w:eastAsia="SimSun"/>
          <w:color w:val="1A2B40"/>
          <w:sz w:val="24"/>
          <w:szCs w:val="24"/>
        </w:rPr>
        <w:t xml:space="preserve">版权与个人使用边界：本方案仅供个人知识管理使用，不用于商业用途或公开传播。归档的笔记不包含视频原文件（仅缩略图和文字转写），符合合理使用原则。用户应避免归档明显受版权保护的付费课程内容。系统不做任何视频二次发布或外链分享功能。</w:t>
      </w:r>
    </w:p>
    <w:p>
      <w:pPr>
        <w:pStyle w:val="Heading1"/>
        <w:spacing w:after="200" w:before="480" w:line="360"/>
      </w:pPr>
      <w:bookmarkStart w:id="100048" w:name="_Toc100048"/>
      <w:r>
        <w:rPr>
          <w:rFonts w:ascii="Calibri" w:eastAsia="SimHei"/>
          <w:b/>
          <w:bCs/>
          <w:color w:val="0A1628"/>
          <w:sz w:val="32"/>
          <w:szCs w:val="32"/>
        </w:rPr>
        <w:t xml:space="preserve">风险与避坑清单</w:t>
      </w:r>
      <w:bookmarkEnd w:id="100048"/>
    </w:p>
    <w:p>
      <w:pPr>
        <w:pStyle w:val="Heading2"/>
        <w:spacing w:after="140" w:before="320" w:line="312"/>
      </w:pPr>
      <w:bookmarkStart w:id="100049" w:name="_Toc100049"/>
      <w:r>
        <w:rPr>
          <w:rFonts w:ascii="Calibri" w:eastAsia="SimHei"/>
          <w:b/>
          <w:bCs/>
          <w:color w:val="0A1628"/>
          <w:sz w:val="28"/>
          <w:szCs w:val="28"/>
        </w:rPr>
        <w:t xml:space="preserve">9.1 抖音反爬升级风险</w:t>
      </w:r>
      <w:bookmarkEnd w:id="100049"/>
    </w:p>
    <w:p>
      <w:pPr>
        <w:spacing w:after="80" w:line="312"/>
        <w:ind w:firstLine="480"/>
        <w:jc w:val="both"/>
      </w:pPr>
      <w:r>
        <w:rPr>
          <w:rFonts w:ascii="Times New Roman" w:eastAsia="SimSun"/>
          <w:color w:val="1A2B40"/>
          <w:sz w:val="24"/>
          <w:szCs w:val="24"/>
        </w:rPr>
        <w:t xml:space="preserve">抖音会不定期升级反爬机制，可能导致yt-dlp解析失效。常见表现包括：HTTP 403、视频ID解析为空、下载到的视频是错误内容等。降级方案有三：第一，升级yt-dlp到最新版本（pip install -U yt-dlp），通常社区会在24小时内修复；第二，补充cookies.txt携带登录态；第三，切换到cobalt.tools等第三方解析服务作为备选。建议在OpenClaw工作流中监控下载失败率，超过30%时自动告警。</w:t>
      </w:r>
    </w:p>
    <w:p>
      <w:pPr>
        <w:spacing w:after="80" w:line="312"/>
        <w:ind w:firstLine="480"/>
        <w:jc w:val="both"/>
      </w:pPr>
      <w:r>
        <w:rPr>
          <w:rFonts w:ascii="Times New Roman" w:eastAsia="SimSun"/>
          <w:color w:val="1A2B40"/>
          <w:sz w:val="24"/>
          <w:szCs w:val="24"/>
        </w:rPr>
        <w:t xml:space="preserve">字幕获取失败也是常见问题。抖音字幕可能因以下原因不可用：视频本身无字幕（如纯音乐视频）、字幕被加密（罕见）、yt-dlp字幕extractor版本过旧。降级方案明确：字幕获取失败时自动切换到Whisper兜底路径，pipeline无需用户干预。这一设计是字幕优先策略的关键保障，确保字幕不可用时链路仍可用。</w:t>
      </w:r>
    </w:p>
    <w:p>
      <w:pPr>
        <w:pStyle w:val="Heading2"/>
        <w:spacing w:after="140" w:before="320" w:line="312"/>
      </w:pPr>
      <w:bookmarkStart w:id="100050" w:name="_Toc100050"/>
      <w:r>
        <w:rPr>
          <w:rFonts w:ascii="Calibri" w:eastAsia="SimHei"/>
          <w:b/>
          <w:bCs/>
          <w:color w:val="0A1628"/>
          <w:sz w:val="28"/>
          <w:szCs w:val="28"/>
        </w:rPr>
        <w:t xml:space="preserve">9.2 飞书bot对接风险</w:t>
      </w:r>
      <w:bookmarkEnd w:id="100050"/>
    </w:p>
    <w:p>
      <w:pPr>
        <w:spacing w:after="80" w:line="312"/>
        <w:ind w:firstLine="480"/>
        <w:jc w:val="both"/>
      </w:pPr>
      <w:r>
        <w:rPr>
          <w:rFonts w:ascii="Times New Roman" w:eastAsia="SimSun"/>
          <w:color w:val="1A2B40"/>
          <w:sz w:val="24"/>
          <w:szCs w:val="24"/>
        </w:rPr>
        <w:t xml:space="preserve">飞书bot相比企业微信风险更低，但仍需注意以下问题：第一，事件订阅URL变更需在飞书开放平台重新验证（OpenClaw迁移到新地址时）；第二，tenant_access_token有效期2小时，OpenClaw需实现自动刷新逻辑，否则主动发消息会失败；第三，飞书消息发送频率限制（每分钟100条），批处理场景需控制频率；第四，飞书应用审核（个人开发者创建的应用无需审核，但企业应用需管理员审核）。</w:t>
      </w:r>
    </w:p>
    <w:p>
      <w:pPr>
        <w:spacing w:after="80" w:line="312"/>
        <w:ind w:firstLine="480"/>
        <w:jc w:val="both"/>
      </w:pPr>
      <w:r>
        <w:rPr>
          <w:rFonts w:ascii="Times New Roman" w:eastAsia="SimSun"/>
          <w:color w:val="1A2B40"/>
          <w:sz w:val="24"/>
          <w:szCs w:val="24"/>
        </w:rPr>
        <w:t xml:space="preserve">OpenClaw与飞书bot的对接稳定性依赖OpenClaw本身。OpenClaw崩溃时飞书事件会积压（飞书会重试3次后放弃），建议配置OpenClaw的系统级监控（systemd watchdog或launchd KeepAlive），崩溃后自动重启。同时配置健康检查端点，OpenClaw每分钟向监控服务上报心跳，超时则告警。</w:t>
      </w:r>
    </w:p>
    <w:p>
      <w:pPr>
        <w:pStyle w:val="Heading2"/>
        <w:spacing w:after="140" w:before="320" w:line="312"/>
      </w:pPr>
      <w:bookmarkStart w:id="100051" w:name="_Toc100051"/>
      <w:r>
        <w:rPr>
          <w:rFonts w:ascii="Calibri" w:eastAsia="SimHei"/>
          <w:b/>
          <w:bCs/>
          <w:color w:val="0A1628"/>
          <w:sz w:val="28"/>
          <w:szCs w:val="28"/>
        </w:rPr>
        <w:t xml:space="preserve">9.3 faster-whisper GPU相关风险</w:t>
      </w:r>
      <w:bookmarkEnd w:id="100051"/>
    </w:p>
    <w:p>
      <w:pPr>
        <w:spacing w:after="80" w:line="312"/>
        <w:ind w:firstLine="480"/>
        <w:jc w:val="both"/>
      </w:pPr>
      <w:r>
        <w:rPr>
          <w:rFonts w:ascii="Times New Roman" w:eastAsia="SimSun"/>
          <w:color w:val="1A2B40"/>
          <w:sz w:val="24"/>
          <w:szCs w:val="24"/>
        </w:rPr>
        <w:t xml:space="preserve">faster-whisper GPU方案的主要风险集中在显存和驱动：第一，显存不足导致OOM，medium模型实际占用约5GB，若同时运行VLM或其他GPU任务可能溢出，建议监控显存使用率（nvidia-smi），超过80%时拒绝新任务；第二，CUDA驱动版本不匹配，faster-whisper要求CUDA 12.x，需确保NVIDIA驱动支持；第三，模型下载失败（HuggingFace国内访问不稳定），可使用镜像export HF_ENDPOINT=https://hf-mirror.com。</w:t>
      </w:r>
    </w:p>
    <w:p>
      <w:pPr>
        <w:spacing w:after="80" w:line="312"/>
        <w:ind w:firstLine="480"/>
        <w:jc w:val="both"/>
      </w:pPr>
      <w:r>
        <w:rPr>
          <w:rFonts w:ascii="Times New Roman" w:eastAsia="SimSun"/>
          <w:color w:val="1A2B40"/>
          <w:sz w:val="24"/>
          <w:szCs w:val="24"/>
        </w:rPr>
        <w:t xml:space="preserve">Whisper转写精度问题与v1.0一致：口音、BGM、专业术语会影响准确率。v2.0的优势是字幕优先策略规避了大多数精度问题（抖音官方ASR质量高于Whisper），Whisper仅在字幕缺失时启用。对Whisper转写结果，仍建议LLM做术语校正（Prompt中明确要求），将“V8引擎”误识别为“V八引擎”这类错误修正。</w:t>
      </w:r>
    </w:p>
    <w:p>
      <w:pPr>
        <w:pStyle w:val="Heading2"/>
        <w:spacing w:after="140" w:before="320" w:line="312"/>
      </w:pPr>
      <w:bookmarkStart w:id="100052" w:name="_Toc100052"/>
      <w:r>
        <w:rPr>
          <w:rFonts w:ascii="Calibri" w:eastAsia="SimHei"/>
          <w:b/>
          <w:bCs/>
          <w:color w:val="0A1628"/>
          <w:sz w:val="28"/>
          <w:szCs w:val="28"/>
        </w:rPr>
        <w:t xml:space="preserve">9.4 多路同步冲突风险</w:t>
      </w:r>
      <w:bookmarkEnd w:id="100052"/>
    </w:p>
    <w:p>
      <w:pPr>
        <w:spacing w:after="80" w:line="312"/>
        <w:ind w:firstLine="480"/>
        <w:jc w:val="both"/>
      </w:pPr>
      <w:r>
        <w:rPr>
          <w:rFonts w:ascii="Times New Roman" w:eastAsia="SimSun"/>
          <w:color w:val="1A2B40"/>
          <w:sz w:val="24"/>
          <w:szCs w:val="24"/>
        </w:rPr>
        <w:t xml:space="preserve">Syncthing+Git+iCloud/OneDrive三层同步可能产生冲突。最常见冲突：Syncthing和iCloud/OneDrive同时监听同一目录，两端同时检测到文件变化导致重复同步或文件锁冲突。解决方案：将Vault目录放在Syncthing管理路径下，iCloud/OneDrive仅同步Syncthing目录的快照副本（通过定时rsync或符号链接），避免实时监听冲突。</w:t>
      </w:r>
    </w:p>
    <w:p>
      <w:pPr>
        <w:spacing w:after="80" w:line="312"/>
        <w:ind w:firstLine="480"/>
        <w:jc w:val="both"/>
      </w:pPr>
      <w:r>
        <w:rPr>
          <w:rFonts w:ascii="Times New Roman" w:eastAsia="SimSun"/>
          <w:color w:val="1A2B40"/>
          <w:sz w:val="24"/>
          <w:szCs w:val="24"/>
        </w:rPr>
        <w:t xml:space="preserve">Git与Syncthing的冲突较少见，但可能发生：Syncthing同步一个新文件时Git正好在commit，可能导致Git索引短暂不一致。解决方案：Git操作前等待Syncthing同步完成（通过Syncthing API查询同步状态），或使用Git的assume-unchanged跳过暂未同步完成的文件。</w:t>
      </w:r>
    </w:p>
    <w:p>
      <w:pPr>
        <w:spacing w:after="80" w:line="312"/>
        <w:ind w:firstLine="480"/>
        <w:jc w:val="both"/>
      </w:pPr>
      <w:r>
        <w:rPr>
          <w:rFonts w:ascii="Times New Roman" w:eastAsia="SimSun"/>
          <w:color w:val="1A2B40"/>
          <w:sz w:val="24"/>
          <w:szCs w:val="24"/>
        </w:rPr>
        <w:t xml:space="preserve">手机端Obsidian与Syncthing的冲突：用户在手机端修改笔记时，若PC端也修改了同一笔记，Syncthing会产生冲突文件（如20260619-103000-claude-code重构技巧.sync-conflict-20260619-202000.md）。解决方案：手机端Obsidian设置为“只读模式”（通过文件夹属性配置），所有修改都在PC端进行，避免双向编辑冲突。</w:t>
      </w:r>
    </w:p>
    <w:p>
      <w:pPr>
        <w:pStyle w:val="Heading2"/>
        <w:spacing w:after="140" w:before="320" w:line="312"/>
      </w:pPr>
      <w:bookmarkStart w:id="100053" w:name="_Toc100053"/>
      <w:r>
        <w:rPr>
          <w:rFonts w:ascii="Calibri" w:eastAsia="SimHei"/>
          <w:b/>
          <w:bCs/>
          <w:color w:val="0A1628"/>
          <w:sz w:val="28"/>
          <w:szCs w:val="28"/>
        </w:rPr>
        <w:t xml:space="preserve">9.5 云端LLM token到期风险</w:t>
      </w:r>
      <w:bookmarkEnd w:id="100053"/>
    </w:p>
    <w:p>
      <w:pPr>
        <w:spacing w:after="80" w:line="312"/>
        <w:ind w:firstLine="480"/>
        <w:jc w:val="both"/>
      </w:pPr>
      <w:r>
        <w:rPr>
          <w:rFonts w:ascii="Times New Roman" w:eastAsia="SimSun"/>
          <w:color w:val="1A2B40"/>
          <w:sz w:val="24"/>
          <w:szCs w:val="24"/>
        </w:rPr>
        <w:t xml:space="preserve">用户当前的全模态LLM token有2个月有效期，到期后云端LLM和VLM调用将中断。缓解措施：第一，token到期前完成本地LLM（Qwen2.5-7B）和本地VLM（Qwen2-VL-7B）部署，提前验证质量可接受；第二，OpenClaw工作流配置LLM backend切换开关，token到期后只需改配置即可切换；第三，保留云端LLM作为备选（用户可随时续费），本地LLM作为默认。这一双轨设计确保token到期不影响系统可用性。</w:t>
      </w:r>
    </w:p>
    <w:p>
      <w:pPr>
        <w:pStyle w:val="Heading2"/>
        <w:spacing w:after="140" w:before="320" w:line="312"/>
      </w:pPr>
      <w:bookmarkStart w:id="100054" w:name="_Toc100054"/>
      <w:r>
        <w:rPr>
          <w:rFonts w:ascii="Calibri" w:eastAsia="SimHei"/>
          <w:b/>
          <w:bCs/>
          <w:color w:val="0A1628"/>
          <w:sz w:val="28"/>
          <w:szCs w:val="28"/>
        </w:rPr>
        <w:t xml:space="preserve">9.6 视频版权与个人使用边界</w:t>
      </w:r>
      <w:bookmarkEnd w:id="100054"/>
    </w:p>
    <w:p>
      <w:pPr>
        <w:spacing w:after="80" w:line="312"/>
        <w:ind w:firstLine="480"/>
        <w:jc w:val="both"/>
      </w:pPr>
      <w:r>
        <w:rPr>
          <w:rFonts w:ascii="Times New Roman" w:eastAsia="SimSun"/>
          <w:color w:val="1A2B40"/>
          <w:sz w:val="24"/>
          <w:szCs w:val="24"/>
        </w:rPr>
        <w:t xml:space="preserve">归档他人视频内容存在版权风险，本方案的设计原则是“仅文字转写不保存原视频”“仅个人使用不公开传播”。但仍需用户注意：第一，不归档明显受版权保护的付费课程内容；第二，不将归档笔记公开发布到博客或社交平台；第三，若收到作者投诉应立即删除对应笔记。系统默认在frontmatter中记录作者信息便于追溯。</w:t>
      </w:r>
    </w:p>
    <w:p>
      <w:pPr>
        <w:keepNext/>
        <w:spacing w:after="80" w:before="200"/>
      </w:pPr>
      <w:r>
        <w:rPr>
          <w:rFonts w:ascii="Calibri" w:eastAsia="SimHei"/>
          <w:b/>
          <w:bCs/>
          <w:color w:val="0A1628"/>
          <w:sz w:val="21"/>
          <w:szCs w:val="21"/>
        </w:rPr>
        <w:t xml:space="preserve">表9-1 v2.0风险等级与应对措施汇总</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gridCol w:w="100"/>
        <w:gridCol w:w="100"/>
      </w:tblGrid>
      <w:tr>
        <w:trPr>
          <w:cantSplit/>
          <w:tblHeader/>
        </w:trPr>
        <w:tc>
          <w:tcPr>
            <w:tcW w:type="pct" w:w="2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风险</w:t>
            </w:r>
          </w:p>
        </w:tc>
        <w:tc>
          <w:tcPr>
            <w:tcW w:type="pct" w:w="10%"/>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概率</w:t>
            </w:r>
          </w:p>
        </w:tc>
        <w:tc>
          <w:tcPr>
            <w:tcW w:type="pct" w:w="10%"/>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影响</w:t>
            </w:r>
          </w:p>
        </w:tc>
        <w:tc>
          <w:tcPr>
            <w:tcW w:type="pct" w:w="10%"/>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等级</w:t>
            </w:r>
          </w:p>
        </w:tc>
        <w:tc>
          <w:tcPr>
            <w:tcW w:type="pct" w:w="4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主要应对</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yt-dlp失效</w:t>
            </w:r>
          </w:p>
        </w:tc>
        <w:tc>
          <w:tcPr>
            <w:tcW w:type="pct" w:w="10%"/>
            <w:tcMar>
              <w:top w:type="dxa" w:w="60"/>
              <w:left w:type="dxa" w:w="100"/>
              <w:bottom w:type="dxa" w:w="60"/>
              <w:right w:type="dxa" w:w="100"/>
            </w:tcMar>
          </w:tcPr>
          <w:p>
            <w:r>
              <w:rPr>
                <w:rFonts w:ascii="Times New Roman" w:eastAsia="SimSun"/>
                <w:color w:val="1A2B40"/>
                <w:sz w:val="20"/>
                <w:szCs w:val="20"/>
              </w:rPr>
              <w:t xml:space="preserve">中</w:t>
            </w:r>
          </w:p>
        </w:tc>
        <w:tc>
          <w:tcPr>
            <w:tcW w:type="pct" w:w="10%"/>
            <w:tcMar>
              <w:top w:type="dxa" w:w="60"/>
              <w:left w:type="dxa" w:w="100"/>
              <w:bottom w:type="dxa" w:w="60"/>
              <w:right w:type="dxa" w:w="100"/>
            </w:tcMar>
          </w:tcPr>
          <w:p>
            <w:r>
              <w:rPr>
                <w:rFonts w:ascii="Times New Roman" w:eastAsia="SimSun"/>
                <w:color w:val="1A2B40"/>
                <w:sz w:val="20"/>
                <w:szCs w:val="20"/>
              </w:rPr>
              <w:t xml:space="preserve">高</w:t>
            </w:r>
          </w:p>
        </w:tc>
        <w:tc>
          <w:tcPr>
            <w:tcW w:type="pct" w:w="10%"/>
            <w:tcMar>
              <w:top w:type="dxa" w:w="60"/>
              <w:left w:type="dxa" w:w="100"/>
              <w:bottom w:type="dxa" w:w="60"/>
              <w:right w:type="dxa" w:w="100"/>
            </w:tcMar>
          </w:tcPr>
          <w:p>
            <w:r>
              <w:rPr>
                <w:rFonts w:ascii="Times New Roman" w:eastAsia="SimSun"/>
                <w:color w:val="1A2B40"/>
                <w:sz w:val="20"/>
                <w:szCs w:val="20"/>
              </w:rPr>
              <w:t xml:space="preserve">高</w:t>
            </w:r>
          </w:p>
        </w:tc>
        <w:tc>
          <w:tcPr>
            <w:tcW w:type="pct" w:w="48%"/>
            <w:tcMar>
              <w:top w:type="dxa" w:w="60"/>
              <w:left w:type="dxa" w:w="100"/>
              <w:bottom w:type="dxa" w:w="60"/>
              <w:right w:type="dxa" w:w="100"/>
            </w:tcMar>
          </w:tcPr>
          <w:p>
            <w:r>
              <w:rPr>
                <w:rFonts w:ascii="Times New Roman" w:eastAsia="SimSun"/>
                <w:color w:val="1A2B40"/>
                <w:sz w:val="20"/>
                <w:szCs w:val="20"/>
              </w:rPr>
              <w:t xml:space="preserve">升级+cookies+cobalt备选</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字幕获取失败</w:t>
            </w:r>
          </w:p>
        </w:tc>
        <w:tc>
          <w:tcPr>
            <w:tcW w:type="pct" w:w="10%"/>
            <w:tcMar>
              <w:top w:type="dxa" w:w="60"/>
              <w:left w:type="dxa" w:w="100"/>
              <w:bottom w:type="dxa" w:w="60"/>
              <w:right w:type="dxa" w:w="100"/>
            </w:tcMar>
          </w:tcPr>
          <w:p>
            <w:r>
              <w:rPr>
                <w:rFonts w:ascii="Times New Roman" w:eastAsia="SimSun"/>
                <w:color w:val="1A2B40"/>
                <w:sz w:val="20"/>
                <w:szCs w:val="20"/>
              </w:rPr>
              <w:t xml:space="preserve">中</w:t>
            </w:r>
          </w:p>
        </w:tc>
        <w:tc>
          <w:tcPr>
            <w:tcW w:type="pct" w:w="10%"/>
            <w:tcMar>
              <w:top w:type="dxa" w:w="60"/>
              <w:left w:type="dxa" w:w="100"/>
              <w:bottom w:type="dxa" w:w="60"/>
              <w:right w:type="dxa" w:w="100"/>
            </w:tcMar>
          </w:tcPr>
          <w:p>
            <w:r>
              <w:rPr>
                <w:rFonts w:ascii="Times New Roman" w:eastAsia="SimSun"/>
                <w:color w:val="1A2B40"/>
                <w:sz w:val="20"/>
                <w:szCs w:val="20"/>
              </w:rPr>
              <w:t xml:space="preserve">低</w:t>
            </w:r>
          </w:p>
        </w:tc>
        <w:tc>
          <w:tcPr>
            <w:tcW w:type="pct" w:w="10%"/>
            <w:tcMar>
              <w:top w:type="dxa" w:w="60"/>
              <w:left w:type="dxa" w:w="100"/>
              <w:bottom w:type="dxa" w:w="60"/>
              <w:right w:type="dxa" w:w="100"/>
            </w:tcMar>
          </w:tcPr>
          <w:p>
            <w:r>
              <w:rPr>
                <w:rFonts w:ascii="Times New Roman" w:eastAsia="SimSun"/>
                <w:color w:val="1A2B40"/>
                <w:sz w:val="20"/>
                <w:szCs w:val="20"/>
              </w:rPr>
              <w:t xml:space="preserve">低</w:t>
            </w:r>
          </w:p>
        </w:tc>
        <w:tc>
          <w:tcPr>
            <w:tcW w:type="pct" w:w="48%"/>
            <w:tcMar>
              <w:top w:type="dxa" w:w="60"/>
              <w:left w:type="dxa" w:w="100"/>
              <w:bottom w:type="dxa" w:w="60"/>
              <w:right w:type="dxa" w:w="100"/>
            </w:tcMar>
          </w:tcPr>
          <w:p>
            <w:r>
              <w:rPr>
                <w:rFonts w:ascii="Times New Roman" w:eastAsia="SimSun"/>
                <w:color w:val="1A2B40"/>
                <w:sz w:val="20"/>
                <w:szCs w:val="20"/>
              </w:rPr>
              <w:t xml:space="preserve">自动切换Whisper兜底</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飞书token过期</w:t>
            </w:r>
          </w:p>
        </w:tc>
        <w:tc>
          <w:tcPr>
            <w:tcW w:type="pct" w:w="10%"/>
            <w:tcMar>
              <w:top w:type="dxa" w:w="60"/>
              <w:left w:type="dxa" w:w="100"/>
              <w:bottom w:type="dxa" w:w="60"/>
              <w:right w:type="dxa" w:w="100"/>
            </w:tcMar>
          </w:tcPr>
          <w:p>
            <w:r>
              <w:rPr>
                <w:rFonts w:ascii="Times New Roman" w:eastAsia="SimSun"/>
                <w:color w:val="1A2B40"/>
                <w:sz w:val="20"/>
                <w:szCs w:val="20"/>
              </w:rPr>
              <w:t xml:space="preserve">高</w:t>
            </w:r>
          </w:p>
        </w:tc>
        <w:tc>
          <w:tcPr>
            <w:tcW w:type="pct" w:w="10%"/>
            <w:tcMar>
              <w:top w:type="dxa" w:w="60"/>
              <w:left w:type="dxa" w:w="100"/>
              <w:bottom w:type="dxa" w:w="60"/>
              <w:right w:type="dxa" w:w="100"/>
            </w:tcMar>
          </w:tcPr>
          <w:p>
            <w:r>
              <w:rPr>
                <w:rFonts w:ascii="Times New Roman" w:eastAsia="SimSun"/>
                <w:color w:val="1A2B40"/>
                <w:sz w:val="20"/>
                <w:szCs w:val="20"/>
              </w:rPr>
              <w:t xml:space="preserve">中</w:t>
            </w:r>
          </w:p>
        </w:tc>
        <w:tc>
          <w:tcPr>
            <w:tcW w:type="pct" w:w="10%"/>
            <w:tcMar>
              <w:top w:type="dxa" w:w="60"/>
              <w:left w:type="dxa" w:w="100"/>
              <w:bottom w:type="dxa" w:w="60"/>
              <w:right w:type="dxa" w:w="100"/>
            </w:tcMar>
          </w:tcPr>
          <w:p>
            <w:r>
              <w:rPr>
                <w:rFonts w:ascii="Times New Roman" w:eastAsia="SimSun"/>
                <w:color w:val="1A2B40"/>
                <w:sz w:val="20"/>
                <w:szCs w:val="20"/>
              </w:rPr>
              <w:t xml:space="preserve">中</w:t>
            </w:r>
          </w:p>
        </w:tc>
        <w:tc>
          <w:tcPr>
            <w:tcW w:type="pct" w:w="48%"/>
            <w:tcMar>
              <w:top w:type="dxa" w:w="60"/>
              <w:left w:type="dxa" w:w="100"/>
              <w:bottom w:type="dxa" w:w="60"/>
              <w:right w:type="dxa" w:w="100"/>
            </w:tcMar>
          </w:tcPr>
          <w:p>
            <w:r>
              <w:rPr>
                <w:rFonts w:ascii="Times New Roman" w:eastAsia="SimSun"/>
                <w:color w:val="1A2B40"/>
                <w:sz w:val="20"/>
                <w:szCs w:val="20"/>
              </w:rPr>
              <w:t xml:space="preserve">OpenClaw自动刷新机制</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GPU显存不足</w:t>
            </w:r>
          </w:p>
        </w:tc>
        <w:tc>
          <w:tcPr>
            <w:tcW w:type="pct" w:w="10%"/>
            <w:tcMar>
              <w:top w:type="dxa" w:w="60"/>
              <w:left w:type="dxa" w:w="100"/>
              <w:bottom w:type="dxa" w:w="60"/>
              <w:right w:type="dxa" w:w="100"/>
            </w:tcMar>
          </w:tcPr>
          <w:p>
            <w:r>
              <w:rPr>
                <w:rFonts w:ascii="Times New Roman" w:eastAsia="SimSun"/>
                <w:color w:val="1A2B40"/>
                <w:sz w:val="20"/>
                <w:szCs w:val="20"/>
              </w:rPr>
              <w:t xml:space="preserve">低</w:t>
            </w:r>
          </w:p>
        </w:tc>
        <w:tc>
          <w:tcPr>
            <w:tcW w:type="pct" w:w="10%"/>
            <w:tcMar>
              <w:top w:type="dxa" w:w="60"/>
              <w:left w:type="dxa" w:w="100"/>
              <w:bottom w:type="dxa" w:w="60"/>
              <w:right w:type="dxa" w:w="100"/>
            </w:tcMar>
          </w:tcPr>
          <w:p>
            <w:r>
              <w:rPr>
                <w:rFonts w:ascii="Times New Roman" w:eastAsia="SimSun"/>
                <w:color w:val="1A2B40"/>
                <w:sz w:val="20"/>
                <w:szCs w:val="20"/>
              </w:rPr>
              <w:t xml:space="preserve">中</w:t>
            </w:r>
          </w:p>
        </w:tc>
        <w:tc>
          <w:tcPr>
            <w:tcW w:type="pct" w:w="10%"/>
            <w:tcMar>
              <w:top w:type="dxa" w:w="60"/>
              <w:left w:type="dxa" w:w="100"/>
              <w:bottom w:type="dxa" w:w="60"/>
              <w:right w:type="dxa" w:w="100"/>
            </w:tcMar>
          </w:tcPr>
          <w:p>
            <w:r>
              <w:rPr>
                <w:rFonts w:ascii="Times New Roman" w:eastAsia="SimSun"/>
                <w:color w:val="1A2B40"/>
                <w:sz w:val="20"/>
                <w:szCs w:val="20"/>
              </w:rPr>
              <w:t xml:space="preserve">中</w:t>
            </w:r>
          </w:p>
        </w:tc>
        <w:tc>
          <w:tcPr>
            <w:tcW w:type="pct" w:w="48%"/>
            <w:tcMar>
              <w:top w:type="dxa" w:w="60"/>
              <w:left w:type="dxa" w:w="100"/>
              <w:bottom w:type="dxa" w:w="60"/>
              <w:right w:type="dxa" w:w="100"/>
            </w:tcMar>
          </w:tcPr>
          <w:p>
            <w:r>
              <w:rPr>
                <w:rFonts w:ascii="Times New Roman" w:eastAsia="SimSun"/>
                <w:color w:val="1A2B40"/>
                <w:sz w:val="20"/>
                <w:szCs w:val="20"/>
              </w:rPr>
              <w:t xml:space="preserve">监控+任务排队</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同步冲突</w:t>
            </w:r>
          </w:p>
        </w:tc>
        <w:tc>
          <w:tcPr>
            <w:tcW w:type="pct" w:w="10%"/>
            <w:tcMar>
              <w:top w:type="dxa" w:w="60"/>
              <w:left w:type="dxa" w:w="100"/>
              <w:bottom w:type="dxa" w:w="60"/>
              <w:right w:type="dxa" w:w="100"/>
            </w:tcMar>
          </w:tcPr>
          <w:p>
            <w:r>
              <w:rPr>
                <w:rFonts w:ascii="Times New Roman" w:eastAsia="SimSun"/>
                <w:color w:val="1A2B40"/>
                <w:sz w:val="20"/>
                <w:szCs w:val="20"/>
              </w:rPr>
              <w:t xml:space="preserve">中</w:t>
            </w:r>
          </w:p>
        </w:tc>
        <w:tc>
          <w:tcPr>
            <w:tcW w:type="pct" w:w="10%"/>
            <w:tcMar>
              <w:top w:type="dxa" w:w="60"/>
              <w:left w:type="dxa" w:w="100"/>
              <w:bottom w:type="dxa" w:w="60"/>
              <w:right w:type="dxa" w:w="100"/>
            </w:tcMar>
          </w:tcPr>
          <w:p>
            <w:r>
              <w:rPr>
                <w:rFonts w:ascii="Times New Roman" w:eastAsia="SimSun"/>
                <w:color w:val="1A2B40"/>
                <w:sz w:val="20"/>
                <w:szCs w:val="20"/>
              </w:rPr>
              <w:t xml:space="preserve">低</w:t>
            </w:r>
          </w:p>
        </w:tc>
        <w:tc>
          <w:tcPr>
            <w:tcW w:type="pct" w:w="10%"/>
            <w:tcMar>
              <w:top w:type="dxa" w:w="60"/>
              <w:left w:type="dxa" w:w="100"/>
              <w:bottom w:type="dxa" w:w="60"/>
              <w:right w:type="dxa" w:w="100"/>
            </w:tcMar>
          </w:tcPr>
          <w:p>
            <w:r>
              <w:rPr>
                <w:rFonts w:ascii="Times New Roman" w:eastAsia="SimSun"/>
                <w:color w:val="1A2B40"/>
                <w:sz w:val="20"/>
                <w:szCs w:val="20"/>
              </w:rPr>
              <w:t xml:space="preserve">中</w:t>
            </w:r>
          </w:p>
        </w:tc>
        <w:tc>
          <w:tcPr>
            <w:tcW w:type="pct" w:w="48%"/>
            <w:tcMar>
              <w:top w:type="dxa" w:w="60"/>
              <w:left w:type="dxa" w:w="100"/>
              <w:bottom w:type="dxa" w:w="60"/>
              <w:right w:type="dxa" w:w="100"/>
            </w:tcMar>
          </w:tcPr>
          <w:p>
            <w:r>
              <w:rPr>
                <w:rFonts w:ascii="Times New Roman" w:eastAsia="SimSun"/>
                <w:color w:val="1A2B40"/>
                <w:sz w:val="20"/>
                <w:szCs w:val="20"/>
              </w:rPr>
              <w:t xml:space="preserve">目录分离+手机只读</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云端LLM token到期</w:t>
            </w:r>
          </w:p>
        </w:tc>
        <w:tc>
          <w:tcPr>
            <w:tcW w:type="pct" w:w="10%"/>
            <w:tcMar>
              <w:top w:type="dxa" w:w="60"/>
              <w:left w:type="dxa" w:w="100"/>
              <w:bottom w:type="dxa" w:w="60"/>
              <w:right w:type="dxa" w:w="100"/>
            </w:tcMar>
          </w:tcPr>
          <w:p>
            <w:r>
              <w:rPr>
                <w:rFonts w:ascii="Times New Roman" w:eastAsia="SimSun"/>
                <w:color w:val="1A2B40"/>
                <w:sz w:val="20"/>
                <w:szCs w:val="20"/>
              </w:rPr>
              <w:t xml:space="preserve">确定</w:t>
            </w:r>
          </w:p>
        </w:tc>
        <w:tc>
          <w:tcPr>
            <w:tcW w:type="pct" w:w="10%"/>
            <w:tcMar>
              <w:top w:type="dxa" w:w="60"/>
              <w:left w:type="dxa" w:w="100"/>
              <w:bottom w:type="dxa" w:w="60"/>
              <w:right w:type="dxa" w:w="100"/>
            </w:tcMar>
          </w:tcPr>
          <w:p>
            <w:r>
              <w:rPr>
                <w:rFonts w:ascii="Times New Roman" w:eastAsia="SimSun"/>
                <w:color w:val="1A2B40"/>
                <w:sz w:val="20"/>
                <w:szCs w:val="20"/>
              </w:rPr>
              <w:t xml:space="preserve">中</w:t>
            </w:r>
          </w:p>
        </w:tc>
        <w:tc>
          <w:tcPr>
            <w:tcW w:type="pct" w:w="10%"/>
            <w:tcMar>
              <w:top w:type="dxa" w:w="60"/>
              <w:left w:type="dxa" w:w="100"/>
              <w:bottom w:type="dxa" w:w="60"/>
              <w:right w:type="dxa" w:w="100"/>
            </w:tcMar>
          </w:tcPr>
          <w:p>
            <w:r>
              <w:rPr>
                <w:rFonts w:ascii="Times New Roman" w:eastAsia="SimSun"/>
                <w:color w:val="1A2B40"/>
                <w:sz w:val="20"/>
                <w:szCs w:val="20"/>
              </w:rPr>
              <w:t xml:space="preserve">中</w:t>
            </w:r>
          </w:p>
        </w:tc>
        <w:tc>
          <w:tcPr>
            <w:tcW w:type="pct" w:w="48%"/>
            <w:tcMar>
              <w:top w:type="dxa" w:w="60"/>
              <w:left w:type="dxa" w:w="100"/>
              <w:bottom w:type="dxa" w:w="60"/>
              <w:right w:type="dxa" w:w="100"/>
            </w:tcMar>
          </w:tcPr>
          <w:p>
            <w:r>
              <w:rPr>
                <w:rFonts w:ascii="Times New Roman" w:eastAsia="SimSun"/>
                <w:color w:val="1A2B40"/>
                <w:sz w:val="20"/>
                <w:szCs w:val="20"/>
              </w:rPr>
              <w:t xml:space="preserve">提前部署本地LLM</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版权纠纷</w:t>
            </w:r>
          </w:p>
        </w:tc>
        <w:tc>
          <w:tcPr>
            <w:tcW w:type="pct" w:w="10%"/>
            <w:tcMar>
              <w:top w:type="dxa" w:w="60"/>
              <w:left w:type="dxa" w:w="100"/>
              <w:bottom w:type="dxa" w:w="60"/>
              <w:right w:type="dxa" w:w="100"/>
            </w:tcMar>
          </w:tcPr>
          <w:p>
            <w:r>
              <w:rPr>
                <w:rFonts w:ascii="Times New Roman" w:eastAsia="SimSun"/>
                <w:color w:val="1A2B40"/>
                <w:sz w:val="20"/>
                <w:szCs w:val="20"/>
              </w:rPr>
              <w:t xml:space="preserve">低</w:t>
            </w:r>
          </w:p>
        </w:tc>
        <w:tc>
          <w:tcPr>
            <w:tcW w:type="pct" w:w="10%"/>
            <w:tcMar>
              <w:top w:type="dxa" w:w="60"/>
              <w:left w:type="dxa" w:w="100"/>
              <w:bottom w:type="dxa" w:w="60"/>
              <w:right w:type="dxa" w:w="100"/>
            </w:tcMar>
          </w:tcPr>
          <w:p>
            <w:r>
              <w:rPr>
                <w:rFonts w:ascii="Times New Roman" w:eastAsia="SimSun"/>
                <w:color w:val="1A2B40"/>
                <w:sz w:val="20"/>
                <w:szCs w:val="20"/>
              </w:rPr>
              <w:t xml:space="preserve">高</w:t>
            </w:r>
          </w:p>
        </w:tc>
        <w:tc>
          <w:tcPr>
            <w:tcW w:type="pct" w:w="10%"/>
            <w:tcMar>
              <w:top w:type="dxa" w:w="60"/>
              <w:left w:type="dxa" w:w="100"/>
              <w:bottom w:type="dxa" w:w="60"/>
              <w:right w:type="dxa" w:w="100"/>
            </w:tcMar>
          </w:tcPr>
          <w:p>
            <w:r>
              <w:rPr>
                <w:rFonts w:ascii="Times New Roman" w:eastAsia="SimSun"/>
                <w:color w:val="1A2B40"/>
                <w:sz w:val="20"/>
                <w:szCs w:val="20"/>
              </w:rPr>
              <w:t xml:space="preserve">中</w:t>
            </w:r>
          </w:p>
        </w:tc>
        <w:tc>
          <w:tcPr>
            <w:tcW w:type="pct" w:w="48%"/>
            <w:tcMar>
              <w:top w:type="dxa" w:w="60"/>
              <w:left w:type="dxa" w:w="100"/>
              <w:bottom w:type="dxa" w:w="60"/>
              <w:right w:type="dxa" w:w="100"/>
            </w:tcMar>
          </w:tcPr>
          <w:p>
            <w:r>
              <w:rPr>
                <w:rFonts w:ascii="Times New Roman" w:eastAsia="SimSun"/>
                <w:color w:val="1A2B40"/>
                <w:sz w:val="20"/>
                <w:szCs w:val="20"/>
              </w:rPr>
              <w:t xml:space="preserve">仅文字+不公开+支持删除</w:t>
            </w:r>
          </w:p>
        </w:tc>
      </w:tr>
    </w:tbl>
    <w:p>
      <w:pPr>
        <w:pStyle w:val="Heading1"/>
        <w:spacing w:after="200" w:before="480" w:line="360"/>
      </w:pPr>
      <w:bookmarkStart w:id="100055" w:name="_Toc100055"/>
      <w:r>
        <w:rPr>
          <w:rFonts w:ascii="Calibri" w:eastAsia="SimHei"/>
          <w:b/>
          <w:bCs/>
          <w:color w:val="0A1628"/>
          <w:sz w:val="32"/>
          <w:szCs w:val="32"/>
        </w:rPr>
        <w:t xml:space="preserve">实施路线图</w:t>
      </w:r>
      <w:bookmarkEnd w:id="100055"/>
    </w:p>
    <w:p>
      <w:pPr>
        <w:spacing w:after="80" w:line="312"/>
        <w:ind w:firstLine="480"/>
        <w:jc w:val="both"/>
      </w:pPr>
      <w:r>
        <w:rPr>
          <w:rFonts w:ascii="Times New Roman" w:eastAsia="SimSun"/>
          <w:color w:val="1A2B40"/>
          <w:sz w:val="24"/>
          <w:szCs w:val="24"/>
        </w:rPr>
        <w:t xml:space="preserve">v2.0路线图相比v1.0简化，因为飞书bot→OpenClaw对接已完成，无需Phase 5的复杂配置。主要工作集中在工具链集成（字幕、Whisper、VLM）和多路同步配置。</w:t>
      </w:r>
    </w:p>
    <w:p>
      <w:pPr>
        <w:pStyle w:val="Heading2"/>
        <w:spacing w:after="140" w:before="320" w:line="312"/>
      </w:pPr>
      <w:bookmarkStart w:id="100056" w:name="_Toc100056"/>
      <w:r>
        <w:rPr>
          <w:rFonts w:ascii="Calibri" w:eastAsia="SimHei"/>
          <w:b/>
          <w:bCs/>
          <w:color w:val="0A1628"/>
          <w:sz w:val="28"/>
          <w:szCs w:val="28"/>
        </w:rPr>
        <w:t xml:space="preserve">10.1 Phase 1 MVP（第1周）</w:t>
      </w:r>
      <w:bookmarkEnd w:id="100056"/>
    </w:p>
    <w:p>
      <w:pPr>
        <w:spacing w:after="80" w:line="312"/>
        <w:ind w:firstLine="480"/>
        <w:jc w:val="both"/>
      </w:pPr>
      <w:r>
        <w:rPr>
          <w:rFonts w:ascii="Times New Roman" w:eastAsia="SimSun"/>
          <w:color w:val="1A2B40"/>
          <w:sz w:val="24"/>
          <w:szCs w:val="24"/>
        </w:rPr>
        <w:t xml:space="preserve">目标：在PC上手动跑通“抖音链接→视频+字幕→转写（字幕或Whisper）→Obsidian笔记”的核心链路，暂不接入飞书bot回执。用户通过命令行手动传入抖音URL触发处理。这一阶段重点是验证字幕优先策略和GPU Whisper可用。</w:t>
      </w:r>
    </w:p>
    <w:p>
      <w:pPr>
        <w:spacing w:after="80" w:line="312"/>
        <w:ind w:firstLine="480"/>
        <w:jc w:val="both"/>
      </w:pPr>
      <w:r>
        <w:rPr>
          <w:rFonts w:ascii="Times New Roman" w:eastAsia="SimSun"/>
          <w:color w:val="1A2B40"/>
          <w:sz w:val="24"/>
          <w:szCs w:val="24"/>
        </w:rPr>
        <w:t xml:space="preserve">具体任务：安装Python 3.10+、ffmpeg、yt-dlp、faster-whisper（GPU版本）；配置4070s显卡驱动和CUDA；创建Obsidian Vault并配置Syncthing同步；编写downloader.py（含字幕下载）、subtitle_parser.py、whisper_fallback.py、writer.py四个核心模块；编写pipeline.py作为主调度入口实现字幕优先逻辑；手动测试5条不同视频（3条有字幕+2条无字幕）验证两条路径。验收标准：手动执行python pipeline.py &lt;抖音URL&gt;后，Vault中出现笔记且frontmatter的transcript_source字段正确反映来源。</w:t>
      </w:r>
    </w:p>
    <w:p>
      <w:pPr>
        <w:pStyle w:val="Heading2"/>
        <w:spacing w:after="140" w:before="320" w:line="312"/>
      </w:pPr>
      <w:bookmarkStart w:id="100057" w:name="_Toc100057"/>
      <w:r>
        <w:rPr>
          <w:rFonts w:ascii="Calibri" w:eastAsia="SimHei"/>
          <w:b/>
          <w:bCs/>
          <w:color w:val="0A1628"/>
          <w:sz w:val="28"/>
          <w:szCs w:val="28"/>
        </w:rPr>
        <w:t xml:space="preserve">10.2 Phase 2 完整链路（第2周）</w:t>
      </w:r>
      <w:bookmarkEnd w:id="100057"/>
    </w:p>
    <w:p>
      <w:pPr>
        <w:spacing w:after="80" w:line="312"/>
        <w:ind w:firstLine="480"/>
        <w:jc w:val="both"/>
      </w:pPr>
      <w:r>
        <w:rPr>
          <w:rFonts w:ascii="Times New Roman" w:eastAsia="SimSun"/>
          <w:color w:val="1A2B40"/>
          <w:sz w:val="24"/>
          <w:szCs w:val="24"/>
        </w:rPr>
        <w:t xml:space="preserve">目标：接入OpenClaw编排和飞书bot，实现“手机发送链接→自动归档→飞书回执”的完整闭环。这一阶段复用用户已有的飞书bot→OpenClaw对接，主要工作是OpenClaw工作流配置和工具注册。</w:t>
      </w:r>
    </w:p>
    <w:p>
      <w:pPr>
        <w:spacing w:after="80" w:line="312"/>
        <w:ind w:firstLine="480"/>
        <w:jc w:val="both"/>
      </w:pPr>
      <w:r>
        <w:rPr>
          <w:rFonts w:ascii="Times New Roman" w:eastAsia="SimSun"/>
          <w:color w:val="1A2B40"/>
          <w:sz w:val="24"/>
          <w:szCs w:val="24"/>
        </w:rPr>
        <w:t xml:space="preserve">具体任务：在OpenClaw中注册yt-dlp、faster-whisper、ffmpeg、filesystem_write等工具；编写openclaw-workflow.yaml声明完整工作流；扩展OpenClaw事件路由识别抖音链接并触发工作流；实现飞书主动发消息回执功能；配置OpenClaw开机自启动；端到端联调测试20条以上视频。验收标准：手机发送链接后2-4分钟内Vault出现笔记、手机端Syncthing同步可见、飞书收到归档完成回执。</w:t>
      </w:r>
    </w:p>
    <w:p>
      <w:pPr>
        <w:pStyle w:val="Heading2"/>
        <w:spacing w:after="140" w:before="320" w:line="312"/>
      </w:pPr>
      <w:bookmarkStart w:id="100058" w:name="_Toc100058"/>
      <w:r>
        <w:rPr>
          <w:rFonts w:ascii="Calibri" w:eastAsia="SimHei"/>
          <w:b/>
          <w:bCs/>
          <w:color w:val="0A1628"/>
          <w:sz w:val="28"/>
          <w:szCs w:val="28"/>
        </w:rPr>
        <w:t xml:space="preserve">10.3 Phase 3 优化（第3-4周）</w:t>
      </w:r>
      <w:bookmarkEnd w:id="100058"/>
    </w:p>
    <w:p>
      <w:pPr>
        <w:spacing w:after="80" w:line="312"/>
        <w:ind w:firstLine="480"/>
        <w:jc w:val="both"/>
      </w:pPr>
      <w:r>
        <w:rPr>
          <w:rFonts w:ascii="Times New Roman" w:eastAsia="SimSun"/>
          <w:color w:val="1A2B40"/>
          <w:sz w:val="24"/>
          <w:szCs w:val="24"/>
        </w:rPr>
        <w:t xml:space="preserve">目标：增加VLM关键帧理解、Git版本控制、iCloud/OneDrive云盘备份三层同步，完善用户体验。这一阶段不增加主链路功能，专注于提升笔记质量和数据安全。</w:t>
      </w:r>
    </w:p>
    <w:p>
      <w:pPr>
        <w:spacing w:after="80" w:line="312"/>
        <w:ind w:firstLine="480"/>
        <w:jc w:val="both"/>
      </w:pPr>
      <w:r>
        <w:rPr>
          <w:rFonts w:ascii="Times New Roman" w:eastAsia="SimSun"/>
          <w:color w:val="1A2B40"/>
          <w:sz w:val="24"/>
          <w:szCs w:val="24"/>
        </w:rPr>
        <w:t xml:space="preserve">具体任务：部署本地VLM（Qwen2-VL-7B通过Ollama）或配置云端VLM API；编写keyframe_extract.py和vlm_understand.py模块；在OpenClaw工作流中集成VLM步骤（可选启用）；配置Vault目录为Git仓库并设置私仓远程；编写auto_commit.sh脚本每写完笔记自动commit+push；配置iCloud/OneDrive镜像同步（rsync定时任务或符号链接）；优化Prompt模板（A/B测试不同Prompt的总结质量）。验收标准：VLM启用的笔记画面要点区块非空，Git历史有连续commit记录，iCloud/OneDrive云端可见Vault镜像。</w:t>
      </w:r>
    </w:p>
    <w:p>
      <w:pPr>
        <w:pStyle w:val="Heading2"/>
        <w:spacing w:after="140" w:before="320" w:line="312"/>
      </w:pPr>
      <w:bookmarkStart w:id="100059" w:name="_Toc100059"/>
      <w:r>
        <w:rPr>
          <w:rFonts w:ascii="Calibri" w:eastAsia="SimHei"/>
          <w:b/>
          <w:bCs/>
          <w:color w:val="0A1628"/>
          <w:sz w:val="28"/>
          <w:szCs w:val="28"/>
        </w:rPr>
        <w:t xml:space="preserve">10.4 Phase 4 长期切换（第5周起，按需）</w:t>
      </w:r>
      <w:bookmarkEnd w:id="100059"/>
    </w:p>
    <w:p>
      <w:pPr>
        <w:spacing w:after="80" w:line="312"/>
        <w:ind w:firstLine="480"/>
        <w:jc w:val="both"/>
      </w:pPr>
      <w:r>
        <w:rPr>
          <w:rFonts w:ascii="Times New Roman" w:eastAsia="SimSun"/>
          <w:color w:val="1A2B40"/>
          <w:sz w:val="24"/>
          <w:szCs w:val="24"/>
        </w:rPr>
        <w:t xml:space="preserve">目标：在云端LLM token到期前完成本地LLM切换，并按需扩展能力。这一阶段的需求来自实际使用痛点而非预设。</w:t>
      </w:r>
    </w:p>
    <w:p>
      <w:pPr>
        <w:spacing w:after="80" w:line="312"/>
        <w:ind w:firstLine="480"/>
        <w:jc w:val="both"/>
      </w:pPr>
      <w:r>
        <w:rPr>
          <w:rFonts w:ascii="Times New Roman" w:eastAsia="SimSun"/>
          <w:color w:val="1A2B40"/>
          <w:sz w:val="24"/>
          <w:szCs w:val="24"/>
        </w:rPr>
        <w:t xml:space="preserve">候选扩展方向：第一，部署Qwen2.5-7B本地LLM替换Claude云端调用；第二，支持B站和YouTube（复用yt-dlp，新增URL识别逻辑）；第三，移动端打开历史笔记的快捷方式（Shortcuts+Obsidian URL Scheme）；第四，跨笔记的话题聚类和知识图谱可视化；第五，多用户支持（家庭成员共享Vault）。每个扩展需求需单独评估ROI后再决定是否实施。</w:t>
      </w:r>
    </w:p>
    <w:p>
      <w:pPr>
        <w:keepNext/>
        <w:spacing w:after="80" w:before="200"/>
      </w:pPr>
      <w:r>
        <w:rPr>
          <w:rFonts w:ascii="Calibri" w:eastAsia="SimHei"/>
          <w:b/>
          <w:bCs/>
          <w:color w:val="0A1628"/>
          <w:sz w:val="21"/>
          <w:szCs w:val="21"/>
        </w:rPr>
        <w:t xml:space="preserve">表10-1 v2.0实施路线图时间表</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gridCol w:w="100"/>
        <w:gridCol w:w="100"/>
      </w:tblGrid>
      <w:tr>
        <w:trPr>
          <w:cantSplit/>
          <w:tblHeader/>
        </w:trPr>
        <w:tc>
          <w:tcPr>
            <w:tcW w:type="pct" w:w="1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阶段</w:t>
            </w:r>
          </w:p>
        </w:tc>
        <w:tc>
          <w:tcPr>
            <w:tcW w:type="pct" w:w="1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时间</w:t>
            </w:r>
          </w:p>
        </w:tc>
        <w:tc>
          <w:tcPr>
            <w:tcW w:type="pct" w:w="36%"/>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主要交付物</w:t>
            </w:r>
          </w:p>
        </w:tc>
        <w:tc>
          <w:tcPr>
            <w:tcW w:type="pct" w:w="14%"/>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投入(人天)</w:t>
            </w:r>
          </w:p>
        </w:tc>
        <w:tc>
          <w:tcPr>
            <w:tcW w:type="pct" w:w="20%"/>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里程碑</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Phase 1 MVP</w:t>
            </w:r>
          </w:p>
        </w:tc>
        <w:tc>
          <w:tcPr>
            <w:tcW w:type="pct" w:w="12%"/>
            <w:tcMar>
              <w:top w:type="dxa" w:w="60"/>
              <w:left w:type="dxa" w:w="100"/>
              <w:bottom w:type="dxa" w:w="60"/>
              <w:right w:type="dxa" w:w="100"/>
            </w:tcMar>
          </w:tcPr>
          <w:p>
            <w:r>
              <w:rPr>
                <w:rFonts w:ascii="Times New Roman" w:eastAsia="SimSun"/>
                <w:color w:val="1A2B40"/>
                <w:sz w:val="20"/>
                <w:szCs w:val="20"/>
              </w:rPr>
              <w:t xml:space="preserve">第1周</w:t>
            </w:r>
          </w:p>
        </w:tc>
        <w:tc>
          <w:tcPr>
            <w:tcW w:type="pct" w:w="36%"/>
            <w:tcMar>
              <w:top w:type="dxa" w:w="60"/>
              <w:left w:type="dxa" w:w="100"/>
              <w:bottom w:type="dxa" w:w="60"/>
              <w:right w:type="dxa" w:w="100"/>
            </w:tcMar>
          </w:tcPr>
          <w:p>
            <w:r>
              <w:rPr>
                <w:rFonts w:ascii="Times New Roman" w:eastAsia="SimSun"/>
                <w:color w:val="1A2B40"/>
                <w:sz w:val="20"/>
                <w:szCs w:val="20"/>
              </w:rPr>
              <w:t xml:space="preserve">4模块+pipeline+GPU whisper</w:t>
            </w:r>
          </w:p>
        </w:tc>
        <w:tc>
          <w:tcPr>
            <w:tcW w:type="pct" w:w="14%"/>
            <w:tcMar>
              <w:top w:type="dxa" w:w="60"/>
              <w:left w:type="dxa" w:w="100"/>
              <w:bottom w:type="dxa" w:w="60"/>
              <w:right w:type="dxa" w:w="100"/>
            </w:tcMar>
          </w:tcPr>
          <w:p>
            <w:r>
              <w:rPr>
                <w:rFonts w:ascii="Times New Roman" w:eastAsia="SimSun"/>
                <w:color w:val="1A2B40"/>
                <w:sz w:val="20"/>
                <w:szCs w:val="20"/>
              </w:rPr>
              <w:t xml:space="preserve">4</w:t>
            </w:r>
          </w:p>
        </w:tc>
        <w:tc>
          <w:tcPr>
            <w:tcW w:type="pct" w:w="20%"/>
            <w:tcMar>
              <w:top w:type="dxa" w:w="60"/>
              <w:left w:type="dxa" w:w="100"/>
              <w:bottom w:type="dxa" w:w="60"/>
              <w:right w:type="dxa" w:w="100"/>
            </w:tcMar>
          </w:tcPr>
          <w:p>
            <w:r>
              <w:rPr>
                <w:rFonts w:ascii="Times New Roman" w:eastAsia="SimSun"/>
                <w:color w:val="1A2B40"/>
                <w:sz w:val="20"/>
                <w:szCs w:val="20"/>
              </w:rPr>
              <w:t xml:space="preserve">命令行字幕优先跑通</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Phase 2 完整链路</w:t>
            </w:r>
          </w:p>
        </w:tc>
        <w:tc>
          <w:tcPr>
            <w:tcW w:type="pct" w:w="12%"/>
            <w:tcMar>
              <w:top w:type="dxa" w:w="60"/>
              <w:left w:type="dxa" w:w="100"/>
              <w:bottom w:type="dxa" w:w="60"/>
              <w:right w:type="dxa" w:w="100"/>
            </w:tcMar>
          </w:tcPr>
          <w:p>
            <w:r>
              <w:rPr>
                <w:rFonts w:ascii="Times New Roman" w:eastAsia="SimSun"/>
                <w:color w:val="1A2B40"/>
                <w:sz w:val="20"/>
                <w:szCs w:val="20"/>
              </w:rPr>
              <w:t xml:space="preserve">第2周</w:t>
            </w:r>
          </w:p>
        </w:tc>
        <w:tc>
          <w:tcPr>
            <w:tcW w:type="pct" w:w="36%"/>
            <w:tcMar>
              <w:top w:type="dxa" w:w="60"/>
              <w:left w:type="dxa" w:w="100"/>
              <w:bottom w:type="dxa" w:w="60"/>
              <w:right w:type="dxa" w:w="100"/>
            </w:tcMar>
          </w:tcPr>
          <w:p>
            <w:r>
              <w:rPr>
                <w:rFonts w:ascii="Times New Roman" w:eastAsia="SimSun"/>
                <w:color w:val="1A2B40"/>
                <w:sz w:val="20"/>
                <w:szCs w:val="20"/>
              </w:rPr>
              <w:t xml:space="preserve">OpenClaw工作流+飞书回执</w:t>
            </w:r>
          </w:p>
        </w:tc>
        <w:tc>
          <w:tcPr>
            <w:tcW w:type="pct" w:w="14%"/>
            <w:tcMar>
              <w:top w:type="dxa" w:w="60"/>
              <w:left w:type="dxa" w:w="100"/>
              <w:bottom w:type="dxa" w:w="60"/>
              <w:right w:type="dxa" w:w="100"/>
            </w:tcMar>
          </w:tcPr>
          <w:p>
            <w:r>
              <w:rPr>
                <w:rFonts w:ascii="Times New Roman" w:eastAsia="SimSun"/>
                <w:color w:val="1A2B40"/>
                <w:sz w:val="20"/>
                <w:szCs w:val="20"/>
              </w:rPr>
              <w:t xml:space="preserve">4</w:t>
            </w:r>
          </w:p>
        </w:tc>
        <w:tc>
          <w:tcPr>
            <w:tcW w:type="pct" w:w="20%"/>
            <w:tcMar>
              <w:top w:type="dxa" w:w="60"/>
              <w:left w:type="dxa" w:w="100"/>
              <w:bottom w:type="dxa" w:w="60"/>
              <w:right w:type="dxa" w:w="100"/>
            </w:tcMar>
          </w:tcPr>
          <w:p>
            <w:r>
              <w:rPr>
                <w:rFonts w:ascii="Times New Roman" w:eastAsia="SimSun"/>
                <w:color w:val="1A2B40"/>
                <w:sz w:val="20"/>
                <w:szCs w:val="20"/>
              </w:rPr>
              <w:t xml:space="preserve">手机端到端可用</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Phase 3 优化</w:t>
            </w:r>
          </w:p>
        </w:tc>
        <w:tc>
          <w:tcPr>
            <w:tcW w:type="pct" w:w="12%"/>
            <w:tcMar>
              <w:top w:type="dxa" w:w="60"/>
              <w:left w:type="dxa" w:w="100"/>
              <w:bottom w:type="dxa" w:w="60"/>
              <w:right w:type="dxa" w:w="100"/>
            </w:tcMar>
          </w:tcPr>
          <w:p>
            <w:r>
              <w:rPr>
                <w:rFonts w:ascii="Times New Roman" w:eastAsia="SimSun"/>
                <w:color w:val="1A2B40"/>
                <w:sz w:val="20"/>
                <w:szCs w:val="20"/>
              </w:rPr>
              <w:t xml:space="preserve">第3-4周</w:t>
            </w:r>
          </w:p>
        </w:tc>
        <w:tc>
          <w:tcPr>
            <w:tcW w:type="pct" w:w="36%"/>
            <w:tcMar>
              <w:top w:type="dxa" w:w="60"/>
              <w:left w:type="dxa" w:w="100"/>
              <w:bottom w:type="dxa" w:w="60"/>
              <w:right w:type="dxa" w:w="100"/>
            </w:tcMar>
          </w:tcPr>
          <w:p>
            <w:r>
              <w:rPr>
                <w:rFonts w:ascii="Times New Roman" w:eastAsia="SimSun"/>
                <w:color w:val="1A2B40"/>
                <w:sz w:val="20"/>
                <w:szCs w:val="20"/>
              </w:rPr>
              <w:t xml:space="preserve">VLM+Git+iCloud三层同步</w:t>
            </w:r>
          </w:p>
        </w:tc>
        <w:tc>
          <w:tcPr>
            <w:tcW w:type="pct" w:w="14%"/>
            <w:tcMar>
              <w:top w:type="dxa" w:w="60"/>
              <w:left w:type="dxa" w:w="100"/>
              <w:bottom w:type="dxa" w:w="60"/>
              <w:right w:type="dxa" w:w="100"/>
            </w:tcMar>
          </w:tcPr>
          <w:p>
            <w:r>
              <w:rPr>
                <w:rFonts w:ascii="Times New Roman" w:eastAsia="SimSun"/>
                <w:color w:val="1A2B40"/>
                <w:sz w:val="20"/>
                <w:szCs w:val="20"/>
              </w:rPr>
              <w:t xml:space="preserve">5</w:t>
            </w:r>
          </w:p>
        </w:tc>
        <w:tc>
          <w:tcPr>
            <w:tcW w:type="pct" w:w="20%"/>
            <w:tcMar>
              <w:top w:type="dxa" w:w="60"/>
              <w:left w:type="dxa" w:w="100"/>
              <w:bottom w:type="dxa" w:w="60"/>
              <w:right w:type="dxa" w:w="100"/>
            </w:tcMar>
          </w:tcPr>
          <w:p>
            <w:r>
              <w:rPr>
                <w:rFonts w:ascii="Times New Roman" w:eastAsia="SimSun"/>
                <w:color w:val="1A2B40"/>
                <w:sz w:val="20"/>
                <w:szCs w:val="20"/>
              </w:rPr>
              <w:t xml:space="preserve">三层同步稳定运行</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Phase 4 长期切换</w:t>
            </w:r>
          </w:p>
        </w:tc>
        <w:tc>
          <w:tcPr>
            <w:tcW w:type="pct" w:w="12%"/>
            <w:tcMar>
              <w:top w:type="dxa" w:w="60"/>
              <w:left w:type="dxa" w:w="100"/>
              <w:bottom w:type="dxa" w:w="60"/>
              <w:right w:type="dxa" w:w="100"/>
            </w:tcMar>
          </w:tcPr>
          <w:p>
            <w:r>
              <w:rPr>
                <w:rFonts w:ascii="Times New Roman" w:eastAsia="SimSun"/>
                <w:color w:val="1A2B40"/>
                <w:sz w:val="20"/>
                <w:szCs w:val="20"/>
              </w:rPr>
              <w:t xml:space="preserve">第5周起</w:t>
            </w:r>
          </w:p>
        </w:tc>
        <w:tc>
          <w:tcPr>
            <w:tcW w:type="pct" w:w="36%"/>
            <w:tcMar>
              <w:top w:type="dxa" w:w="60"/>
              <w:left w:type="dxa" w:w="100"/>
              <w:bottom w:type="dxa" w:w="60"/>
              <w:right w:type="dxa" w:w="100"/>
            </w:tcMar>
          </w:tcPr>
          <w:p>
            <w:r>
              <w:rPr>
                <w:rFonts w:ascii="Times New Roman" w:eastAsia="SimSun"/>
                <w:color w:val="1A2B40"/>
                <w:sz w:val="20"/>
                <w:szCs w:val="20"/>
              </w:rPr>
              <w:t xml:space="preserve">本地LLM+按需扩展</w:t>
            </w:r>
          </w:p>
        </w:tc>
        <w:tc>
          <w:tcPr>
            <w:tcW w:type="pct" w:w="14%"/>
            <w:tcMar>
              <w:top w:type="dxa" w:w="60"/>
              <w:left w:type="dxa" w:w="100"/>
              <w:bottom w:type="dxa" w:w="60"/>
              <w:right w:type="dxa" w:w="100"/>
            </w:tcMar>
          </w:tcPr>
          <w:p>
            <w:r>
              <w:rPr>
                <w:rFonts w:ascii="Times New Roman" w:eastAsia="SimSun"/>
                <w:color w:val="1A2B40"/>
                <w:sz w:val="20"/>
                <w:szCs w:val="20"/>
              </w:rPr>
              <w:t xml:space="preserve">可选</w:t>
            </w:r>
          </w:p>
        </w:tc>
        <w:tc>
          <w:tcPr>
            <w:tcW w:type="pct" w:w="20%"/>
            <w:tcMar>
              <w:top w:type="dxa" w:w="60"/>
              <w:left w:type="dxa" w:w="100"/>
              <w:bottom w:type="dxa" w:w="60"/>
              <w:right w:type="dxa" w:w="100"/>
            </w:tcMar>
          </w:tcPr>
          <w:p>
            <w:r>
              <w:rPr>
                <w:rFonts w:ascii="Times New Roman" w:eastAsia="SimSun"/>
                <w:color w:val="1A2B40"/>
                <w:sz w:val="20"/>
                <w:szCs w:val="20"/>
              </w:rPr>
              <w:t xml:space="preserve">—</w:t>
            </w:r>
          </w:p>
        </w:tc>
      </w:tr>
    </w:tbl>
    <w:p>
      <w:pPr>
        <w:pStyle w:val="Heading1"/>
        <w:spacing w:after="200" w:before="480" w:line="360"/>
      </w:pPr>
      <w:bookmarkStart w:id="100060" w:name="_Toc100060"/>
      <w:r>
        <w:rPr>
          <w:rFonts w:ascii="Calibri" w:eastAsia="SimHei"/>
          <w:b/>
          <w:bCs/>
          <w:color w:val="0A1628"/>
          <w:sz w:val="32"/>
          <w:szCs w:val="32"/>
        </w:rPr>
        <w:t xml:space="preserve">成本与资源评估</w:t>
      </w:r>
      <w:bookmarkEnd w:id="100060"/>
    </w:p>
    <w:p>
      <w:pPr>
        <w:pStyle w:val="Heading2"/>
        <w:spacing w:after="140" w:before="320" w:line="312"/>
      </w:pPr>
      <w:bookmarkStart w:id="100061" w:name="_Toc100061"/>
      <w:r>
        <w:rPr>
          <w:rFonts w:ascii="Calibri" w:eastAsia="SimHei"/>
          <w:b/>
          <w:bCs/>
          <w:color w:val="0A1628"/>
          <w:sz w:val="28"/>
          <w:szCs w:val="28"/>
        </w:rPr>
        <w:t xml:space="preserve">11.1 一次性成本</w:t>
      </w:r>
      <w:bookmarkEnd w:id="100061"/>
    </w:p>
    <w:p>
      <w:pPr>
        <w:spacing w:after="80" w:line="312"/>
        <w:ind w:firstLine="480"/>
        <w:jc w:val="both"/>
      </w:pPr>
      <w:r>
        <w:rPr>
          <w:rFonts w:ascii="Times New Roman" w:eastAsia="SimSun"/>
          <w:color w:val="1A2B40"/>
          <w:sz w:val="24"/>
          <w:szCs w:val="24"/>
        </w:rPr>
        <w:t xml:space="preserve">一次性成本主要是开发时间投入。根据Phase 1-3的工作量估算，总投入约13人天（按每日4小时有效开发计算），相比v1.0的18人天减少5人天，主要节省来自飞书bot对接已存在。若用户具备Python基础和GPU开发经验，实际投入可能在10人天左右。</w:t>
      </w:r>
    </w:p>
    <w:p>
      <w:pPr>
        <w:pStyle w:val="Heading2"/>
        <w:spacing w:after="140" w:before="320" w:line="312"/>
      </w:pPr>
      <w:bookmarkStart w:id="100062" w:name="_Toc100062"/>
      <w:r>
        <w:rPr>
          <w:rFonts w:ascii="Calibri" w:eastAsia="SimHei"/>
          <w:b/>
          <w:bCs/>
          <w:color w:val="0A1628"/>
          <w:sz w:val="28"/>
          <w:szCs w:val="28"/>
        </w:rPr>
        <w:t xml:space="preserve">11.2 持续成本</w:t>
      </w:r>
      <w:bookmarkEnd w:id="100062"/>
    </w:p>
    <w:p>
      <w:pPr>
        <w:spacing w:after="80" w:line="312"/>
        <w:ind w:firstLine="480"/>
        <w:jc w:val="both"/>
      </w:pPr>
      <w:r>
        <w:rPr>
          <w:rFonts w:ascii="Times New Roman" w:eastAsia="SimSun"/>
          <w:color w:val="1A2B40"/>
          <w:sz w:val="24"/>
          <w:szCs w:val="24"/>
        </w:rPr>
        <w:t xml:space="preserve">v2.0持续成本相比v1.0大幅降低，无任何订阅费用，仅GPU电费。下表给出月度持续成本估算（按日均处理5条视频计算）。</w:t>
      </w:r>
    </w:p>
    <w:p>
      <w:pPr>
        <w:keepNext/>
        <w:spacing w:after="80" w:before="200"/>
      </w:pPr>
      <w:r>
        <w:rPr>
          <w:rFonts w:ascii="Calibri" w:eastAsia="SimHei"/>
          <w:b/>
          <w:bCs/>
          <w:color w:val="0A1628"/>
          <w:sz w:val="21"/>
          <w:szCs w:val="21"/>
        </w:rPr>
        <w:t xml:space="preserve">表11-1 v2.0月度持续成本估算</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gridCol w:w="100"/>
        <w:gridCol w:w="100"/>
      </w:tblGrid>
      <w:tr>
        <w:trPr>
          <w:cantSplit/>
          <w:tblHeader/>
        </w:trPr>
        <w:tc>
          <w:tcPr>
            <w:tcW w:type="pct" w:w="2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项目</w:t>
            </w:r>
          </w:p>
        </w:tc>
        <w:tc>
          <w:tcPr>
            <w:tcW w:type="pct" w:w="2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方案</w:t>
            </w:r>
          </w:p>
        </w:tc>
        <w:tc>
          <w:tcPr>
            <w:tcW w:type="pct" w:w="16%"/>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月度成本</w:t>
            </w:r>
          </w:p>
        </w:tc>
        <w:tc>
          <w:tcPr>
            <w:tcW w:type="pct" w:w="16%"/>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年度成本</w:t>
            </w:r>
          </w:p>
        </w:tc>
        <w:tc>
          <w:tcPr>
            <w:tcW w:type="pct" w:w="24%"/>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备注</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Obsidian同步</w:t>
            </w:r>
          </w:p>
        </w:tc>
        <w:tc>
          <w:tcPr>
            <w:tcW w:type="pct" w:w="22%"/>
            <w:tcMar>
              <w:top w:type="dxa" w:w="60"/>
              <w:left w:type="dxa" w:w="100"/>
              <w:bottom w:type="dxa" w:w="60"/>
              <w:right w:type="dxa" w:w="100"/>
            </w:tcMar>
          </w:tcPr>
          <w:p>
            <w:r>
              <w:rPr>
                <w:rFonts w:ascii="Times New Roman" w:eastAsia="SimSun"/>
                <w:color w:val="1A2B40"/>
                <w:sz w:val="20"/>
                <w:szCs w:val="20"/>
              </w:rPr>
              <w:t xml:space="preserve">Syncthing P2P</w:t>
            </w:r>
          </w:p>
        </w:tc>
        <w:tc>
          <w:tcPr>
            <w:tcW w:type="pct" w:w="16%"/>
            <w:tcMar>
              <w:top w:type="dxa" w:w="60"/>
              <w:left w:type="dxa" w:w="100"/>
              <w:bottom w:type="dxa" w:w="60"/>
              <w:right w:type="dxa" w:w="100"/>
            </w:tcMar>
          </w:tcPr>
          <w:p>
            <w:r>
              <w:rPr>
                <w:rFonts w:ascii="Times New Roman" w:eastAsia="SimSun"/>
                <w:color w:val="1A2B40"/>
                <w:sz w:val="20"/>
                <w:szCs w:val="20"/>
              </w:rPr>
              <w:t xml:space="preserve">¥0</w:t>
            </w:r>
          </w:p>
        </w:tc>
        <w:tc>
          <w:tcPr>
            <w:tcW w:type="pct" w:w="16%"/>
            <w:tcMar>
              <w:top w:type="dxa" w:w="60"/>
              <w:left w:type="dxa" w:w="100"/>
              <w:bottom w:type="dxa" w:w="60"/>
              <w:right w:type="dxa" w:w="100"/>
            </w:tcMar>
          </w:tcPr>
          <w:p>
            <w:r>
              <w:rPr>
                <w:rFonts w:ascii="Times New Roman" w:eastAsia="SimSun"/>
                <w:color w:val="1A2B40"/>
                <w:sz w:val="20"/>
                <w:szCs w:val="20"/>
              </w:rPr>
              <w:t xml:space="preserve">¥0</w:t>
            </w:r>
          </w:p>
        </w:tc>
        <w:tc>
          <w:tcPr>
            <w:tcW w:type="pct" w:w="24%"/>
            <w:tcMar>
              <w:top w:type="dxa" w:w="60"/>
              <w:left w:type="dxa" w:w="100"/>
              <w:bottom w:type="dxa" w:w="60"/>
              <w:right w:type="dxa" w:w="100"/>
            </w:tcMar>
          </w:tcPr>
          <w:p>
            <w:r>
              <w:rPr>
                <w:rFonts w:ascii="Times New Roman" w:eastAsia="SimSun"/>
                <w:color w:val="1A2B40"/>
                <w:sz w:val="20"/>
                <w:szCs w:val="20"/>
              </w:rPr>
              <w:t xml:space="preserve">免费开源</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版本控制</w:t>
            </w:r>
          </w:p>
        </w:tc>
        <w:tc>
          <w:tcPr>
            <w:tcW w:type="pct" w:w="22%"/>
            <w:tcMar>
              <w:top w:type="dxa" w:w="60"/>
              <w:left w:type="dxa" w:w="100"/>
              <w:bottom w:type="dxa" w:w="60"/>
              <w:right w:type="dxa" w:w="100"/>
            </w:tcMar>
          </w:tcPr>
          <w:p>
            <w:r>
              <w:rPr>
                <w:rFonts w:ascii="Times New Roman" w:eastAsia="SimSun"/>
                <w:color w:val="1A2B40"/>
                <w:sz w:val="20"/>
                <w:szCs w:val="20"/>
              </w:rPr>
              <w:t xml:space="preserve">Git+GitHub私仓</w:t>
            </w:r>
          </w:p>
        </w:tc>
        <w:tc>
          <w:tcPr>
            <w:tcW w:type="pct" w:w="16%"/>
            <w:tcMar>
              <w:top w:type="dxa" w:w="60"/>
              <w:left w:type="dxa" w:w="100"/>
              <w:bottom w:type="dxa" w:w="60"/>
              <w:right w:type="dxa" w:w="100"/>
            </w:tcMar>
          </w:tcPr>
          <w:p>
            <w:r>
              <w:rPr>
                <w:rFonts w:ascii="Times New Roman" w:eastAsia="SimSun"/>
                <w:color w:val="1A2B40"/>
                <w:sz w:val="20"/>
                <w:szCs w:val="20"/>
              </w:rPr>
              <w:t xml:space="preserve">¥0</w:t>
            </w:r>
          </w:p>
        </w:tc>
        <w:tc>
          <w:tcPr>
            <w:tcW w:type="pct" w:w="16%"/>
            <w:tcMar>
              <w:top w:type="dxa" w:w="60"/>
              <w:left w:type="dxa" w:w="100"/>
              <w:bottom w:type="dxa" w:w="60"/>
              <w:right w:type="dxa" w:w="100"/>
            </w:tcMar>
          </w:tcPr>
          <w:p>
            <w:r>
              <w:rPr>
                <w:rFonts w:ascii="Times New Roman" w:eastAsia="SimSun"/>
                <w:color w:val="1A2B40"/>
                <w:sz w:val="20"/>
                <w:szCs w:val="20"/>
              </w:rPr>
              <w:t xml:space="preserve">¥0</w:t>
            </w:r>
          </w:p>
        </w:tc>
        <w:tc>
          <w:tcPr>
            <w:tcW w:type="pct" w:w="24%"/>
            <w:tcMar>
              <w:top w:type="dxa" w:w="60"/>
              <w:left w:type="dxa" w:w="100"/>
              <w:bottom w:type="dxa" w:w="60"/>
              <w:right w:type="dxa" w:w="100"/>
            </w:tcMar>
          </w:tcPr>
          <w:p>
            <w:r>
              <w:rPr>
                <w:rFonts w:ascii="Times New Roman" w:eastAsia="SimSun"/>
                <w:color w:val="1A2B40"/>
                <w:sz w:val="20"/>
                <w:szCs w:val="20"/>
              </w:rPr>
              <w:t xml:space="preserve">GitHub私仓免费</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云盘备份</w:t>
            </w:r>
          </w:p>
        </w:tc>
        <w:tc>
          <w:tcPr>
            <w:tcW w:type="pct" w:w="22%"/>
            <w:tcMar>
              <w:top w:type="dxa" w:w="60"/>
              <w:left w:type="dxa" w:w="100"/>
              <w:bottom w:type="dxa" w:w="60"/>
              <w:right w:type="dxa" w:w="100"/>
            </w:tcMar>
          </w:tcPr>
          <w:p>
            <w:r>
              <w:rPr>
                <w:rFonts w:ascii="Times New Roman" w:eastAsia="SimSun"/>
                <w:color w:val="1A2B40"/>
                <w:sz w:val="20"/>
                <w:szCs w:val="20"/>
              </w:rPr>
              <w:t xml:space="preserve">iCloud 200GB</w:t>
            </w:r>
          </w:p>
        </w:tc>
        <w:tc>
          <w:tcPr>
            <w:tcW w:type="pct" w:w="16%"/>
            <w:tcMar>
              <w:top w:type="dxa" w:w="60"/>
              <w:left w:type="dxa" w:w="100"/>
              <w:bottom w:type="dxa" w:w="60"/>
              <w:right w:type="dxa" w:w="100"/>
            </w:tcMar>
          </w:tcPr>
          <w:p>
            <w:r>
              <w:rPr>
                <w:rFonts w:ascii="Times New Roman" w:eastAsia="SimSun"/>
                <w:color w:val="1A2B40"/>
                <w:sz w:val="20"/>
                <w:szCs w:val="20"/>
              </w:rPr>
              <w:t xml:space="preserve">¥6</w:t>
            </w:r>
          </w:p>
        </w:tc>
        <w:tc>
          <w:tcPr>
            <w:tcW w:type="pct" w:w="16%"/>
            <w:tcMar>
              <w:top w:type="dxa" w:w="60"/>
              <w:left w:type="dxa" w:w="100"/>
              <w:bottom w:type="dxa" w:w="60"/>
              <w:right w:type="dxa" w:w="100"/>
            </w:tcMar>
          </w:tcPr>
          <w:p>
            <w:r>
              <w:rPr>
                <w:rFonts w:ascii="Times New Roman" w:eastAsia="SimSun"/>
                <w:color w:val="1A2B40"/>
                <w:sz w:val="20"/>
                <w:szCs w:val="20"/>
              </w:rPr>
              <w:t xml:space="preserve">¥72</w:t>
            </w:r>
          </w:p>
        </w:tc>
        <w:tc>
          <w:tcPr>
            <w:tcW w:type="pct" w:w="24%"/>
            <w:tcMar>
              <w:top w:type="dxa" w:w="60"/>
              <w:left w:type="dxa" w:w="100"/>
              <w:bottom w:type="dxa" w:w="60"/>
              <w:right w:type="dxa" w:w="100"/>
            </w:tcMar>
          </w:tcPr>
          <w:p>
            <w:r>
              <w:rPr>
                <w:rFonts w:ascii="Times New Roman" w:eastAsia="SimSun"/>
                <w:color w:val="1A2B40"/>
                <w:sz w:val="20"/>
                <w:szCs w:val="20"/>
              </w:rPr>
              <w:t xml:space="preserve">或OneDrive 100GB ¥30/年</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LLM(短期)</w:t>
            </w:r>
          </w:p>
        </w:tc>
        <w:tc>
          <w:tcPr>
            <w:tcW w:type="pct" w:w="22%"/>
            <w:tcMar>
              <w:top w:type="dxa" w:w="60"/>
              <w:left w:type="dxa" w:w="100"/>
              <w:bottom w:type="dxa" w:w="60"/>
              <w:right w:type="dxa" w:w="100"/>
            </w:tcMar>
          </w:tcPr>
          <w:p>
            <w:r>
              <w:rPr>
                <w:rFonts w:ascii="Times New Roman" w:eastAsia="SimSun"/>
                <w:color w:val="1A2B40"/>
                <w:sz w:val="20"/>
                <w:szCs w:val="20"/>
              </w:rPr>
              <w:t xml:space="preserve">云端API(已有token)</w:t>
            </w:r>
          </w:p>
        </w:tc>
        <w:tc>
          <w:tcPr>
            <w:tcW w:type="pct" w:w="16%"/>
            <w:tcMar>
              <w:top w:type="dxa" w:w="60"/>
              <w:left w:type="dxa" w:w="100"/>
              <w:bottom w:type="dxa" w:w="60"/>
              <w:right w:type="dxa" w:w="100"/>
            </w:tcMar>
          </w:tcPr>
          <w:p>
            <w:r>
              <w:rPr>
                <w:rFonts w:ascii="Times New Roman" w:eastAsia="SimSun"/>
                <w:color w:val="1A2B40"/>
                <w:sz w:val="20"/>
                <w:szCs w:val="20"/>
              </w:rPr>
              <w:t xml:space="preserve">¥0</w:t>
            </w:r>
          </w:p>
        </w:tc>
        <w:tc>
          <w:tcPr>
            <w:tcW w:type="pct" w:w="16%"/>
            <w:tcMar>
              <w:top w:type="dxa" w:w="60"/>
              <w:left w:type="dxa" w:w="100"/>
              <w:bottom w:type="dxa" w:w="60"/>
              <w:right w:type="dxa" w:w="100"/>
            </w:tcMar>
          </w:tcPr>
          <w:p>
            <w:r>
              <w:rPr>
                <w:rFonts w:ascii="Times New Roman" w:eastAsia="SimSun"/>
                <w:color w:val="1A2B40"/>
                <w:sz w:val="20"/>
                <w:szCs w:val="20"/>
              </w:rPr>
              <w:t xml:space="preserve">¥0</w:t>
            </w:r>
          </w:p>
        </w:tc>
        <w:tc>
          <w:tcPr>
            <w:tcW w:type="pct" w:w="24%"/>
            <w:tcMar>
              <w:top w:type="dxa" w:w="60"/>
              <w:left w:type="dxa" w:w="100"/>
              <w:bottom w:type="dxa" w:w="60"/>
              <w:right w:type="dxa" w:w="100"/>
            </w:tcMar>
          </w:tcPr>
          <w:p>
            <w:r>
              <w:rPr>
                <w:rFonts w:ascii="Times New Roman" w:eastAsia="SimSun"/>
                <w:color w:val="1A2B40"/>
                <w:sz w:val="20"/>
                <w:szCs w:val="20"/>
              </w:rPr>
              <w:t xml:space="preserve">token有效期内免费</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LLM(长期)</w:t>
            </w:r>
          </w:p>
        </w:tc>
        <w:tc>
          <w:tcPr>
            <w:tcW w:type="pct" w:w="22%"/>
            <w:tcMar>
              <w:top w:type="dxa" w:w="60"/>
              <w:left w:type="dxa" w:w="100"/>
              <w:bottom w:type="dxa" w:w="60"/>
              <w:right w:type="dxa" w:w="100"/>
            </w:tcMar>
          </w:tcPr>
          <w:p>
            <w:r>
              <w:rPr>
                <w:rFonts w:ascii="Times New Roman" w:eastAsia="SimSun"/>
                <w:color w:val="1A2B40"/>
                <w:sz w:val="20"/>
                <w:szCs w:val="20"/>
              </w:rPr>
              <w:t xml:space="preserve">本地Qwen2.5-7B</w:t>
            </w:r>
          </w:p>
        </w:tc>
        <w:tc>
          <w:tcPr>
            <w:tcW w:type="pct" w:w="16%"/>
            <w:tcMar>
              <w:top w:type="dxa" w:w="60"/>
              <w:left w:type="dxa" w:w="100"/>
              <w:bottom w:type="dxa" w:w="60"/>
              <w:right w:type="dxa" w:w="100"/>
            </w:tcMar>
          </w:tcPr>
          <w:p>
            <w:r>
              <w:rPr>
                <w:rFonts w:ascii="Times New Roman" w:eastAsia="SimSun"/>
                <w:color w:val="1A2B40"/>
                <w:sz w:val="20"/>
                <w:szCs w:val="20"/>
              </w:rPr>
              <w:t xml:space="preserve">¥0</w:t>
            </w:r>
          </w:p>
        </w:tc>
        <w:tc>
          <w:tcPr>
            <w:tcW w:type="pct" w:w="16%"/>
            <w:tcMar>
              <w:top w:type="dxa" w:w="60"/>
              <w:left w:type="dxa" w:w="100"/>
              <w:bottom w:type="dxa" w:w="60"/>
              <w:right w:type="dxa" w:w="100"/>
            </w:tcMar>
          </w:tcPr>
          <w:p>
            <w:r>
              <w:rPr>
                <w:rFonts w:ascii="Times New Roman" w:eastAsia="SimSun"/>
                <w:color w:val="1A2B40"/>
                <w:sz w:val="20"/>
                <w:szCs w:val="20"/>
              </w:rPr>
              <w:t xml:space="preserve">¥0</w:t>
            </w:r>
          </w:p>
        </w:tc>
        <w:tc>
          <w:tcPr>
            <w:tcW w:type="pct" w:w="24%"/>
            <w:tcMar>
              <w:top w:type="dxa" w:w="60"/>
              <w:left w:type="dxa" w:w="100"/>
              <w:bottom w:type="dxa" w:w="60"/>
              <w:right w:type="dxa" w:w="100"/>
            </w:tcMar>
          </w:tcPr>
          <w:p>
            <w:r>
              <w:rPr>
                <w:rFonts w:ascii="Times New Roman" w:eastAsia="SimSun"/>
                <w:color w:val="1A2B40"/>
                <w:sz w:val="20"/>
                <w:szCs w:val="20"/>
              </w:rPr>
              <w:t xml:space="preserve">GPU电费已计入</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VLM(短期)</w:t>
            </w:r>
          </w:p>
        </w:tc>
        <w:tc>
          <w:tcPr>
            <w:tcW w:type="pct" w:w="22%"/>
            <w:tcMar>
              <w:top w:type="dxa" w:w="60"/>
              <w:left w:type="dxa" w:w="100"/>
              <w:bottom w:type="dxa" w:w="60"/>
              <w:right w:type="dxa" w:w="100"/>
            </w:tcMar>
          </w:tcPr>
          <w:p>
            <w:r>
              <w:rPr>
                <w:rFonts w:ascii="Times New Roman" w:eastAsia="SimSun"/>
                <w:color w:val="1A2B40"/>
                <w:sz w:val="20"/>
                <w:szCs w:val="20"/>
              </w:rPr>
              <w:t xml:space="preserve">云端API(已有token)</w:t>
            </w:r>
          </w:p>
        </w:tc>
        <w:tc>
          <w:tcPr>
            <w:tcW w:type="pct" w:w="16%"/>
            <w:tcMar>
              <w:top w:type="dxa" w:w="60"/>
              <w:left w:type="dxa" w:w="100"/>
              <w:bottom w:type="dxa" w:w="60"/>
              <w:right w:type="dxa" w:w="100"/>
            </w:tcMar>
          </w:tcPr>
          <w:p>
            <w:r>
              <w:rPr>
                <w:rFonts w:ascii="Times New Roman" w:eastAsia="SimSun"/>
                <w:color w:val="1A2B40"/>
                <w:sz w:val="20"/>
                <w:szCs w:val="20"/>
              </w:rPr>
              <w:t xml:space="preserve">¥0</w:t>
            </w:r>
          </w:p>
        </w:tc>
        <w:tc>
          <w:tcPr>
            <w:tcW w:type="pct" w:w="16%"/>
            <w:tcMar>
              <w:top w:type="dxa" w:w="60"/>
              <w:left w:type="dxa" w:w="100"/>
              <w:bottom w:type="dxa" w:w="60"/>
              <w:right w:type="dxa" w:w="100"/>
            </w:tcMar>
          </w:tcPr>
          <w:p>
            <w:r>
              <w:rPr>
                <w:rFonts w:ascii="Times New Roman" w:eastAsia="SimSun"/>
                <w:color w:val="1A2B40"/>
                <w:sz w:val="20"/>
                <w:szCs w:val="20"/>
              </w:rPr>
              <w:t xml:space="preserve">¥0</w:t>
            </w:r>
          </w:p>
        </w:tc>
        <w:tc>
          <w:tcPr>
            <w:tcW w:type="pct" w:w="24%"/>
            <w:tcMar>
              <w:top w:type="dxa" w:w="60"/>
              <w:left w:type="dxa" w:w="100"/>
              <w:bottom w:type="dxa" w:w="60"/>
              <w:right w:type="dxa" w:w="100"/>
            </w:tcMar>
          </w:tcPr>
          <w:p>
            <w:r>
              <w:rPr>
                <w:rFonts w:ascii="Times New Roman" w:eastAsia="SimSun"/>
                <w:color w:val="1A2B40"/>
                <w:sz w:val="20"/>
                <w:szCs w:val="20"/>
              </w:rPr>
              <w:t xml:space="preserve">token有效期内免费</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VLM(长期)</w:t>
            </w:r>
          </w:p>
        </w:tc>
        <w:tc>
          <w:tcPr>
            <w:tcW w:type="pct" w:w="22%"/>
            <w:tcMar>
              <w:top w:type="dxa" w:w="60"/>
              <w:left w:type="dxa" w:w="100"/>
              <w:bottom w:type="dxa" w:w="60"/>
              <w:right w:type="dxa" w:w="100"/>
            </w:tcMar>
          </w:tcPr>
          <w:p>
            <w:r>
              <w:rPr>
                <w:rFonts w:ascii="Times New Roman" w:eastAsia="SimSun"/>
                <w:color w:val="1A2B40"/>
                <w:sz w:val="20"/>
                <w:szCs w:val="20"/>
              </w:rPr>
              <w:t xml:space="preserve">本地Qwen2-VL-7B</w:t>
            </w:r>
          </w:p>
        </w:tc>
        <w:tc>
          <w:tcPr>
            <w:tcW w:type="pct" w:w="16%"/>
            <w:tcMar>
              <w:top w:type="dxa" w:w="60"/>
              <w:left w:type="dxa" w:w="100"/>
              <w:bottom w:type="dxa" w:w="60"/>
              <w:right w:type="dxa" w:w="100"/>
            </w:tcMar>
          </w:tcPr>
          <w:p>
            <w:r>
              <w:rPr>
                <w:rFonts w:ascii="Times New Roman" w:eastAsia="SimSun"/>
                <w:color w:val="1A2B40"/>
                <w:sz w:val="20"/>
                <w:szCs w:val="20"/>
              </w:rPr>
              <w:t xml:space="preserve">¥0</w:t>
            </w:r>
          </w:p>
        </w:tc>
        <w:tc>
          <w:tcPr>
            <w:tcW w:type="pct" w:w="16%"/>
            <w:tcMar>
              <w:top w:type="dxa" w:w="60"/>
              <w:left w:type="dxa" w:w="100"/>
              <w:bottom w:type="dxa" w:w="60"/>
              <w:right w:type="dxa" w:w="100"/>
            </w:tcMar>
          </w:tcPr>
          <w:p>
            <w:r>
              <w:rPr>
                <w:rFonts w:ascii="Times New Roman" w:eastAsia="SimSun"/>
                <w:color w:val="1A2B40"/>
                <w:sz w:val="20"/>
                <w:szCs w:val="20"/>
              </w:rPr>
              <w:t xml:space="preserve">¥0</w:t>
            </w:r>
          </w:p>
        </w:tc>
        <w:tc>
          <w:tcPr>
            <w:tcW w:type="pct" w:w="24%"/>
            <w:tcMar>
              <w:top w:type="dxa" w:w="60"/>
              <w:left w:type="dxa" w:w="100"/>
              <w:bottom w:type="dxa" w:w="60"/>
              <w:right w:type="dxa" w:w="100"/>
            </w:tcMar>
          </w:tcPr>
          <w:p>
            <w:r>
              <w:rPr>
                <w:rFonts w:ascii="Times New Roman" w:eastAsia="SimSun"/>
                <w:color w:val="1A2B40"/>
                <w:sz w:val="20"/>
                <w:szCs w:val="20"/>
              </w:rPr>
              <w:t xml:space="preserve">GPU电费已计入</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GPU电费</w:t>
            </w:r>
          </w:p>
        </w:tc>
        <w:tc>
          <w:tcPr>
            <w:tcW w:type="pct" w:w="22%"/>
            <w:tcMar>
              <w:top w:type="dxa" w:w="60"/>
              <w:left w:type="dxa" w:w="100"/>
              <w:bottom w:type="dxa" w:w="60"/>
              <w:right w:type="dxa" w:w="100"/>
            </w:tcMar>
          </w:tcPr>
          <w:p>
            <w:r>
              <w:rPr>
                <w:rFonts w:ascii="Times New Roman" w:eastAsia="SimSun"/>
                <w:color w:val="1A2B40"/>
                <w:sz w:val="20"/>
                <w:szCs w:val="20"/>
              </w:rPr>
              <w:t xml:space="preserve">4070s日均开机2小时</w:t>
            </w:r>
          </w:p>
        </w:tc>
        <w:tc>
          <w:tcPr>
            <w:tcW w:type="pct" w:w="16%"/>
            <w:tcMar>
              <w:top w:type="dxa" w:w="60"/>
              <w:left w:type="dxa" w:w="100"/>
              <w:bottom w:type="dxa" w:w="60"/>
              <w:right w:type="dxa" w:w="100"/>
            </w:tcMar>
          </w:tcPr>
          <w:p>
            <w:r>
              <w:rPr>
                <w:rFonts w:ascii="Times New Roman" w:eastAsia="SimSun"/>
                <w:color w:val="1A2B40"/>
                <w:sz w:val="20"/>
                <w:szCs w:val="20"/>
              </w:rPr>
              <w:t xml:space="preserve">约¥15</w:t>
            </w:r>
          </w:p>
        </w:tc>
        <w:tc>
          <w:tcPr>
            <w:tcW w:type="pct" w:w="16%"/>
            <w:tcMar>
              <w:top w:type="dxa" w:w="60"/>
              <w:left w:type="dxa" w:w="100"/>
              <w:bottom w:type="dxa" w:w="60"/>
              <w:right w:type="dxa" w:w="100"/>
            </w:tcMar>
          </w:tcPr>
          <w:p>
            <w:r>
              <w:rPr>
                <w:rFonts w:ascii="Times New Roman" w:eastAsia="SimSun"/>
                <w:color w:val="1A2B40"/>
                <w:sz w:val="20"/>
                <w:szCs w:val="20"/>
              </w:rPr>
              <w:t xml:space="preserve">约¥180</w:t>
            </w:r>
          </w:p>
        </w:tc>
        <w:tc>
          <w:tcPr>
            <w:tcW w:type="pct" w:w="24%"/>
            <w:tcMar>
              <w:top w:type="dxa" w:w="60"/>
              <w:left w:type="dxa" w:w="100"/>
              <w:bottom w:type="dxa" w:w="60"/>
              <w:right w:type="dxa" w:w="100"/>
            </w:tcMar>
          </w:tcPr>
          <w:p>
            <w:r>
              <w:rPr>
                <w:rFonts w:ascii="Times New Roman" w:eastAsia="SimSun"/>
                <w:color w:val="1A2B40"/>
                <w:sz w:val="20"/>
                <w:szCs w:val="20"/>
              </w:rPr>
              <w:t xml:space="preserve">按0.6元/度估算</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合计(短期)</w:t>
            </w:r>
          </w:p>
        </w:tc>
        <w:tc>
          <w:tcPr>
            <w:tcW w:type="pct" w:w="22%"/>
            <w:tcMar>
              <w:top w:type="dxa" w:w="60"/>
              <w:left w:type="dxa" w:w="100"/>
              <w:bottom w:type="dxa" w:w="60"/>
              <w:right w:type="dxa" w:w="100"/>
            </w:tcMar>
          </w:tcPr>
          <w:p>
            <w:r>
              <w:rPr>
                <w:rFonts w:ascii="Times New Roman" w:eastAsia="SimSun"/>
                <w:color w:val="1A2B40"/>
                <w:sz w:val="20"/>
                <w:szCs w:val="20"/>
              </w:rPr>
              <w:t xml:space="preserve">—</w:t>
            </w:r>
          </w:p>
        </w:tc>
        <w:tc>
          <w:tcPr>
            <w:tcW w:type="pct" w:w="16%"/>
            <w:tcMar>
              <w:top w:type="dxa" w:w="60"/>
              <w:left w:type="dxa" w:w="100"/>
              <w:bottom w:type="dxa" w:w="60"/>
              <w:right w:type="dxa" w:w="100"/>
            </w:tcMar>
          </w:tcPr>
          <w:p>
            <w:r>
              <w:rPr>
                <w:rFonts w:ascii="Times New Roman" w:eastAsia="SimSun"/>
                <w:color w:val="1A2B40"/>
                <w:sz w:val="20"/>
                <w:szCs w:val="20"/>
              </w:rPr>
              <w:t xml:space="preserve">约¥21</w:t>
            </w:r>
          </w:p>
        </w:tc>
        <w:tc>
          <w:tcPr>
            <w:tcW w:type="pct" w:w="16%"/>
            <w:tcMar>
              <w:top w:type="dxa" w:w="60"/>
              <w:left w:type="dxa" w:w="100"/>
              <w:bottom w:type="dxa" w:w="60"/>
              <w:right w:type="dxa" w:w="100"/>
            </w:tcMar>
          </w:tcPr>
          <w:p>
            <w:r>
              <w:rPr>
                <w:rFonts w:ascii="Times New Roman" w:eastAsia="SimSun"/>
                <w:color w:val="1A2B40"/>
                <w:sz w:val="20"/>
                <w:szCs w:val="20"/>
              </w:rPr>
              <w:t xml:space="preserve">约¥252</w:t>
            </w:r>
          </w:p>
        </w:tc>
        <w:tc>
          <w:tcPr>
            <w:tcW w:type="pct" w:w="24%"/>
            <w:tcMar>
              <w:top w:type="dxa" w:w="60"/>
              <w:left w:type="dxa" w:w="100"/>
              <w:bottom w:type="dxa" w:w="60"/>
              <w:right w:type="dxa" w:w="100"/>
            </w:tcMar>
          </w:tcPr>
          <w:p>
            <w:r>
              <w:rPr>
                <w:rFonts w:ascii="Times New Roman" w:eastAsia="SimSun"/>
                <w:color w:val="1A2B40"/>
                <w:sz w:val="20"/>
                <w:szCs w:val="20"/>
              </w:rPr>
              <w:t xml:space="preserve">token有效期内</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合计(长期)</w:t>
            </w:r>
          </w:p>
        </w:tc>
        <w:tc>
          <w:tcPr>
            <w:tcW w:type="pct" w:w="22%"/>
            <w:tcMar>
              <w:top w:type="dxa" w:w="60"/>
              <w:left w:type="dxa" w:w="100"/>
              <w:bottom w:type="dxa" w:w="60"/>
              <w:right w:type="dxa" w:w="100"/>
            </w:tcMar>
          </w:tcPr>
          <w:p>
            <w:r>
              <w:rPr>
                <w:rFonts w:ascii="Times New Roman" w:eastAsia="SimSun"/>
                <w:color w:val="1A2B40"/>
                <w:sz w:val="20"/>
                <w:szCs w:val="20"/>
              </w:rPr>
              <w:t xml:space="preserve">—</w:t>
            </w:r>
          </w:p>
        </w:tc>
        <w:tc>
          <w:tcPr>
            <w:tcW w:type="pct" w:w="16%"/>
            <w:tcMar>
              <w:top w:type="dxa" w:w="60"/>
              <w:left w:type="dxa" w:w="100"/>
              <w:bottom w:type="dxa" w:w="60"/>
              <w:right w:type="dxa" w:w="100"/>
            </w:tcMar>
          </w:tcPr>
          <w:p>
            <w:r>
              <w:rPr>
                <w:rFonts w:ascii="Times New Roman" w:eastAsia="SimSun"/>
                <w:color w:val="1A2B40"/>
                <w:sz w:val="20"/>
                <w:szCs w:val="20"/>
              </w:rPr>
              <w:t xml:space="preserve">约¥21</w:t>
            </w:r>
          </w:p>
        </w:tc>
        <w:tc>
          <w:tcPr>
            <w:tcW w:type="pct" w:w="16%"/>
            <w:tcMar>
              <w:top w:type="dxa" w:w="60"/>
              <w:left w:type="dxa" w:w="100"/>
              <w:bottom w:type="dxa" w:w="60"/>
              <w:right w:type="dxa" w:w="100"/>
            </w:tcMar>
          </w:tcPr>
          <w:p>
            <w:r>
              <w:rPr>
                <w:rFonts w:ascii="Times New Roman" w:eastAsia="SimSun"/>
                <w:color w:val="1A2B40"/>
                <w:sz w:val="20"/>
                <w:szCs w:val="20"/>
              </w:rPr>
              <w:t xml:space="preserve">约¥252</w:t>
            </w:r>
          </w:p>
        </w:tc>
        <w:tc>
          <w:tcPr>
            <w:tcW w:type="pct" w:w="24%"/>
            <w:tcMar>
              <w:top w:type="dxa" w:w="60"/>
              <w:left w:type="dxa" w:w="100"/>
              <w:bottom w:type="dxa" w:w="60"/>
              <w:right w:type="dxa" w:w="100"/>
            </w:tcMar>
          </w:tcPr>
          <w:p>
            <w:r>
              <w:rPr>
                <w:rFonts w:ascii="Times New Roman" w:eastAsia="SimSun"/>
                <w:color w:val="1A2B40"/>
                <w:sz w:val="20"/>
                <w:szCs w:val="20"/>
              </w:rPr>
              <w:t xml:space="preserve">token到期后本地化</w:t>
            </w:r>
          </w:p>
        </w:tc>
      </w:tr>
    </w:tbl>
    <w:p>
      <w:pPr>
        <w:spacing w:after="80" w:line="312"/>
        <w:ind w:firstLine="480"/>
        <w:jc w:val="both"/>
      </w:pPr>
      <w:r>
        <w:rPr>
          <w:rFonts w:ascii="Times New Roman" w:eastAsia="SimSun"/>
          <w:color w:val="1A2B40"/>
          <w:sz w:val="24"/>
          <w:szCs w:val="24"/>
        </w:rPr>
        <w:t xml:space="preserve">相比v1.0的月度¥180（Obsidian Sync $4+Claude Pro $20+电费），v2.0月度¥21，节省88%。年化节省约¥1900，足以购买一块额外的4070s显卡或多年iCloud存储。</w:t>
      </w:r>
    </w:p>
    <w:p>
      <w:pPr>
        <w:pStyle w:val="Heading2"/>
        <w:spacing w:after="140" w:before="320" w:line="312"/>
      </w:pPr>
      <w:bookmarkStart w:id="100063" w:name="_Toc100063"/>
      <w:r>
        <w:rPr>
          <w:rFonts w:ascii="Calibri" w:eastAsia="SimHei"/>
          <w:b/>
          <w:bCs/>
          <w:color w:val="0A1628"/>
          <w:sz w:val="28"/>
          <w:szCs w:val="28"/>
        </w:rPr>
        <w:t xml:space="preserve">11.3 硬件要求</w:t>
      </w:r>
      <w:bookmarkEnd w:id="100063"/>
    </w:p>
    <w:p>
      <w:pPr>
        <w:spacing w:after="80" w:line="312"/>
        <w:ind w:firstLine="480"/>
        <w:jc w:val="both"/>
      </w:pPr>
      <w:r>
        <w:rPr>
          <w:rFonts w:ascii="Times New Roman" w:eastAsia="SimSun"/>
          <w:color w:val="1A2B40"/>
          <w:sz w:val="24"/>
          <w:szCs w:val="24"/>
        </w:rPr>
        <w:t xml:space="preserve">v2.0硬件要求相比v1.0提升，GPU从可选变为必需。PC最低配置：CPU支持AVX2（faster-whisper CPU兜底用，不常用）；内存16GB（推荐32GB，VLM和LLM并行时占用高）；硬盘空间50GB（含whisper模型3GB、Qwen2.5-7B模型5GB、Qwen2-VL-7B模型8GB、Vault 10GB）；NVIDIA显卡4070s 12GB或同等（核心要求，4060ti 16GB也可，3060 12GB勉强可用但速度慢）；网络能正常访问抖音、飞书、GitHub、HuggingFace。</w:t>
      </w:r>
    </w:p>
    <w:p>
      <w:pPr>
        <w:spacing w:after="80" w:line="312"/>
        <w:ind w:firstLine="480"/>
        <w:jc w:val="both"/>
      </w:pPr>
      <w:r>
        <w:rPr>
          <w:rFonts w:ascii="Times New Roman" w:eastAsia="SimSun"/>
          <w:color w:val="1A2B40"/>
          <w:sz w:val="24"/>
          <w:szCs w:val="24"/>
        </w:rPr>
        <w:t xml:space="preserve">手机端要求：iOS 14+或Android 8+；安装抖音App和飞书App；安装Obsidian App（免费）；安装Syncthing App（免费，iOS用Möbius Sync，Android用Syncthing官方）。手机端不参与任何计算，仅做采集和查阅，对硬件无特殊要求。</w:t>
      </w:r>
    </w:p>
    <w:p>
      <w:pPr>
        <w:pStyle w:val="Heading2"/>
        <w:spacing w:after="140" w:before="320" w:line="312"/>
      </w:pPr>
      <w:bookmarkStart w:id="100064" w:name="_Toc100064"/>
      <w:r>
        <w:rPr>
          <w:rFonts w:ascii="Calibri" w:eastAsia="SimHei"/>
          <w:b/>
          <w:bCs/>
          <w:color w:val="0A1628"/>
          <w:sz w:val="28"/>
          <w:szCs w:val="28"/>
        </w:rPr>
        <w:t xml:space="preserve">11.4 总拥有成本（TCO）</w:t>
      </w:r>
      <w:bookmarkEnd w:id="100064"/>
    </w:p>
    <w:p>
      <w:pPr>
        <w:spacing w:after="80" w:line="312"/>
        <w:ind w:firstLine="480"/>
        <w:jc w:val="both"/>
      </w:pPr>
      <w:r>
        <w:rPr>
          <w:rFonts w:ascii="Times New Roman" w:eastAsia="SimSun"/>
          <w:color w:val="1A2B40"/>
          <w:sz w:val="24"/>
          <w:szCs w:val="24"/>
        </w:rPr>
        <w:t xml:space="preserve">按3年使用周期计算TCO：一次性开发投入约13人天（按机会成本¥300/天估算约¥3900）；持续成本约¥252/年×3年=¥756；硬件假设用户已有4070s PC不额外投入。3年TCO约¥4656，折合每月¥130。相比v1.0的3年TCO约¥5760，v2.0节省约¥1100（19%）。相比商业知识管理服务（如Notion AI Plus每月¥80+视频内容提取工具每月¥50+云盘¥10），v2.0成本相当但功能定制性更强、数据完全自主可控、无供应商锁定风险。</w:t>
      </w:r>
    </w:p>
    <w:p>
      <w:pPr>
        <w:pStyle w:val="Heading1"/>
        <w:spacing w:after="200" w:before="480" w:line="360"/>
      </w:pPr>
      <w:bookmarkStart w:id="100065" w:name="_Toc100065"/>
      <w:r>
        <w:rPr>
          <w:rFonts w:ascii="Calibri" w:eastAsia="SimHei"/>
          <w:b/>
          <w:bCs/>
          <w:color w:val="0A1628"/>
          <w:sz w:val="32"/>
          <w:szCs w:val="32"/>
        </w:rPr>
        <w:t xml:space="preserve">附录</w:t>
      </w:r>
      <w:bookmarkEnd w:id="100065"/>
    </w:p>
    <w:p>
      <w:pPr>
        <w:pStyle w:val="Heading2"/>
        <w:spacing w:after="140" w:before="320" w:line="312"/>
      </w:pPr>
      <w:bookmarkStart w:id="100066" w:name="_Toc100066"/>
      <w:r>
        <w:rPr>
          <w:rFonts w:ascii="Calibri" w:eastAsia="SimHei"/>
          <w:b/>
          <w:bCs/>
          <w:color w:val="0A1628"/>
          <w:sz w:val="28"/>
          <w:szCs w:val="28"/>
        </w:rPr>
        <w:t xml:space="preserve">A. v1.0到v2.0差异对照表</w:t>
      </w:r>
      <w:bookmarkEnd w:id="100066"/>
    </w:p>
    <w:p>
      <w:pPr>
        <w:spacing w:after="80" w:line="312"/>
        <w:ind w:firstLine="480"/>
        <w:jc w:val="both"/>
      </w:pPr>
      <w:r>
        <w:rPr>
          <w:rFonts w:ascii="Times New Roman" w:eastAsia="SimSun"/>
          <w:color w:val="1A2B40"/>
          <w:sz w:val="24"/>
          <w:szCs w:val="24"/>
        </w:rPr>
        <w:t xml:space="preserve">以下表格汇总v1.0到v2.0的关键变化，便于已读v1.0的用户快速定位更新内容。</w:t>
      </w:r>
    </w:p>
    <w:p>
      <w:pPr>
        <w:keepNext/>
        <w:spacing w:after="80" w:before="200"/>
      </w:pPr>
      <w:r>
        <w:rPr>
          <w:rFonts w:ascii="Calibri" w:eastAsia="SimHei"/>
          <w:b/>
          <w:bCs/>
          <w:color w:val="0A1628"/>
          <w:sz w:val="21"/>
          <w:szCs w:val="21"/>
        </w:rPr>
        <w:t xml:space="preserve">表A-1 v1.0 vs v2.0差异对照</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gridCol w:w="100"/>
      </w:tblGrid>
      <w:tr>
        <w:trPr>
          <w:cantSplit/>
          <w:tblHeader/>
        </w:trPr>
        <w:tc>
          <w:tcPr>
            <w:tcW w:type="pct" w:w="16%"/>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维度</w:t>
            </w:r>
          </w:p>
        </w:tc>
        <w:tc>
          <w:tcPr>
            <w:tcW w:type="pct" w:w="2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v1.0</w:t>
            </w:r>
          </w:p>
        </w:tc>
        <w:tc>
          <w:tcPr>
            <w:tcW w:type="pct" w:w="30%"/>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v2.0</w:t>
            </w:r>
          </w:p>
        </w:tc>
        <w:tc>
          <w:tcPr>
            <w:tcW w:type="pct" w:w="3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变化原因</w:t>
            </w:r>
          </w:p>
        </w:tc>
      </w:tr>
      <w:tr>
        <w:trPr>
          <w:cantSplit/>
        </w:trPr>
        <w:tc>
          <w:tcPr>
            <w:tcW w:type="pct" w:w="16%"/>
            <w:tcMar>
              <w:top w:type="dxa" w:w="60"/>
              <w:left w:type="dxa" w:w="100"/>
              <w:bottom w:type="dxa" w:w="60"/>
              <w:right w:type="dxa" w:w="100"/>
            </w:tcMar>
          </w:tcPr>
          <w:p>
            <w:r>
              <w:rPr>
                <w:rFonts w:ascii="Times New Roman" w:eastAsia="SimSun"/>
                <w:color w:val="1A2B40"/>
                <w:sz w:val="20"/>
                <w:szCs w:val="20"/>
              </w:rPr>
              <w:t xml:space="preserve">中转通道</w:t>
            </w:r>
          </w:p>
        </w:tc>
        <w:tc>
          <w:tcPr>
            <w:tcW w:type="pct" w:w="22%"/>
            <w:tcMar>
              <w:top w:type="dxa" w:w="60"/>
              <w:left w:type="dxa" w:w="100"/>
              <w:bottom w:type="dxa" w:w="60"/>
              <w:right w:type="dxa" w:w="100"/>
            </w:tcMar>
          </w:tcPr>
          <w:p>
            <w:r>
              <w:rPr>
                <w:rFonts w:ascii="Times New Roman" w:eastAsia="SimSun"/>
                <w:color w:val="1A2B40"/>
                <w:sz w:val="20"/>
                <w:szCs w:val="20"/>
              </w:rPr>
              <w:t xml:space="preserve">企业微信自建应用</w:t>
            </w:r>
          </w:p>
        </w:tc>
        <w:tc>
          <w:tcPr>
            <w:tcW w:type="pct" w:w="30%"/>
            <w:tcMar>
              <w:top w:type="dxa" w:w="60"/>
              <w:left w:type="dxa" w:w="100"/>
              <w:bottom w:type="dxa" w:w="60"/>
              <w:right w:type="dxa" w:w="100"/>
            </w:tcMar>
          </w:tcPr>
          <w:p>
            <w:r>
              <w:rPr>
                <w:rFonts w:ascii="Times New Roman" w:eastAsia="SimSun"/>
                <w:color w:val="1A2B40"/>
                <w:sz w:val="20"/>
                <w:szCs w:val="20"/>
              </w:rPr>
              <w:t xml:space="preserve">飞书自建机器人</w:t>
            </w:r>
          </w:p>
        </w:tc>
        <w:tc>
          <w:tcPr>
            <w:tcW w:type="pct" w:w="32%"/>
            <w:tcMar>
              <w:top w:type="dxa" w:w="60"/>
              <w:left w:type="dxa" w:w="100"/>
              <w:bottom w:type="dxa" w:w="60"/>
              <w:right w:type="dxa" w:w="100"/>
            </w:tcMar>
          </w:tcPr>
          <w:p>
            <w:r>
              <w:rPr>
                <w:rFonts w:ascii="Times New Roman" w:eastAsia="SimSun"/>
                <w:color w:val="1A2B40"/>
                <w:sz w:val="20"/>
                <w:szCs w:val="20"/>
              </w:rPr>
              <w:t xml:space="preserve">用户已对接+开发体验更优</w:t>
            </w:r>
          </w:p>
        </w:tc>
      </w:tr>
      <w:tr>
        <w:trPr>
          <w:cantSplit/>
        </w:trPr>
        <w:tc>
          <w:tcPr>
            <w:tcW w:type="pct" w:w="16%"/>
            <w:tcMar>
              <w:top w:type="dxa" w:w="60"/>
              <w:left w:type="dxa" w:w="100"/>
              <w:bottom w:type="dxa" w:w="60"/>
              <w:right w:type="dxa" w:w="100"/>
            </w:tcMar>
          </w:tcPr>
          <w:p>
            <w:r>
              <w:rPr>
                <w:rFonts w:ascii="Times New Roman" w:eastAsia="SimSun"/>
                <w:color w:val="1A2B40"/>
                <w:sz w:val="20"/>
                <w:szCs w:val="20"/>
              </w:rPr>
              <w:t xml:space="preserve">编排中枢</w:t>
            </w:r>
          </w:p>
        </w:tc>
        <w:tc>
          <w:tcPr>
            <w:tcW w:type="pct" w:w="22%"/>
            <w:tcMar>
              <w:top w:type="dxa" w:w="60"/>
              <w:left w:type="dxa" w:w="100"/>
              <w:bottom w:type="dxa" w:w="60"/>
              <w:right w:type="dxa" w:w="100"/>
            </w:tcMar>
          </w:tcPr>
          <w:p>
            <w:r>
              <w:rPr>
                <w:rFonts w:ascii="Times New Roman" w:eastAsia="SimSun"/>
                <w:color w:val="1A2B40"/>
                <w:sz w:val="20"/>
                <w:szCs w:val="20"/>
              </w:rPr>
              <w:t xml:space="preserve">Claude Code直调</w:t>
            </w:r>
          </w:p>
        </w:tc>
        <w:tc>
          <w:tcPr>
            <w:tcW w:type="pct" w:w="30%"/>
            <w:tcMar>
              <w:top w:type="dxa" w:w="60"/>
              <w:left w:type="dxa" w:w="100"/>
              <w:bottom w:type="dxa" w:w="60"/>
              <w:right w:type="dxa" w:w="100"/>
            </w:tcMar>
          </w:tcPr>
          <w:p>
            <w:r>
              <w:rPr>
                <w:rFonts w:ascii="Times New Roman" w:eastAsia="SimSun"/>
                <w:color w:val="1A2B40"/>
                <w:sz w:val="20"/>
                <w:szCs w:val="20"/>
              </w:rPr>
              <w:t xml:space="preserve">OpenClaw Agent编排</w:t>
            </w:r>
          </w:p>
        </w:tc>
        <w:tc>
          <w:tcPr>
            <w:tcW w:type="pct" w:w="32%"/>
            <w:tcMar>
              <w:top w:type="dxa" w:w="60"/>
              <w:left w:type="dxa" w:w="100"/>
              <w:bottom w:type="dxa" w:w="60"/>
              <w:right w:type="dxa" w:w="100"/>
            </w:tcMar>
          </w:tcPr>
          <w:p>
            <w:r>
              <w:rPr>
                <w:rFonts w:ascii="Times New Roman" w:eastAsia="SimSun"/>
                <w:color w:val="1A2B40"/>
                <w:sz w:val="20"/>
                <w:szCs w:val="20"/>
              </w:rPr>
              <w:t xml:space="preserve">声明式工作流+工具可替换</w:t>
            </w:r>
          </w:p>
        </w:tc>
      </w:tr>
      <w:tr>
        <w:trPr>
          <w:cantSplit/>
        </w:trPr>
        <w:tc>
          <w:tcPr>
            <w:tcW w:type="pct" w:w="16%"/>
            <w:tcMar>
              <w:top w:type="dxa" w:w="60"/>
              <w:left w:type="dxa" w:w="100"/>
              <w:bottom w:type="dxa" w:w="60"/>
              <w:right w:type="dxa" w:w="100"/>
            </w:tcMar>
          </w:tcPr>
          <w:p>
            <w:r>
              <w:rPr>
                <w:rFonts w:ascii="Times New Roman" w:eastAsia="SimSun"/>
                <w:color w:val="1A2B40"/>
                <w:sz w:val="20"/>
                <w:szCs w:val="20"/>
              </w:rPr>
              <w:t xml:space="preserve">转写方案</w:t>
            </w:r>
          </w:p>
        </w:tc>
        <w:tc>
          <w:tcPr>
            <w:tcW w:type="pct" w:w="22%"/>
            <w:tcMar>
              <w:top w:type="dxa" w:w="60"/>
              <w:left w:type="dxa" w:w="100"/>
              <w:bottom w:type="dxa" w:w="60"/>
              <w:right w:type="dxa" w:w="100"/>
            </w:tcMar>
          </w:tcPr>
          <w:p>
            <w:r>
              <w:rPr>
                <w:rFonts w:ascii="Times New Roman" w:eastAsia="SimSun"/>
                <w:color w:val="1A2B40"/>
                <w:sz w:val="20"/>
                <w:szCs w:val="20"/>
              </w:rPr>
              <w:t xml:space="preserve">whisper.cpp CPU</w:t>
            </w:r>
          </w:p>
        </w:tc>
        <w:tc>
          <w:tcPr>
            <w:tcW w:type="pct" w:w="30%"/>
            <w:tcMar>
              <w:top w:type="dxa" w:w="60"/>
              <w:left w:type="dxa" w:w="100"/>
              <w:bottom w:type="dxa" w:w="60"/>
              <w:right w:type="dxa" w:w="100"/>
            </w:tcMar>
          </w:tcPr>
          <w:p>
            <w:r>
              <w:rPr>
                <w:rFonts w:ascii="Times New Roman" w:eastAsia="SimSun"/>
                <w:color w:val="1A2B40"/>
                <w:sz w:val="20"/>
                <w:szCs w:val="20"/>
              </w:rPr>
              <w:t xml:space="preserve">字幕优先+faster-whisper GPU</w:t>
            </w:r>
          </w:p>
        </w:tc>
        <w:tc>
          <w:tcPr>
            <w:tcW w:type="pct" w:w="32%"/>
            <w:tcMar>
              <w:top w:type="dxa" w:w="60"/>
              <w:left w:type="dxa" w:w="100"/>
              <w:bottom w:type="dxa" w:w="60"/>
              <w:right w:type="dxa" w:w="100"/>
            </w:tcMar>
          </w:tcPr>
          <w:p>
            <w:r>
              <w:rPr>
                <w:rFonts w:ascii="Times New Roman" w:eastAsia="SimSun"/>
                <w:color w:val="1A2B40"/>
                <w:sz w:val="20"/>
                <w:szCs w:val="20"/>
              </w:rPr>
              <w:t xml:space="preserve">字幕质量高+4070s 12GB可用</w:t>
            </w:r>
          </w:p>
        </w:tc>
      </w:tr>
      <w:tr>
        <w:trPr>
          <w:cantSplit/>
        </w:trPr>
        <w:tc>
          <w:tcPr>
            <w:tcW w:type="pct" w:w="16%"/>
            <w:tcMar>
              <w:top w:type="dxa" w:w="60"/>
              <w:left w:type="dxa" w:w="100"/>
              <w:bottom w:type="dxa" w:w="60"/>
              <w:right w:type="dxa" w:w="100"/>
            </w:tcMar>
          </w:tcPr>
          <w:p>
            <w:r>
              <w:rPr>
                <w:rFonts w:ascii="Times New Roman" w:eastAsia="SimSun"/>
                <w:color w:val="1A2B40"/>
                <w:sz w:val="20"/>
                <w:szCs w:val="20"/>
              </w:rPr>
              <w:t xml:space="preserve">VLM补充</w:t>
            </w:r>
          </w:p>
        </w:tc>
        <w:tc>
          <w:tcPr>
            <w:tcW w:type="pct" w:w="22%"/>
            <w:tcMar>
              <w:top w:type="dxa" w:w="60"/>
              <w:left w:type="dxa" w:w="100"/>
              <w:bottom w:type="dxa" w:w="60"/>
              <w:right w:type="dxa" w:w="100"/>
            </w:tcMar>
          </w:tcPr>
          <w:p>
            <w:r>
              <w:rPr>
                <w:rFonts w:ascii="Times New Roman" w:eastAsia="SimSun"/>
                <w:color w:val="1A2B40"/>
                <w:sz w:val="20"/>
                <w:szCs w:val="20"/>
              </w:rPr>
              <w:t xml:space="preserve">无</w:t>
            </w:r>
          </w:p>
        </w:tc>
        <w:tc>
          <w:tcPr>
            <w:tcW w:type="pct" w:w="30%"/>
            <w:tcMar>
              <w:top w:type="dxa" w:w="60"/>
              <w:left w:type="dxa" w:w="100"/>
              <w:bottom w:type="dxa" w:w="60"/>
              <w:right w:type="dxa" w:w="100"/>
            </w:tcMar>
          </w:tcPr>
          <w:p>
            <w:r>
              <w:rPr>
                <w:rFonts w:ascii="Times New Roman" w:eastAsia="SimSun"/>
                <w:color w:val="1A2B40"/>
                <w:sz w:val="20"/>
                <w:szCs w:val="20"/>
              </w:rPr>
              <w:t xml:space="preserve">关键帧VLM(短期云端+长期本地)</w:t>
            </w:r>
          </w:p>
        </w:tc>
        <w:tc>
          <w:tcPr>
            <w:tcW w:type="pct" w:w="32%"/>
            <w:tcMar>
              <w:top w:type="dxa" w:w="60"/>
              <w:left w:type="dxa" w:w="100"/>
              <w:bottom w:type="dxa" w:w="60"/>
              <w:right w:type="dxa" w:w="100"/>
            </w:tcMar>
          </w:tcPr>
          <w:p>
            <w:r>
              <w:rPr>
                <w:rFonts w:ascii="Times New Roman" w:eastAsia="SimSun"/>
                <w:color w:val="1A2B40"/>
                <w:sz w:val="20"/>
                <w:szCs w:val="20"/>
              </w:rPr>
              <w:t xml:space="preserve">补充画面PPT/字幕条信息</w:t>
            </w:r>
          </w:p>
        </w:tc>
      </w:tr>
      <w:tr>
        <w:trPr>
          <w:cantSplit/>
        </w:trPr>
        <w:tc>
          <w:tcPr>
            <w:tcW w:type="pct" w:w="16%"/>
            <w:tcMar>
              <w:top w:type="dxa" w:w="60"/>
              <w:left w:type="dxa" w:w="100"/>
              <w:bottom w:type="dxa" w:w="60"/>
              <w:right w:type="dxa" w:w="100"/>
            </w:tcMar>
          </w:tcPr>
          <w:p>
            <w:r>
              <w:rPr>
                <w:rFonts w:ascii="Times New Roman" w:eastAsia="SimSun"/>
                <w:color w:val="1A2B40"/>
                <w:sz w:val="20"/>
                <w:szCs w:val="20"/>
              </w:rPr>
              <w:t xml:space="preserve">LLM方案</w:t>
            </w:r>
          </w:p>
        </w:tc>
        <w:tc>
          <w:tcPr>
            <w:tcW w:type="pct" w:w="22%"/>
            <w:tcMar>
              <w:top w:type="dxa" w:w="60"/>
              <w:left w:type="dxa" w:w="100"/>
              <w:bottom w:type="dxa" w:w="60"/>
              <w:right w:type="dxa" w:w="100"/>
            </w:tcMar>
          </w:tcPr>
          <w:p>
            <w:r>
              <w:rPr>
                <w:rFonts w:ascii="Times New Roman" w:eastAsia="SimSun"/>
                <w:color w:val="1A2B40"/>
                <w:sz w:val="20"/>
                <w:szCs w:val="20"/>
              </w:rPr>
              <w:t xml:space="preserve">Claude Pro订阅</w:t>
            </w:r>
          </w:p>
        </w:tc>
        <w:tc>
          <w:tcPr>
            <w:tcW w:type="pct" w:w="30%"/>
            <w:tcMar>
              <w:top w:type="dxa" w:w="60"/>
              <w:left w:type="dxa" w:w="100"/>
              <w:bottom w:type="dxa" w:w="60"/>
              <w:right w:type="dxa" w:w="100"/>
            </w:tcMar>
          </w:tcPr>
          <w:p>
            <w:r>
              <w:rPr>
                <w:rFonts w:ascii="Times New Roman" w:eastAsia="SimSun"/>
                <w:color w:val="1A2B40"/>
                <w:sz w:val="20"/>
                <w:szCs w:val="20"/>
              </w:rPr>
              <w:t xml:space="preserve">短期云端+长期本地Qwen2.5</w:t>
            </w:r>
          </w:p>
        </w:tc>
        <w:tc>
          <w:tcPr>
            <w:tcW w:type="pct" w:w="32%"/>
            <w:tcMar>
              <w:top w:type="dxa" w:w="60"/>
              <w:left w:type="dxa" w:w="100"/>
              <w:bottom w:type="dxa" w:w="60"/>
              <w:right w:type="dxa" w:w="100"/>
            </w:tcMar>
          </w:tcPr>
          <w:p>
            <w:r>
              <w:rPr>
                <w:rFonts w:ascii="Times New Roman" w:eastAsia="SimSun"/>
                <w:color w:val="1A2B40"/>
                <w:sz w:val="20"/>
                <w:szCs w:val="20"/>
              </w:rPr>
              <w:t xml:space="preserve">降低长期成本</w:t>
            </w:r>
          </w:p>
        </w:tc>
      </w:tr>
      <w:tr>
        <w:trPr>
          <w:cantSplit/>
        </w:trPr>
        <w:tc>
          <w:tcPr>
            <w:tcW w:type="pct" w:w="16%"/>
            <w:tcMar>
              <w:top w:type="dxa" w:w="60"/>
              <w:left w:type="dxa" w:w="100"/>
              <w:bottom w:type="dxa" w:w="60"/>
              <w:right w:type="dxa" w:w="100"/>
            </w:tcMar>
          </w:tcPr>
          <w:p>
            <w:r>
              <w:rPr>
                <w:rFonts w:ascii="Times New Roman" w:eastAsia="SimSun"/>
                <w:color w:val="1A2B40"/>
                <w:sz w:val="20"/>
                <w:szCs w:val="20"/>
              </w:rPr>
              <w:t xml:space="preserve">同步方案</w:t>
            </w:r>
          </w:p>
        </w:tc>
        <w:tc>
          <w:tcPr>
            <w:tcW w:type="pct" w:w="22%"/>
            <w:tcMar>
              <w:top w:type="dxa" w:w="60"/>
              <w:left w:type="dxa" w:w="100"/>
              <w:bottom w:type="dxa" w:w="60"/>
              <w:right w:type="dxa" w:w="100"/>
            </w:tcMar>
          </w:tcPr>
          <w:p>
            <w:r>
              <w:rPr>
                <w:rFonts w:ascii="Times New Roman" w:eastAsia="SimSun"/>
                <w:color w:val="1A2B40"/>
                <w:sz w:val="20"/>
                <w:szCs w:val="20"/>
              </w:rPr>
              <w:t xml:space="preserve">Obsidian Sync $4/月</w:t>
            </w:r>
          </w:p>
        </w:tc>
        <w:tc>
          <w:tcPr>
            <w:tcW w:type="pct" w:w="30%"/>
            <w:tcMar>
              <w:top w:type="dxa" w:w="60"/>
              <w:left w:type="dxa" w:w="100"/>
              <w:bottom w:type="dxa" w:w="60"/>
              <w:right w:type="dxa" w:w="100"/>
            </w:tcMar>
          </w:tcPr>
          <w:p>
            <w:r>
              <w:rPr>
                <w:rFonts w:ascii="Times New Roman" w:eastAsia="SimSun"/>
                <w:color w:val="1A2B40"/>
                <w:sz w:val="20"/>
                <w:szCs w:val="20"/>
              </w:rPr>
              <w:t xml:space="preserve">Syncthing+Git+iCloud三层</w:t>
            </w:r>
          </w:p>
        </w:tc>
        <w:tc>
          <w:tcPr>
            <w:tcW w:type="pct" w:w="32%"/>
            <w:tcMar>
              <w:top w:type="dxa" w:w="60"/>
              <w:left w:type="dxa" w:w="100"/>
              <w:bottom w:type="dxa" w:w="60"/>
              <w:right w:type="dxa" w:w="100"/>
            </w:tcMar>
          </w:tcPr>
          <w:p>
            <w:r>
              <w:rPr>
                <w:rFonts w:ascii="Times New Roman" w:eastAsia="SimSun"/>
                <w:color w:val="1A2B40"/>
                <w:sz w:val="20"/>
                <w:szCs w:val="20"/>
              </w:rPr>
              <w:t xml:space="preserve">免费+多层容灾</w:t>
            </w:r>
          </w:p>
        </w:tc>
      </w:tr>
      <w:tr>
        <w:trPr>
          <w:cantSplit/>
        </w:trPr>
        <w:tc>
          <w:tcPr>
            <w:tcW w:type="pct" w:w="16%"/>
            <w:tcMar>
              <w:top w:type="dxa" w:w="60"/>
              <w:left w:type="dxa" w:w="100"/>
              <w:bottom w:type="dxa" w:w="60"/>
              <w:right w:type="dxa" w:w="100"/>
            </w:tcMar>
          </w:tcPr>
          <w:p>
            <w:r>
              <w:rPr>
                <w:rFonts w:ascii="Times New Roman" w:eastAsia="SimSun"/>
                <w:color w:val="1A2B40"/>
                <w:sz w:val="20"/>
                <w:szCs w:val="20"/>
              </w:rPr>
              <w:t xml:space="preserve">硬件要求</w:t>
            </w:r>
          </w:p>
        </w:tc>
        <w:tc>
          <w:tcPr>
            <w:tcW w:type="pct" w:w="22%"/>
            <w:tcMar>
              <w:top w:type="dxa" w:w="60"/>
              <w:left w:type="dxa" w:w="100"/>
              <w:bottom w:type="dxa" w:w="60"/>
              <w:right w:type="dxa" w:w="100"/>
            </w:tcMar>
          </w:tcPr>
          <w:p>
            <w:r>
              <w:rPr>
                <w:rFonts w:ascii="Times New Roman" w:eastAsia="SimSun"/>
                <w:color w:val="1A2B40"/>
                <w:sz w:val="20"/>
                <w:szCs w:val="20"/>
              </w:rPr>
              <w:t xml:space="preserve">CPU即可</w:t>
            </w:r>
          </w:p>
        </w:tc>
        <w:tc>
          <w:tcPr>
            <w:tcW w:type="pct" w:w="30%"/>
            <w:tcMar>
              <w:top w:type="dxa" w:w="60"/>
              <w:left w:type="dxa" w:w="100"/>
              <w:bottom w:type="dxa" w:w="60"/>
              <w:right w:type="dxa" w:w="100"/>
            </w:tcMar>
          </w:tcPr>
          <w:p>
            <w:r>
              <w:rPr>
                <w:rFonts w:ascii="Times New Roman" w:eastAsia="SimSun"/>
                <w:color w:val="1A2B40"/>
                <w:sz w:val="20"/>
                <w:szCs w:val="20"/>
              </w:rPr>
              <w:t xml:space="preserve">需4070s 12GB GPU</w:t>
            </w:r>
          </w:p>
        </w:tc>
        <w:tc>
          <w:tcPr>
            <w:tcW w:type="pct" w:w="32%"/>
            <w:tcMar>
              <w:top w:type="dxa" w:w="60"/>
              <w:left w:type="dxa" w:w="100"/>
              <w:bottom w:type="dxa" w:w="60"/>
              <w:right w:type="dxa" w:w="100"/>
            </w:tcMar>
          </w:tcPr>
          <w:p>
            <w:r>
              <w:rPr>
                <w:rFonts w:ascii="Times New Roman" w:eastAsia="SimSun"/>
                <w:color w:val="1A2B40"/>
                <w:sz w:val="20"/>
                <w:szCs w:val="20"/>
              </w:rPr>
              <w:t xml:space="preserve">GPU加速Whisper和VLM</w:t>
            </w:r>
          </w:p>
        </w:tc>
      </w:tr>
      <w:tr>
        <w:trPr>
          <w:cantSplit/>
        </w:trPr>
        <w:tc>
          <w:tcPr>
            <w:tcW w:type="pct" w:w="16%"/>
            <w:tcMar>
              <w:top w:type="dxa" w:w="60"/>
              <w:left w:type="dxa" w:w="100"/>
              <w:bottom w:type="dxa" w:w="60"/>
              <w:right w:type="dxa" w:w="100"/>
            </w:tcMar>
          </w:tcPr>
          <w:p>
            <w:r>
              <w:rPr>
                <w:rFonts w:ascii="Times New Roman" w:eastAsia="SimSun"/>
                <w:color w:val="1A2B40"/>
                <w:sz w:val="20"/>
                <w:szCs w:val="20"/>
              </w:rPr>
              <w:t xml:space="preserve">月度成本</w:t>
            </w:r>
          </w:p>
        </w:tc>
        <w:tc>
          <w:tcPr>
            <w:tcW w:type="pct" w:w="22%"/>
            <w:tcMar>
              <w:top w:type="dxa" w:w="60"/>
              <w:left w:type="dxa" w:w="100"/>
              <w:bottom w:type="dxa" w:w="60"/>
              <w:right w:type="dxa" w:w="100"/>
            </w:tcMar>
          </w:tcPr>
          <w:p>
            <w:r>
              <w:rPr>
                <w:rFonts w:ascii="Times New Roman" w:eastAsia="SimSun"/>
                <w:color w:val="1A2B40"/>
                <w:sz w:val="20"/>
                <w:szCs w:val="20"/>
              </w:rPr>
              <w:t xml:space="preserve">约¥180</w:t>
            </w:r>
          </w:p>
        </w:tc>
        <w:tc>
          <w:tcPr>
            <w:tcW w:type="pct" w:w="30%"/>
            <w:tcMar>
              <w:top w:type="dxa" w:w="60"/>
              <w:left w:type="dxa" w:w="100"/>
              <w:bottom w:type="dxa" w:w="60"/>
              <w:right w:type="dxa" w:w="100"/>
            </w:tcMar>
          </w:tcPr>
          <w:p>
            <w:r>
              <w:rPr>
                <w:rFonts w:ascii="Times New Roman" w:eastAsia="SimSun"/>
                <w:color w:val="1A2B40"/>
                <w:sz w:val="20"/>
                <w:szCs w:val="20"/>
              </w:rPr>
              <w:t xml:space="preserve">约¥21</w:t>
            </w:r>
          </w:p>
        </w:tc>
        <w:tc>
          <w:tcPr>
            <w:tcW w:type="pct" w:w="32%"/>
            <w:tcMar>
              <w:top w:type="dxa" w:w="60"/>
              <w:left w:type="dxa" w:w="100"/>
              <w:bottom w:type="dxa" w:w="60"/>
              <w:right w:type="dxa" w:w="100"/>
            </w:tcMar>
          </w:tcPr>
          <w:p>
            <w:r>
              <w:rPr>
                <w:rFonts w:ascii="Times New Roman" w:eastAsia="SimSun"/>
                <w:color w:val="1A2B40"/>
                <w:sz w:val="20"/>
                <w:szCs w:val="20"/>
              </w:rPr>
              <w:t xml:space="preserve">节省88%</w:t>
            </w:r>
          </w:p>
        </w:tc>
      </w:tr>
      <w:tr>
        <w:trPr>
          <w:cantSplit/>
        </w:trPr>
        <w:tc>
          <w:tcPr>
            <w:tcW w:type="pct" w:w="16%"/>
            <w:tcMar>
              <w:top w:type="dxa" w:w="60"/>
              <w:left w:type="dxa" w:w="100"/>
              <w:bottom w:type="dxa" w:w="60"/>
              <w:right w:type="dxa" w:w="100"/>
            </w:tcMar>
          </w:tcPr>
          <w:p>
            <w:r>
              <w:rPr>
                <w:rFonts w:ascii="Times New Roman" w:eastAsia="SimSun"/>
                <w:color w:val="1A2B40"/>
                <w:sz w:val="20"/>
                <w:szCs w:val="20"/>
              </w:rPr>
              <w:t xml:space="preserve">3年TCO</w:t>
            </w:r>
          </w:p>
        </w:tc>
        <w:tc>
          <w:tcPr>
            <w:tcW w:type="pct" w:w="22%"/>
            <w:tcMar>
              <w:top w:type="dxa" w:w="60"/>
              <w:left w:type="dxa" w:w="100"/>
              <w:bottom w:type="dxa" w:w="60"/>
              <w:right w:type="dxa" w:w="100"/>
            </w:tcMar>
          </w:tcPr>
          <w:p>
            <w:r>
              <w:rPr>
                <w:rFonts w:ascii="Times New Roman" w:eastAsia="SimSun"/>
                <w:color w:val="1A2B40"/>
                <w:sz w:val="20"/>
                <w:szCs w:val="20"/>
              </w:rPr>
              <w:t xml:space="preserve">约¥5760</w:t>
            </w:r>
          </w:p>
        </w:tc>
        <w:tc>
          <w:tcPr>
            <w:tcW w:type="pct" w:w="30%"/>
            <w:tcMar>
              <w:top w:type="dxa" w:w="60"/>
              <w:left w:type="dxa" w:w="100"/>
              <w:bottom w:type="dxa" w:w="60"/>
              <w:right w:type="dxa" w:w="100"/>
            </w:tcMar>
          </w:tcPr>
          <w:p>
            <w:r>
              <w:rPr>
                <w:rFonts w:ascii="Times New Roman" w:eastAsia="SimSun"/>
                <w:color w:val="1A2B40"/>
                <w:sz w:val="20"/>
                <w:szCs w:val="20"/>
              </w:rPr>
              <w:t xml:space="preserve">约¥4656</w:t>
            </w:r>
          </w:p>
        </w:tc>
        <w:tc>
          <w:tcPr>
            <w:tcW w:type="pct" w:w="32%"/>
            <w:tcMar>
              <w:top w:type="dxa" w:w="60"/>
              <w:left w:type="dxa" w:w="100"/>
              <w:bottom w:type="dxa" w:w="60"/>
              <w:right w:type="dxa" w:w="100"/>
            </w:tcMar>
          </w:tcPr>
          <w:p>
            <w:r>
              <w:rPr>
                <w:rFonts w:ascii="Times New Roman" w:eastAsia="SimSun"/>
                <w:color w:val="1A2B40"/>
                <w:sz w:val="20"/>
                <w:szCs w:val="20"/>
              </w:rPr>
              <w:t xml:space="preserve">节省19%</w:t>
            </w:r>
          </w:p>
        </w:tc>
      </w:tr>
    </w:tbl>
    <w:p>
      <w:pPr>
        <w:pStyle w:val="Heading2"/>
        <w:spacing w:after="140" w:before="320" w:line="312"/>
      </w:pPr>
      <w:bookmarkStart w:id="100067" w:name="_Toc100067"/>
      <w:r>
        <w:rPr>
          <w:rFonts w:ascii="Calibri" w:eastAsia="SimHei"/>
          <w:b/>
          <w:bCs/>
          <w:color w:val="0A1628"/>
          <w:sz w:val="28"/>
          <w:szCs w:val="28"/>
        </w:rPr>
        <w:t xml:space="preserve">B. 术语表</w:t>
      </w:r>
      <w:bookmarkEnd w:id="100067"/>
    </w:p>
    <w:p>
      <w:pPr>
        <w:keepNext/>
        <w:spacing w:after="80" w:before="200"/>
      </w:pPr>
      <w:r>
        <w:rPr>
          <w:rFonts w:ascii="Calibri" w:eastAsia="SimHei"/>
          <w:b/>
          <w:bCs/>
          <w:color w:val="0A1628"/>
          <w:sz w:val="21"/>
          <w:szCs w:val="21"/>
        </w:rPr>
        <w:t xml:space="preserve">表B-1 术语表</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tblGrid>
      <w:tr>
        <w:trPr>
          <w:cantSplit/>
          <w:tblHeader/>
        </w:trPr>
        <w:tc>
          <w:tcPr>
            <w:tcW w:type="pct" w:w="1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术语</w:t>
            </w:r>
          </w:p>
        </w:tc>
        <w:tc>
          <w:tcPr>
            <w:tcW w:type="pct" w:w="2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全称</w:t>
            </w:r>
          </w:p>
        </w:tc>
        <w:tc>
          <w:tcPr>
            <w:tcW w:type="pct" w:w="54%"/>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说明</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OpenClaw</w:t>
            </w:r>
          </w:p>
        </w:tc>
        <w:tc>
          <w:tcPr>
            <w:tcW w:type="pct" w:w="28%"/>
            <w:tcMar>
              <w:top w:type="dxa" w:w="60"/>
              <w:left w:type="dxa" w:w="100"/>
              <w:bottom w:type="dxa" w:w="60"/>
              <w:right w:type="dxa" w:w="100"/>
            </w:tcMar>
          </w:tcPr>
          <w:p>
            <w:r>
              <w:rPr>
                <w:rFonts w:ascii="Times New Roman" w:eastAsia="SimSun"/>
                <w:color w:val="1A2B40"/>
                <w:sz w:val="20"/>
                <w:szCs w:val="20"/>
              </w:rPr>
              <w:t xml:space="preserve">—</w:t>
            </w:r>
          </w:p>
        </w:tc>
        <w:tc>
          <w:tcPr>
            <w:tcW w:type="pct" w:w="54%"/>
            <w:tcMar>
              <w:top w:type="dxa" w:w="60"/>
              <w:left w:type="dxa" w:w="100"/>
              <w:bottom w:type="dxa" w:w="60"/>
              <w:right w:type="dxa" w:w="100"/>
            </w:tcMar>
          </w:tcPr>
          <w:p>
            <w:r>
              <w:rPr>
                <w:rFonts w:ascii="Times New Roman" w:eastAsia="SimSun"/>
                <w:color w:val="1A2B40"/>
                <w:sz w:val="20"/>
                <w:szCs w:val="20"/>
              </w:rPr>
              <w:t xml:space="preserve">用户PC上常驻的Agent编排服务，已对接飞书bot</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faster-whisper</w:t>
            </w:r>
          </w:p>
        </w:tc>
        <w:tc>
          <w:tcPr>
            <w:tcW w:type="pct" w:w="28%"/>
            <w:tcMar>
              <w:top w:type="dxa" w:w="60"/>
              <w:left w:type="dxa" w:w="100"/>
              <w:bottom w:type="dxa" w:w="60"/>
              <w:right w:type="dxa" w:w="100"/>
            </w:tcMar>
          </w:tcPr>
          <w:p>
            <w:r>
              <w:rPr>
                <w:rFonts w:ascii="Times New Roman" w:eastAsia="SimSun"/>
                <w:color w:val="1A2B40"/>
                <w:sz w:val="20"/>
                <w:szCs w:val="20"/>
              </w:rPr>
              <w:t xml:space="preserve">—</w:t>
            </w:r>
          </w:p>
        </w:tc>
        <w:tc>
          <w:tcPr>
            <w:tcW w:type="pct" w:w="54%"/>
            <w:tcMar>
              <w:top w:type="dxa" w:w="60"/>
              <w:left w:type="dxa" w:w="100"/>
              <w:bottom w:type="dxa" w:w="60"/>
              <w:right w:type="dxa" w:w="100"/>
            </w:tcMar>
          </w:tcPr>
          <w:p>
            <w:r>
              <w:rPr>
                <w:rFonts w:ascii="Times New Roman" w:eastAsia="SimSun"/>
                <w:color w:val="1A2B40"/>
                <w:sz w:val="20"/>
                <w:szCs w:val="20"/>
              </w:rPr>
              <w:t xml:space="preserve">Whisper的CTranslate2实现，GPU加速版</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VTT</w:t>
            </w:r>
          </w:p>
        </w:tc>
        <w:tc>
          <w:tcPr>
            <w:tcW w:type="pct" w:w="28%"/>
            <w:tcMar>
              <w:top w:type="dxa" w:w="60"/>
              <w:left w:type="dxa" w:w="100"/>
              <w:bottom w:type="dxa" w:w="60"/>
              <w:right w:type="dxa" w:w="100"/>
            </w:tcMar>
          </w:tcPr>
          <w:p>
            <w:r>
              <w:rPr>
                <w:rFonts w:ascii="Times New Roman" w:eastAsia="SimSun"/>
                <w:color w:val="1A2B40"/>
                <w:sz w:val="20"/>
                <w:szCs w:val="20"/>
              </w:rPr>
              <w:t xml:space="preserve">WebVTT</w:t>
            </w:r>
          </w:p>
        </w:tc>
        <w:tc>
          <w:tcPr>
            <w:tcW w:type="pct" w:w="54%"/>
            <w:tcMar>
              <w:top w:type="dxa" w:w="60"/>
              <w:left w:type="dxa" w:w="100"/>
              <w:bottom w:type="dxa" w:w="60"/>
              <w:right w:type="dxa" w:w="100"/>
            </w:tcMar>
          </w:tcPr>
          <w:p>
            <w:r>
              <w:rPr>
                <w:rFonts w:ascii="Times New Roman" w:eastAsia="SimSun"/>
                <w:color w:val="1A2B40"/>
                <w:sz w:val="20"/>
                <w:szCs w:val="20"/>
              </w:rPr>
              <w:t xml:space="preserve">Web Video Text Tracks Format，字幕文件格式</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VLM</w:t>
            </w:r>
          </w:p>
        </w:tc>
        <w:tc>
          <w:tcPr>
            <w:tcW w:type="pct" w:w="28%"/>
            <w:tcMar>
              <w:top w:type="dxa" w:w="60"/>
              <w:left w:type="dxa" w:w="100"/>
              <w:bottom w:type="dxa" w:w="60"/>
              <w:right w:type="dxa" w:w="100"/>
            </w:tcMar>
          </w:tcPr>
          <w:p>
            <w:r>
              <w:rPr>
                <w:rFonts w:ascii="Times New Roman" w:eastAsia="SimSun"/>
                <w:color w:val="1A2B40"/>
                <w:sz w:val="20"/>
                <w:szCs w:val="20"/>
              </w:rPr>
              <w:t xml:space="preserve">Vision Language Model</w:t>
            </w:r>
          </w:p>
        </w:tc>
        <w:tc>
          <w:tcPr>
            <w:tcW w:type="pct" w:w="54%"/>
            <w:tcMar>
              <w:top w:type="dxa" w:w="60"/>
              <w:left w:type="dxa" w:w="100"/>
              <w:bottom w:type="dxa" w:w="60"/>
              <w:right w:type="dxa" w:w="100"/>
            </w:tcMar>
          </w:tcPr>
          <w:p>
            <w:r>
              <w:rPr>
                <w:rFonts w:ascii="Times New Roman" w:eastAsia="SimSun"/>
                <w:color w:val="1A2B40"/>
                <w:sz w:val="20"/>
                <w:szCs w:val="20"/>
              </w:rPr>
              <w:t xml:space="preserve">视觉语言模型，能理解图片内容</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MCP</w:t>
            </w:r>
          </w:p>
        </w:tc>
        <w:tc>
          <w:tcPr>
            <w:tcW w:type="pct" w:w="28%"/>
            <w:tcMar>
              <w:top w:type="dxa" w:w="60"/>
              <w:left w:type="dxa" w:w="100"/>
              <w:bottom w:type="dxa" w:w="60"/>
              <w:right w:type="dxa" w:w="100"/>
            </w:tcMar>
          </w:tcPr>
          <w:p>
            <w:r>
              <w:rPr>
                <w:rFonts w:ascii="Times New Roman" w:eastAsia="SimSun"/>
                <w:color w:val="1A2B40"/>
                <w:sz w:val="20"/>
                <w:szCs w:val="20"/>
              </w:rPr>
              <w:t xml:space="preserve">Model Context Protocol</w:t>
            </w:r>
          </w:p>
        </w:tc>
        <w:tc>
          <w:tcPr>
            <w:tcW w:type="pct" w:w="54%"/>
            <w:tcMar>
              <w:top w:type="dxa" w:w="60"/>
              <w:left w:type="dxa" w:w="100"/>
              <w:bottom w:type="dxa" w:w="60"/>
              <w:right w:type="dxa" w:w="100"/>
            </w:tcMar>
          </w:tcPr>
          <w:p>
            <w:r>
              <w:rPr>
                <w:rFonts w:ascii="Times New Roman" w:eastAsia="SimSun"/>
                <w:color w:val="1A2B40"/>
                <w:sz w:val="20"/>
                <w:szCs w:val="20"/>
              </w:rPr>
              <w:t xml:space="preserve">Anthropic推出的AI工具调用标准协议</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Syncthing</w:t>
            </w:r>
          </w:p>
        </w:tc>
        <w:tc>
          <w:tcPr>
            <w:tcW w:type="pct" w:w="28%"/>
            <w:tcMar>
              <w:top w:type="dxa" w:w="60"/>
              <w:left w:type="dxa" w:w="100"/>
              <w:bottom w:type="dxa" w:w="60"/>
              <w:right w:type="dxa" w:w="100"/>
            </w:tcMar>
          </w:tcPr>
          <w:p>
            <w:r>
              <w:rPr>
                <w:rFonts w:ascii="Times New Roman" w:eastAsia="SimSun"/>
                <w:color w:val="1A2B40"/>
                <w:sz w:val="20"/>
                <w:szCs w:val="20"/>
              </w:rPr>
              <w:t xml:space="preserve">—</w:t>
            </w:r>
          </w:p>
        </w:tc>
        <w:tc>
          <w:tcPr>
            <w:tcW w:type="pct" w:w="54%"/>
            <w:tcMar>
              <w:top w:type="dxa" w:w="60"/>
              <w:left w:type="dxa" w:w="100"/>
              <w:bottom w:type="dxa" w:w="60"/>
              <w:right w:type="dxa" w:w="100"/>
            </w:tcMar>
          </w:tcPr>
          <w:p>
            <w:r>
              <w:rPr>
                <w:rFonts w:ascii="Times New Roman" w:eastAsia="SimSun"/>
                <w:color w:val="1A2B40"/>
                <w:sz w:val="20"/>
                <w:szCs w:val="20"/>
              </w:rPr>
              <w:t xml:space="preserve">开源P2P文件同步工具</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yt-dlp</w:t>
            </w:r>
          </w:p>
        </w:tc>
        <w:tc>
          <w:tcPr>
            <w:tcW w:type="pct" w:w="28%"/>
            <w:tcMar>
              <w:top w:type="dxa" w:w="60"/>
              <w:left w:type="dxa" w:w="100"/>
              <w:bottom w:type="dxa" w:w="60"/>
              <w:right w:type="dxa" w:w="100"/>
            </w:tcMar>
          </w:tcPr>
          <w:p>
            <w:r>
              <w:rPr>
                <w:rFonts w:ascii="Times New Roman" w:eastAsia="SimSun"/>
                <w:color w:val="1A2B40"/>
                <w:sz w:val="20"/>
                <w:szCs w:val="20"/>
              </w:rPr>
              <w:t xml:space="preserve">—</w:t>
            </w:r>
          </w:p>
        </w:tc>
        <w:tc>
          <w:tcPr>
            <w:tcW w:type="pct" w:w="54%"/>
            <w:tcMar>
              <w:top w:type="dxa" w:w="60"/>
              <w:left w:type="dxa" w:w="100"/>
              <w:bottom w:type="dxa" w:w="60"/>
              <w:right w:type="dxa" w:w="100"/>
            </w:tcMar>
          </w:tcPr>
          <w:p>
            <w:r>
              <w:rPr>
                <w:rFonts w:ascii="Times New Roman" w:eastAsia="SimSun"/>
                <w:color w:val="1A2B40"/>
                <w:sz w:val="20"/>
                <w:szCs w:val="20"/>
              </w:rPr>
              <w:t xml:space="preserve">youtube-dl的活跃fork，支持1000+视频站点</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关键帧</w:t>
            </w:r>
          </w:p>
        </w:tc>
        <w:tc>
          <w:tcPr>
            <w:tcW w:type="pct" w:w="28%"/>
            <w:tcMar>
              <w:top w:type="dxa" w:w="60"/>
              <w:left w:type="dxa" w:w="100"/>
              <w:bottom w:type="dxa" w:w="60"/>
              <w:right w:type="dxa" w:w="100"/>
            </w:tcMar>
          </w:tcPr>
          <w:p>
            <w:r>
              <w:rPr>
                <w:rFonts w:ascii="Times New Roman" w:eastAsia="SimSun"/>
                <w:color w:val="1A2B40"/>
                <w:sz w:val="20"/>
                <w:szCs w:val="20"/>
              </w:rPr>
              <w:t xml:space="preserve">Keyframe</w:t>
            </w:r>
          </w:p>
        </w:tc>
        <w:tc>
          <w:tcPr>
            <w:tcW w:type="pct" w:w="54%"/>
            <w:tcMar>
              <w:top w:type="dxa" w:w="60"/>
              <w:left w:type="dxa" w:w="100"/>
              <w:bottom w:type="dxa" w:w="60"/>
              <w:right w:type="dxa" w:w="100"/>
            </w:tcMar>
          </w:tcPr>
          <w:p>
            <w:r>
              <w:rPr>
                <w:rFonts w:ascii="Times New Roman" w:eastAsia="SimSun"/>
                <w:color w:val="1A2B40"/>
                <w:sz w:val="20"/>
                <w:szCs w:val="20"/>
              </w:rPr>
              <w:t xml:space="preserve">视频画面变化显著的帧，用于VLM理解</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tenant_access_token</w:t>
            </w:r>
          </w:p>
        </w:tc>
        <w:tc>
          <w:tcPr>
            <w:tcW w:type="pct" w:w="28%"/>
            <w:tcMar>
              <w:top w:type="dxa" w:w="60"/>
              <w:left w:type="dxa" w:w="100"/>
              <w:bottom w:type="dxa" w:w="60"/>
              <w:right w:type="dxa" w:w="100"/>
            </w:tcMar>
          </w:tcPr>
          <w:p>
            <w:r>
              <w:rPr>
                <w:rFonts w:ascii="Times New Roman" w:eastAsia="SimSun"/>
                <w:color w:val="1A2B40"/>
                <w:sz w:val="20"/>
                <w:szCs w:val="20"/>
              </w:rPr>
              <w:t xml:space="preserve">—</w:t>
            </w:r>
          </w:p>
        </w:tc>
        <w:tc>
          <w:tcPr>
            <w:tcW w:type="pct" w:w="54%"/>
            <w:tcMar>
              <w:top w:type="dxa" w:w="60"/>
              <w:left w:type="dxa" w:w="100"/>
              <w:bottom w:type="dxa" w:w="60"/>
              <w:right w:type="dxa" w:w="100"/>
            </w:tcMar>
          </w:tcPr>
          <w:p>
            <w:r>
              <w:rPr>
                <w:rFonts w:ascii="Times New Roman" w:eastAsia="SimSun"/>
                <w:color w:val="1A2B40"/>
                <w:sz w:val="20"/>
                <w:szCs w:val="20"/>
              </w:rPr>
              <w:t xml:space="preserve">飞书应用调用API的访问令牌，有效期2小时</w:t>
            </w:r>
          </w:p>
        </w:tc>
      </w:tr>
      <w:tr>
        <w:trPr>
          <w:cantSplit/>
        </w:trPr>
        <w:tc>
          <w:tcPr>
            <w:tcW w:type="pct" w:w="18%"/>
            <w:tcMar>
              <w:top w:type="dxa" w:w="60"/>
              <w:left w:type="dxa" w:w="100"/>
              <w:bottom w:type="dxa" w:w="60"/>
              <w:right w:type="dxa" w:w="100"/>
            </w:tcMar>
          </w:tcPr>
          <w:p>
            <w:r>
              <w:rPr>
                <w:rFonts w:ascii="Times New Roman" w:eastAsia="SimSun"/>
                <w:color w:val="1A2B40"/>
                <w:sz w:val="20"/>
                <w:szCs w:val="20"/>
              </w:rPr>
              <w:t xml:space="preserve">CC字幕</w:t>
            </w:r>
          </w:p>
        </w:tc>
        <w:tc>
          <w:tcPr>
            <w:tcW w:type="pct" w:w="28%"/>
            <w:tcMar>
              <w:top w:type="dxa" w:w="60"/>
              <w:left w:type="dxa" w:w="100"/>
              <w:bottom w:type="dxa" w:w="60"/>
              <w:right w:type="dxa" w:w="100"/>
            </w:tcMar>
          </w:tcPr>
          <w:p>
            <w:r>
              <w:rPr>
                <w:rFonts w:ascii="Times New Roman" w:eastAsia="SimSun"/>
                <w:color w:val="1A2B40"/>
                <w:sz w:val="20"/>
                <w:szCs w:val="20"/>
              </w:rPr>
              <w:t xml:space="preserve">Closed Caption</w:t>
            </w:r>
          </w:p>
        </w:tc>
        <w:tc>
          <w:tcPr>
            <w:tcW w:type="pct" w:w="54%"/>
            <w:tcMar>
              <w:top w:type="dxa" w:w="60"/>
              <w:left w:type="dxa" w:w="100"/>
              <w:bottom w:type="dxa" w:w="60"/>
              <w:right w:type="dxa" w:w="100"/>
            </w:tcMar>
          </w:tcPr>
          <w:p>
            <w:r>
              <w:rPr>
                <w:rFonts w:ascii="Times New Roman" w:eastAsia="SimSun"/>
                <w:color w:val="1A2B40"/>
                <w:sz w:val="20"/>
                <w:szCs w:val="20"/>
              </w:rPr>
              <w:t xml:space="preserve">视频字幕轨道，可开关显示</w:t>
            </w:r>
          </w:p>
        </w:tc>
      </w:tr>
    </w:tbl>
    <w:p>
      <w:pPr>
        <w:pStyle w:val="Heading2"/>
        <w:spacing w:after="140" w:before="320" w:line="312"/>
      </w:pPr>
      <w:bookmarkStart w:id="100068" w:name="_Toc100068"/>
      <w:r>
        <w:rPr>
          <w:rFonts w:ascii="Calibri" w:eastAsia="SimHei"/>
          <w:b/>
          <w:bCs/>
          <w:color w:val="0A1628"/>
          <w:sz w:val="28"/>
          <w:szCs w:val="28"/>
        </w:rPr>
        <w:t xml:space="preserve">C. 参考资料URL清单</w:t>
      </w:r>
      <w:bookmarkEnd w:id="100068"/>
    </w:p>
    <w:p>
      <w:pPr>
        <w:spacing w:after="80" w:line="312"/>
        <w:ind w:firstLine="480"/>
        <w:jc w:val="both"/>
      </w:pPr>
      <w:r>
        <w:rPr>
          <w:rFonts w:ascii="Times New Roman" w:eastAsia="SimSun"/>
          <w:color w:val="1A2B40"/>
          <w:sz w:val="24"/>
          <w:szCs w:val="24"/>
        </w:rPr>
        <w:t xml:space="preserve">以下列出本PRD涉及的核心参考资料及其URL。</w:t>
      </w:r>
    </w:p>
    <w:p>
      <w:pPr>
        <w:pStyle w:val="ListParagraph"/>
        <w:numPr>
          <w:ilvl w:val="0"/>
          <w:numId w:val="1"/>
        </w:numPr>
        <w:spacing w:after="60" w:line="312"/>
      </w:pPr>
      <w:r>
        <w:rPr>
          <w:rFonts w:ascii="Times New Roman" w:eastAsia="SimSun"/>
          <w:color w:val="1A2B40"/>
          <w:sz w:val="24"/>
          <w:szCs w:val="24"/>
        </w:rPr>
        <w:t xml:space="preserve">yt-dlp官方仓库：https://github.com/yt-dlp/yt-dlp</w:t>
      </w:r>
    </w:p>
    <w:p>
      <w:pPr>
        <w:pStyle w:val="ListParagraph"/>
        <w:numPr>
          <w:ilvl w:val="0"/>
          <w:numId w:val="1"/>
        </w:numPr>
        <w:spacing w:after="60" w:line="312"/>
      </w:pPr>
      <w:r>
        <w:rPr>
          <w:rFonts w:ascii="Times New Roman" w:eastAsia="SimSun"/>
          <w:color w:val="1A2B40"/>
          <w:sz w:val="24"/>
          <w:szCs w:val="24"/>
        </w:rPr>
        <w:t xml:space="preserve">faster-whisper官方仓库：https://github.com/SYSTRAN/faster-whisper</w:t>
      </w:r>
    </w:p>
    <w:p>
      <w:pPr>
        <w:pStyle w:val="ListParagraph"/>
        <w:numPr>
          <w:ilvl w:val="0"/>
          <w:numId w:val="1"/>
        </w:numPr>
        <w:spacing w:after="60" w:line="312"/>
      </w:pPr>
      <w:r>
        <w:rPr>
          <w:rFonts w:ascii="Times New Roman" w:eastAsia="SimSun"/>
          <w:color w:val="1A2B40"/>
          <w:sz w:val="24"/>
          <w:szCs w:val="24"/>
        </w:rPr>
        <w:t xml:space="preserve">faster-whisper模型选型指南：https://github.com/SYSTRAN/faster-whisper#model-conversion</w:t>
      </w:r>
    </w:p>
    <w:p>
      <w:pPr>
        <w:pStyle w:val="ListParagraph"/>
        <w:numPr>
          <w:ilvl w:val="0"/>
          <w:numId w:val="1"/>
        </w:numPr>
        <w:spacing w:after="60" w:line="312"/>
      </w:pPr>
      <w:r>
        <w:rPr>
          <w:rFonts w:ascii="Times New Roman" w:eastAsia="SimSun"/>
          <w:color w:val="1A2B40"/>
          <w:sz w:val="24"/>
          <w:szCs w:val="24"/>
        </w:rPr>
        <w:t xml:space="preserve">飞书开放平台事件订阅文档：https://open.feishu.cn/document/uAjLw4CM/ukTMukTMukTM/reference/im-v1/message/events/receive</w:t>
      </w:r>
    </w:p>
    <w:p>
      <w:pPr>
        <w:pStyle w:val="ListParagraph"/>
        <w:numPr>
          <w:ilvl w:val="0"/>
          <w:numId w:val="1"/>
        </w:numPr>
        <w:spacing w:after="60" w:line="312"/>
      </w:pPr>
      <w:r>
        <w:rPr>
          <w:rFonts w:ascii="Times New Roman" w:eastAsia="SimSun"/>
          <w:color w:val="1A2B40"/>
          <w:sz w:val="24"/>
          <w:szCs w:val="24"/>
        </w:rPr>
        <w:t xml:space="preserve">飞书自建应用创建指南：https://open.feishu.cn/document/home/develop-a-bot-in-5-minutes/create-an-app</w:t>
      </w:r>
    </w:p>
    <w:p>
      <w:pPr>
        <w:pStyle w:val="ListParagraph"/>
        <w:numPr>
          <w:ilvl w:val="0"/>
          <w:numId w:val="1"/>
        </w:numPr>
        <w:spacing w:after="60" w:line="312"/>
      </w:pPr>
      <w:r>
        <w:rPr>
          <w:rFonts w:ascii="Times New Roman" w:eastAsia="SimSun"/>
          <w:color w:val="1A2B40"/>
          <w:sz w:val="24"/>
          <w:szCs w:val="24"/>
        </w:rPr>
        <w:t xml:space="preserve">Qwen2-VL官方仓库：https://github.com/QwenLM/Qwen2-VL</w:t>
      </w:r>
    </w:p>
    <w:p>
      <w:pPr>
        <w:pStyle w:val="ListParagraph"/>
        <w:numPr>
          <w:ilvl w:val="0"/>
          <w:numId w:val="1"/>
        </w:numPr>
        <w:spacing w:after="60" w:line="312"/>
      </w:pPr>
      <w:r>
        <w:rPr>
          <w:rFonts w:ascii="Times New Roman" w:eastAsia="SimSun"/>
          <w:color w:val="1A2B40"/>
          <w:sz w:val="24"/>
          <w:szCs w:val="24"/>
        </w:rPr>
        <w:t xml:space="preserve">Qwen2.5 LLM官方仓库：https://github.com/QwenLM/Qwen2.5</w:t>
      </w:r>
    </w:p>
    <w:p>
      <w:pPr>
        <w:pStyle w:val="ListParagraph"/>
        <w:numPr>
          <w:ilvl w:val="0"/>
          <w:numId w:val="1"/>
        </w:numPr>
        <w:spacing w:after="60" w:line="312"/>
      </w:pPr>
      <w:r>
        <w:rPr>
          <w:rFonts w:ascii="Times New Roman" w:eastAsia="SimSun"/>
          <w:color w:val="1A2B40"/>
          <w:sz w:val="24"/>
          <w:szCs w:val="24"/>
        </w:rPr>
        <w:t xml:space="preserve">Ollama本地LLM部署：https://ollama.com/</w:t>
      </w:r>
    </w:p>
    <w:p>
      <w:pPr>
        <w:pStyle w:val="ListParagraph"/>
        <w:numPr>
          <w:ilvl w:val="0"/>
          <w:numId w:val="1"/>
        </w:numPr>
        <w:spacing w:after="60" w:line="312"/>
      </w:pPr>
      <w:r>
        <w:rPr>
          <w:rFonts w:ascii="Times New Roman" w:eastAsia="SimSun"/>
          <w:color w:val="1A2B40"/>
          <w:sz w:val="24"/>
          <w:szCs w:val="24"/>
        </w:rPr>
        <w:t xml:space="preserve">Syncthing官方文档：https://docs.syncthing.net/</w:t>
      </w:r>
    </w:p>
    <w:p>
      <w:pPr>
        <w:pStyle w:val="ListParagraph"/>
        <w:numPr>
          <w:ilvl w:val="0"/>
          <w:numId w:val="1"/>
        </w:numPr>
        <w:spacing w:after="60" w:line="312"/>
      </w:pPr>
      <w:r>
        <w:rPr>
          <w:rFonts w:ascii="Times New Roman" w:eastAsia="SimSun"/>
          <w:color w:val="1A2B40"/>
          <w:sz w:val="24"/>
          <w:szCs w:val="24"/>
        </w:rPr>
        <w:t xml:space="preserve">Obsidian+Syncthing同步教程：https://docs.syncthing.net/users/obsidian.html</w:t>
      </w:r>
    </w:p>
    <w:p>
      <w:pPr>
        <w:pStyle w:val="ListParagraph"/>
        <w:numPr>
          <w:ilvl w:val="0"/>
          <w:numId w:val="1"/>
        </w:numPr>
        <w:spacing w:after="60" w:line="312"/>
      </w:pPr>
      <w:r>
        <w:rPr>
          <w:rFonts w:ascii="Times New Roman" w:eastAsia="SimSun"/>
          <w:color w:val="1A2B40"/>
          <w:sz w:val="24"/>
          <w:szCs w:val="24"/>
        </w:rPr>
        <w:t xml:space="preserve">ffmpeg场景检测文档：https://ffmpeg.org/ffmpeg-filters.html#select-1</w:t>
      </w:r>
    </w:p>
    <w:p>
      <w:pPr>
        <w:pStyle w:val="ListParagraph"/>
        <w:numPr>
          <w:ilvl w:val="0"/>
          <w:numId w:val="1"/>
        </w:numPr>
        <w:spacing w:after="60" w:line="312"/>
      </w:pPr>
      <w:r>
        <w:rPr>
          <w:rFonts w:ascii="Times New Roman" w:eastAsia="SimSun"/>
          <w:color w:val="1A2B40"/>
          <w:sz w:val="24"/>
          <w:szCs w:val="24"/>
        </w:rPr>
        <w:t xml:space="preserve">WebVTT格式规范：https://www.w3.org/TR/webvtt1/</w:t>
      </w:r>
    </w:p>
    <w:p>
      <w:pPr>
        <w:pStyle w:val="ListParagraph"/>
        <w:numPr>
          <w:ilvl w:val="0"/>
          <w:numId w:val="1"/>
        </w:numPr>
        <w:spacing w:after="60" w:line="312"/>
      </w:pPr>
      <w:r>
        <w:rPr>
          <w:rFonts w:ascii="Times New Roman" w:eastAsia="SimSun"/>
          <w:color w:val="1A2B40"/>
          <w:sz w:val="24"/>
          <w:szCs w:val="24"/>
        </w:rPr>
        <w:t xml:space="preserve">抖音字幕下载教程（含cookies）：https://cloud.tencent.com/developer/article/2509252</w:t>
      </w:r>
    </w:p>
    <w:p>
      <w:pPr>
        <w:pStyle w:val="Heading2"/>
        <w:spacing w:after="140" w:before="320" w:line="312"/>
      </w:pPr>
      <w:bookmarkStart w:id="100069" w:name="_Toc100069"/>
      <w:r>
        <w:rPr>
          <w:rFonts w:ascii="Calibri" w:eastAsia="SimHei"/>
          <w:b/>
          <w:bCs/>
          <w:color w:val="0A1628"/>
          <w:sz w:val="28"/>
          <w:szCs w:val="28"/>
        </w:rPr>
        <w:t xml:space="preserve">D. 工具版本速查表</w:t>
      </w:r>
      <w:bookmarkEnd w:id="100069"/>
    </w:p>
    <w:p>
      <w:pPr>
        <w:keepNext/>
        <w:spacing w:after="80" w:before="200"/>
      </w:pPr>
      <w:r>
        <w:rPr>
          <w:rFonts w:ascii="Calibri" w:eastAsia="SimHei"/>
          <w:b/>
          <w:bCs/>
          <w:color w:val="0A1628"/>
          <w:sz w:val="21"/>
          <w:szCs w:val="21"/>
        </w:rPr>
        <w:t xml:space="preserve">表D-1 推荐工具版本</w:t>
      </w:r>
    </w:p>
    <w:tbl>
      <w:tblPr>
        <w:tblW w:type="pct" w:w="100%"/>
        <w:tblBorders>
          <w:top w:val="single" w:color="1B6B7A" w:sz="4"/>
          <w:left w:val="none"/>
          <w:bottom w:val="single" w:color="1B6B7A" w:sz="4"/>
          <w:right w:val="none"/>
          <w:insideH w:val="single" w:color="D0D8DE" w:sz="1"/>
          <w:insideV w:val="none"/>
        </w:tblBorders>
      </w:tblPr>
      <w:tblGrid>
        <w:gridCol w:w="100"/>
        <w:gridCol w:w="100"/>
        <w:gridCol w:w="100"/>
        <w:gridCol w:w="100"/>
      </w:tblGrid>
      <w:tr>
        <w:trPr>
          <w:cantSplit/>
          <w:tblHeader/>
        </w:trPr>
        <w:tc>
          <w:tcPr>
            <w:tcW w:type="pct" w:w="22%"/>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工具</w:t>
            </w:r>
          </w:p>
        </w:tc>
        <w:tc>
          <w:tcPr>
            <w:tcW w:type="pct" w:w="18%"/>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推荐版本</w:t>
            </w:r>
          </w:p>
        </w:tc>
        <w:tc>
          <w:tcPr>
            <w:tcW w:type="pct" w:w="14%"/>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最低版本</w:t>
            </w:r>
          </w:p>
        </w:tc>
        <w:tc>
          <w:tcPr>
            <w:tcW w:type="pct" w:w="46%"/>
            <w:shd w:fill="1B6B7A" w:val="clear"/>
            <w:tcMar>
              <w:top w:type="dxa" w:w="80"/>
              <w:left w:type="dxa" w:w="100"/>
              <w:bottom w:type="dxa" w:w="80"/>
              <w:right w:type="dxa" w:w="100"/>
            </w:tcMar>
          </w:tcPr>
          <w:p>
            <w:pPr>
              <w:jc w:val="center"/>
            </w:pPr>
            <w:r>
              <w:rPr>
                <w:rFonts w:ascii="Calibri" w:eastAsia="SimHei"/>
                <w:b/>
                <w:bCs/>
                <w:color w:val="FFFFFF"/>
                <w:sz w:val="21"/>
                <w:szCs w:val="21"/>
              </w:rPr>
              <w:t xml:space="preserve">获取方式</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Python</w:t>
            </w:r>
          </w:p>
        </w:tc>
        <w:tc>
          <w:tcPr>
            <w:tcW w:type="pct" w:w="18%"/>
            <w:tcMar>
              <w:top w:type="dxa" w:w="60"/>
              <w:left w:type="dxa" w:w="100"/>
              <w:bottom w:type="dxa" w:w="60"/>
              <w:right w:type="dxa" w:w="100"/>
            </w:tcMar>
          </w:tcPr>
          <w:p>
            <w:r>
              <w:rPr>
                <w:rFonts w:ascii="Times New Roman" w:eastAsia="SimSun"/>
                <w:color w:val="1A2B40"/>
                <w:sz w:val="20"/>
                <w:szCs w:val="20"/>
              </w:rPr>
              <w:t xml:space="preserve">3.11</w:t>
            </w:r>
          </w:p>
        </w:tc>
        <w:tc>
          <w:tcPr>
            <w:tcW w:type="pct" w:w="14%"/>
            <w:tcMar>
              <w:top w:type="dxa" w:w="60"/>
              <w:left w:type="dxa" w:w="100"/>
              <w:bottom w:type="dxa" w:w="60"/>
              <w:right w:type="dxa" w:w="100"/>
            </w:tcMar>
          </w:tcPr>
          <w:p>
            <w:r>
              <w:rPr>
                <w:rFonts w:ascii="Times New Roman" w:eastAsia="SimSun"/>
                <w:color w:val="1A2B40"/>
                <w:sz w:val="20"/>
                <w:szCs w:val="20"/>
              </w:rPr>
              <w:t xml:space="preserve">3.10</w:t>
            </w:r>
          </w:p>
        </w:tc>
        <w:tc>
          <w:tcPr>
            <w:tcW w:type="pct" w:w="46%"/>
            <w:tcMar>
              <w:top w:type="dxa" w:w="60"/>
              <w:left w:type="dxa" w:w="100"/>
              <w:bottom w:type="dxa" w:w="60"/>
              <w:right w:type="dxa" w:w="100"/>
            </w:tcMar>
          </w:tcPr>
          <w:p>
            <w:r>
              <w:rPr>
                <w:rFonts w:ascii="Times New Roman" w:eastAsia="SimSun"/>
                <w:color w:val="1A2B40"/>
                <w:sz w:val="20"/>
                <w:szCs w:val="20"/>
              </w:rPr>
              <w:t xml:space="preserve">https://python.org</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Node.js</w:t>
            </w:r>
          </w:p>
        </w:tc>
        <w:tc>
          <w:tcPr>
            <w:tcW w:type="pct" w:w="18%"/>
            <w:tcMar>
              <w:top w:type="dxa" w:w="60"/>
              <w:left w:type="dxa" w:w="100"/>
              <w:bottom w:type="dxa" w:w="60"/>
              <w:right w:type="dxa" w:w="100"/>
            </w:tcMar>
          </w:tcPr>
          <w:p>
            <w:r>
              <w:rPr>
                <w:rFonts w:ascii="Times New Roman" w:eastAsia="SimSun"/>
                <w:color w:val="1A2B40"/>
                <w:sz w:val="20"/>
                <w:szCs w:val="20"/>
              </w:rPr>
              <w:t xml:space="preserve">20 LTS</w:t>
            </w:r>
          </w:p>
        </w:tc>
        <w:tc>
          <w:tcPr>
            <w:tcW w:type="pct" w:w="14%"/>
            <w:tcMar>
              <w:top w:type="dxa" w:w="60"/>
              <w:left w:type="dxa" w:w="100"/>
              <w:bottom w:type="dxa" w:w="60"/>
              <w:right w:type="dxa" w:w="100"/>
            </w:tcMar>
          </w:tcPr>
          <w:p>
            <w:r>
              <w:rPr>
                <w:rFonts w:ascii="Times New Roman" w:eastAsia="SimSun"/>
                <w:color w:val="1A2B40"/>
                <w:sz w:val="20"/>
                <w:szCs w:val="20"/>
              </w:rPr>
              <w:t xml:space="preserve">18 LTS</w:t>
            </w:r>
          </w:p>
        </w:tc>
        <w:tc>
          <w:tcPr>
            <w:tcW w:type="pct" w:w="46%"/>
            <w:tcMar>
              <w:top w:type="dxa" w:w="60"/>
              <w:left w:type="dxa" w:w="100"/>
              <w:bottom w:type="dxa" w:w="60"/>
              <w:right w:type="dxa" w:w="100"/>
            </w:tcMar>
          </w:tcPr>
          <w:p>
            <w:r>
              <w:rPr>
                <w:rFonts w:ascii="Times New Roman" w:eastAsia="SimSun"/>
                <w:color w:val="1A2B40"/>
                <w:sz w:val="20"/>
                <w:szCs w:val="20"/>
              </w:rPr>
              <w:t xml:space="preserve">https://nodejs.org</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ffmpeg</w:t>
            </w:r>
          </w:p>
        </w:tc>
        <w:tc>
          <w:tcPr>
            <w:tcW w:type="pct" w:w="18%"/>
            <w:tcMar>
              <w:top w:type="dxa" w:w="60"/>
              <w:left w:type="dxa" w:w="100"/>
              <w:bottom w:type="dxa" w:w="60"/>
              <w:right w:type="dxa" w:w="100"/>
            </w:tcMar>
          </w:tcPr>
          <w:p>
            <w:r>
              <w:rPr>
                <w:rFonts w:ascii="Times New Roman" w:eastAsia="SimSun"/>
                <w:color w:val="1A2B40"/>
                <w:sz w:val="20"/>
                <w:szCs w:val="20"/>
              </w:rPr>
              <w:t xml:space="preserve">6.0</w:t>
            </w:r>
          </w:p>
        </w:tc>
        <w:tc>
          <w:tcPr>
            <w:tcW w:type="pct" w:w="14%"/>
            <w:tcMar>
              <w:top w:type="dxa" w:w="60"/>
              <w:left w:type="dxa" w:w="100"/>
              <w:bottom w:type="dxa" w:w="60"/>
              <w:right w:type="dxa" w:w="100"/>
            </w:tcMar>
          </w:tcPr>
          <w:p>
            <w:r>
              <w:rPr>
                <w:rFonts w:ascii="Times New Roman" w:eastAsia="SimSun"/>
                <w:color w:val="1A2B40"/>
                <w:sz w:val="20"/>
                <w:szCs w:val="20"/>
              </w:rPr>
              <w:t xml:space="preserve">5.0</w:t>
            </w:r>
          </w:p>
        </w:tc>
        <w:tc>
          <w:tcPr>
            <w:tcW w:type="pct" w:w="46%"/>
            <w:tcMar>
              <w:top w:type="dxa" w:w="60"/>
              <w:left w:type="dxa" w:w="100"/>
              <w:bottom w:type="dxa" w:w="60"/>
              <w:right w:type="dxa" w:w="100"/>
            </w:tcMar>
          </w:tcPr>
          <w:p>
            <w:r>
              <w:rPr>
                <w:rFonts w:ascii="Times New Roman" w:eastAsia="SimSun"/>
                <w:color w:val="1A2B40"/>
                <w:sz w:val="20"/>
                <w:szCs w:val="20"/>
              </w:rPr>
              <w:t xml:space="preserve">apt install ffmpeg / brew install ffmpeg</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yt-dlp</w:t>
            </w:r>
          </w:p>
        </w:tc>
        <w:tc>
          <w:tcPr>
            <w:tcW w:type="pct" w:w="18%"/>
            <w:tcMar>
              <w:top w:type="dxa" w:w="60"/>
              <w:left w:type="dxa" w:w="100"/>
              <w:bottom w:type="dxa" w:w="60"/>
              <w:right w:type="dxa" w:w="100"/>
            </w:tcMar>
          </w:tcPr>
          <w:p>
            <w:r>
              <w:rPr>
                <w:rFonts w:ascii="Times New Roman" w:eastAsia="SimSun"/>
                <w:color w:val="1A2B40"/>
                <w:sz w:val="20"/>
                <w:szCs w:val="20"/>
              </w:rPr>
              <w:t xml:space="preserve">最新nightly</w:t>
            </w:r>
          </w:p>
        </w:tc>
        <w:tc>
          <w:tcPr>
            <w:tcW w:type="pct" w:w="14%"/>
            <w:tcMar>
              <w:top w:type="dxa" w:w="60"/>
              <w:left w:type="dxa" w:w="100"/>
              <w:bottom w:type="dxa" w:w="60"/>
              <w:right w:type="dxa" w:w="100"/>
            </w:tcMar>
          </w:tcPr>
          <w:p>
            <w:r>
              <w:rPr>
                <w:rFonts w:ascii="Times New Roman" w:eastAsia="SimSun"/>
                <w:color w:val="1A2B40"/>
                <w:sz w:val="20"/>
                <w:szCs w:val="20"/>
              </w:rPr>
              <w:t xml:space="preserve">2024.01</w:t>
            </w:r>
          </w:p>
        </w:tc>
        <w:tc>
          <w:tcPr>
            <w:tcW w:type="pct" w:w="46%"/>
            <w:tcMar>
              <w:top w:type="dxa" w:w="60"/>
              <w:left w:type="dxa" w:w="100"/>
              <w:bottom w:type="dxa" w:w="60"/>
              <w:right w:type="dxa" w:w="100"/>
            </w:tcMar>
          </w:tcPr>
          <w:p>
            <w:r>
              <w:rPr>
                <w:rFonts w:ascii="Times New Roman" w:eastAsia="SimSun"/>
                <w:color w:val="1A2B40"/>
                <w:sz w:val="20"/>
                <w:szCs w:val="20"/>
              </w:rPr>
              <w:t xml:space="preserve">pip install -U yt-dlp</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faster-whisper</w:t>
            </w:r>
          </w:p>
        </w:tc>
        <w:tc>
          <w:tcPr>
            <w:tcW w:type="pct" w:w="18%"/>
            <w:tcMar>
              <w:top w:type="dxa" w:w="60"/>
              <w:left w:type="dxa" w:w="100"/>
              <w:bottom w:type="dxa" w:w="60"/>
              <w:right w:type="dxa" w:w="100"/>
            </w:tcMar>
          </w:tcPr>
          <w:p>
            <w:r>
              <w:rPr>
                <w:rFonts w:ascii="Times New Roman" w:eastAsia="SimSun"/>
                <w:color w:val="1A2B40"/>
                <w:sz w:val="20"/>
                <w:szCs w:val="20"/>
              </w:rPr>
              <w:t xml:space="preserve">1.0.3</w:t>
            </w:r>
          </w:p>
        </w:tc>
        <w:tc>
          <w:tcPr>
            <w:tcW w:type="pct" w:w="14%"/>
            <w:tcMar>
              <w:top w:type="dxa" w:w="60"/>
              <w:left w:type="dxa" w:w="100"/>
              <w:bottom w:type="dxa" w:w="60"/>
              <w:right w:type="dxa" w:w="100"/>
            </w:tcMar>
          </w:tcPr>
          <w:p>
            <w:r>
              <w:rPr>
                <w:rFonts w:ascii="Times New Roman" w:eastAsia="SimSun"/>
                <w:color w:val="1A2B40"/>
                <w:sz w:val="20"/>
                <w:szCs w:val="20"/>
              </w:rPr>
              <w:t xml:space="preserve">0.10.0</w:t>
            </w:r>
          </w:p>
        </w:tc>
        <w:tc>
          <w:tcPr>
            <w:tcW w:type="pct" w:w="46%"/>
            <w:tcMar>
              <w:top w:type="dxa" w:w="60"/>
              <w:left w:type="dxa" w:w="100"/>
              <w:bottom w:type="dxa" w:w="60"/>
              <w:right w:type="dxa" w:w="100"/>
            </w:tcMar>
          </w:tcPr>
          <w:p>
            <w:r>
              <w:rPr>
                <w:rFonts w:ascii="Times New Roman" w:eastAsia="SimSun"/>
                <w:color w:val="1A2B40"/>
                <w:sz w:val="20"/>
                <w:szCs w:val="20"/>
              </w:rPr>
              <w:t xml:space="preserve">pip install faster-whisper</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CUDA</w:t>
            </w:r>
          </w:p>
        </w:tc>
        <w:tc>
          <w:tcPr>
            <w:tcW w:type="pct" w:w="18%"/>
            <w:tcMar>
              <w:top w:type="dxa" w:w="60"/>
              <w:left w:type="dxa" w:w="100"/>
              <w:bottom w:type="dxa" w:w="60"/>
              <w:right w:type="dxa" w:w="100"/>
            </w:tcMar>
          </w:tcPr>
          <w:p>
            <w:r>
              <w:rPr>
                <w:rFonts w:ascii="Times New Roman" w:eastAsia="SimSun"/>
                <w:color w:val="1A2B40"/>
                <w:sz w:val="20"/>
                <w:szCs w:val="20"/>
              </w:rPr>
              <w:t xml:space="preserve">12.1+</w:t>
            </w:r>
          </w:p>
        </w:tc>
        <w:tc>
          <w:tcPr>
            <w:tcW w:type="pct" w:w="14%"/>
            <w:tcMar>
              <w:top w:type="dxa" w:w="60"/>
              <w:left w:type="dxa" w:w="100"/>
              <w:bottom w:type="dxa" w:w="60"/>
              <w:right w:type="dxa" w:w="100"/>
            </w:tcMar>
          </w:tcPr>
          <w:p>
            <w:r>
              <w:rPr>
                <w:rFonts w:ascii="Times New Roman" w:eastAsia="SimSun"/>
                <w:color w:val="1A2B40"/>
                <w:sz w:val="20"/>
                <w:szCs w:val="20"/>
              </w:rPr>
              <w:t xml:space="preserve">11.8</w:t>
            </w:r>
          </w:p>
        </w:tc>
        <w:tc>
          <w:tcPr>
            <w:tcW w:type="pct" w:w="46%"/>
            <w:tcMar>
              <w:top w:type="dxa" w:w="60"/>
              <w:left w:type="dxa" w:w="100"/>
              <w:bottom w:type="dxa" w:w="60"/>
              <w:right w:type="dxa" w:w="100"/>
            </w:tcMar>
          </w:tcPr>
          <w:p>
            <w:r>
              <w:rPr>
                <w:rFonts w:ascii="Times New Roman" w:eastAsia="SimSun"/>
                <w:color w:val="1A2B40"/>
                <w:sz w:val="20"/>
                <w:szCs w:val="20"/>
              </w:rPr>
              <w:t xml:space="preserve">https://developer.nvidia.com/cuda-toolkit</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NVIDIA Driver</w:t>
            </w:r>
          </w:p>
        </w:tc>
        <w:tc>
          <w:tcPr>
            <w:tcW w:type="pct" w:w="18%"/>
            <w:tcMar>
              <w:top w:type="dxa" w:w="60"/>
              <w:left w:type="dxa" w:w="100"/>
              <w:bottom w:type="dxa" w:w="60"/>
              <w:right w:type="dxa" w:w="100"/>
            </w:tcMar>
          </w:tcPr>
          <w:p>
            <w:r>
              <w:rPr>
                <w:rFonts w:ascii="Times New Roman" w:eastAsia="SimSun"/>
                <w:color w:val="1A2B40"/>
                <w:sz w:val="20"/>
                <w:szCs w:val="20"/>
              </w:rPr>
              <w:t xml:space="preserve">535+</w:t>
            </w:r>
          </w:p>
        </w:tc>
        <w:tc>
          <w:tcPr>
            <w:tcW w:type="pct" w:w="14%"/>
            <w:tcMar>
              <w:top w:type="dxa" w:w="60"/>
              <w:left w:type="dxa" w:w="100"/>
              <w:bottom w:type="dxa" w:w="60"/>
              <w:right w:type="dxa" w:w="100"/>
            </w:tcMar>
          </w:tcPr>
          <w:p>
            <w:r>
              <w:rPr>
                <w:rFonts w:ascii="Times New Roman" w:eastAsia="SimSun"/>
                <w:color w:val="1A2B40"/>
                <w:sz w:val="20"/>
                <w:szCs w:val="20"/>
              </w:rPr>
              <w:t xml:space="preserve">525+</w:t>
            </w:r>
          </w:p>
        </w:tc>
        <w:tc>
          <w:tcPr>
            <w:tcW w:type="pct" w:w="46%"/>
            <w:tcMar>
              <w:top w:type="dxa" w:w="60"/>
              <w:left w:type="dxa" w:w="100"/>
              <w:bottom w:type="dxa" w:w="60"/>
              <w:right w:type="dxa" w:w="100"/>
            </w:tcMar>
          </w:tcPr>
          <w:p>
            <w:r>
              <w:rPr>
                <w:rFonts w:ascii="Times New Roman" w:eastAsia="SimSun"/>
                <w:color w:val="1A2B40"/>
                <w:sz w:val="20"/>
                <w:szCs w:val="20"/>
              </w:rPr>
              <w:t xml:space="preserve">随显卡驱动更新</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Ollama</w:t>
            </w:r>
          </w:p>
        </w:tc>
        <w:tc>
          <w:tcPr>
            <w:tcW w:type="pct" w:w="18%"/>
            <w:tcMar>
              <w:top w:type="dxa" w:w="60"/>
              <w:left w:type="dxa" w:w="100"/>
              <w:bottom w:type="dxa" w:w="60"/>
              <w:right w:type="dxa" w:w="100"/>
            </w:tcMar>
          </w:tcPr>
          <w:p>
            <w:r>
              <w:rPr>
                <w:rFonts w:ascii="Times New Roman" w:eastAsia="SimSun"/>
                <w:color w:val="1A2B40"/>
                <w:sz w:val="20"/>
                <w:szCs w:val="20"/>
              </w:rPr>
              <w:t xml:space="preserve">0.3+</w:t>
            </w:r>
          </w:p>
        </w:tc>
        <w:tc>
          <w:tcPr>
            <w:tcW w:type="pct" w:w="14%"/>
            <w:tcMar>
              <w:top w:type="dxa" w:w="60"/>
              <w:left w:type="dxa" w:w="100"/>
              <w:bottom w:type="dxa" w:w="60"/>
              <w:right w:type="dxa" w:w="100"/>
            </w:tcMar>
          </w:tcPr>
          <w:p>
            <w:r>
              <w:rPr>
                <w:rFonts w:ascii="Times New Roman" w:eastAsia="SimSun"/>
                <w:color w:val="1A2B40"/>
                <w:sz w:val="20"/>
                <w:szCs w:val="20"/>
              </w:rPr>
              <w:t xml:space="preserve">0.1</w:t>
            </w:r>
          </w:p>
        </w:tc>
        <w:tc>
          <w:tcPr>
            <w:tcW w:type="pct" w:w="46%"/>
            <w:tcMar>
              <w:top w:type="dxa" w:w="60"/>
              <w:left w:type="dxa" w:w="100"/>
              <w:bottom w:type="dxa" w:w="60"/>
              <w:right w:type="dxa" w:w="100"/>
            </w:tcMar>
          </w:tcPr>
          <w:p>
            <w:r>
              <w:rPr>
                <w:rFonts w:ascii="Times New Roman" w:eastAsia="SimSun"/>
                <w:color w:val="1A2B40"/>
                <w:sz w:val="20"/>
                <w:szCs w:val="20"/>
              </w:rPr>
              <w:t xml:space="preserve">https://ollama.com/</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Qwen2.5:7b-instruct</w:t>
            </w:r>
          </w:p>
        </w:tc>
        <w:tc>
          <w:tcPr>
            <w:tcW w:type="pct" w:w="18%"/>
            <w:tcMar>
              <w:top w:type="dxa" w:w="60"/>
              <w:left w:type="dxa" w:w="100"/>
              <w:bottom w:type="dxa" w:w="60"/>
              <w:right w:type="dxa" w:w="100"/>
            </w:tcMar>
          </w:tcPr>
          <w:p>
            <w:r>
              <w:rPr>
                <w:rFonts w:ascii="Times New Roman" w:eastAsia="SimSun"/>
                <w:color w:val="1A2B40"/>
                <w:sz w:val="20"/>
                <w:szCs w:val="20"/>
              </w:rPr>
              <w:t xml:space="preserve">最新</w:t>
            </w:r>
          </w:p>
        </w:tc>
        <w:tc>
          <w:tcPr>
            <w:tcW w:type="pct" w:w="14%"/>
            <w:tcMar>
              <w:top w:type="dxa" w:w="60"/>
              <w:left w:type="dxa" w:w="100"/>
              <w:bottom w:type="dxa" w:w="60"/>
              <w:right w:type="dxa" w:w="100"/>
            </w:tcMar>
          </w:tcPr>
          <w:p>
            <w:r>
              <w:rPr>
                <w:rFonts w:ascii="Times New Roman" w:eastAsia="SimSun"/>
                <w:color w:val="1A2B40"/>
                <w:sz w:val="20"/>
                <w:szCs w:val="20"/>
              </w:rPr>
              <w:t xml:space="preserve">—</w:t>
            </w:r>
          </w:p>
        </w:tc>
        <w:tc>
          <w:tcPr>
            <w:tcW w:type="pct" w:w="46%"/>
            <w:tcMar>
              <w:top w:type="dxa" w:w="60"/>
              <w:left w:type="dxa" w:w="100"/>
              <w:bottom w:type="dxa" w:w="60"/>
              <w:right w:type="dxa" w:w="100"/>
            </w:tcMar>
          </w:tcPr>
          <w:p>
            <w:r>
              <w:rPr>
                <w:rFonts w:ascii="Times New Roman" w:eastAsia="SimSun"/>
                <w:color w:val="1A2B40"/>
                <w:sz w:val="20"/>
                <w:szCs w:val="20"/>
              </w:rPr>
              <w:t xml:space="preserve">ollama pull qwen2.5:7b-instruct</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Qwen2-VL-7B</w:t>
            </w:r>
          </w:p>
        </w:tc>
        <w:tc>
          <w:tcPr>
            <w:tcW w:type="pct" w:w="18%"/>
            <w:tcMar>
              <w:top w:type="dxa" w:w="60"/>
              <w:left w:type="dxa" w:w="100"/>
              <w:bottom w:type="dxa" w:w="60"/>
              <w:right w:type="dxa" w:w="100"/>
            </w:tcMar>
          </w:tcPr>
          <w:p>
            <w:r>
              <w:rPr>
                <w:rFonts w:ascii="Times New Roman" w:eastAsia="SimSun"/>
                <w:color w:val="1A2B40"/>
                <w:sz w:val="20"/>
                <w:szCs w:val="20"/>
              </w:rPr>
              <w:t xml:space="preserve">最新</w:t>
            </w:r>
          </w:p>
        </w:tc>
        <w:tc>
          <w:tcPr>
            <w:tcW w:type="pct" w:w="14%"/>
            <w:tcMar>
              <w:top w:type="dxa" w:w="60"/>
              <w:left w:type="dxa" w:w="100"/>
              <w:bottom w:type="dxa" w:w="60"/>
              <w:right w:type="dxa" w:w="100"/>
            </w:tcMar>
          </w:tcPr>
          <w:p>
            <w:r>
              <w:rPr>
                <w:rFonts w:ascii="Times New Roman" w:eastAsia="SimSun"/>
                <w:color w:val="1A2B40"/>
                <w:sz w:val="20"/>
                <w:szCs w:val="20"/>
              </w:rPr>
              <w:t xml:space="preserve">—</w:t>
            </w:r>
          </w:p>
        </w:tc>
        <w:tc>
          <w:tcPr>
            <w:tcW w:type="pct" w:w="46%"/>
            <w:tcMar>
              <w:top w:type="dxa" w:w="60"/>
              <w:left w:type="dxa" w:w="100"/>
              <w:bottom w:type="dxa" w:w="60"/>
              <w:right w:type="dxa" w:w="100"/>
            </w:tcMar>
          </w:tcPr>
          <w:p>
            <w:r>
              <w:rPr>
                <w:rFonts w:ascii="Times New Roman" w:eastAsia="SimSun"/>
                <w:color w:val="1A2B40"/>
                <w:sz w:val="20"/>
                <w:szCs w:val="20"/>
              </w:rPr>
              <w:t xml:space="preserve">huggingface.co/Qwen/Qwen2-VL-7B-Instruct</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Syncthing</w:t>
            </w:r>
          </w:p>
        </w:tc>
        <w:tc>
          <w:tcPr>
            <w:tcW w:type="pct" w:w="18%"/>
            <w:tcMar>
              <w:top w:type="dxa" w:w="60"/>
              <w:left w:type="dxa" w:w="100"/>
              <w:bottom w:type="dxa" w:w="60"/>
              <w:right w:type="dxa" w:w="100"/>
            </w:tcMar>
          </w:tcPr>
          <w:p>
            <w:r>
              <w:rPr>
                <w:rFonts w:ascii="Times New Roman" w:eastAsia="SimSun"/>
                <w:color w:val="1A2B40"/>
                <w:sz w:val="20"/>
                <w:szCs w:val="20"/>
              </w:rPr>
              <w:t xml:space="preserve">1.27+</w:t>
            </w:r>
          </w:p>
        </w:tc>
        <w:tc>
          <w:tcPr>
            <w:tcW w:type="pct" w:w="14%"/>
            <w:tcMar>
              <w:top w:type="dxa" w:w="60"/>
              <w:left w:type="dxa" w:w="100"/>
              <w:bottom w:type="dxa" w:w="60"/>
              <w:right w:type="dxa" w:w="100"/>
            </w:tcMar>
          </w:tcPr>
          <w:p>
            <w:r>
              <w:rPr>
                <w:rFonts w:ascii="Times New Roman" w:eastAsia="SimSun"/>
                <w:color w:val="1A2B40"/>
                <w:sz w:val="20"/>
                <w:szCs w:val="20"/>
              </w:rPr>
              <w:t xml:space="preserve">1.20</w:t>
            </w:r>
          </w:p>
        </w:tc>
        <w:tc>
          <w:tcPr>
            <w:tcW w:type="pct" w:w="46%"/>
            <w:tcMar>
              <w:top w:type="dxa" w:w="60"/>
              <w:left w:type="dxa" w:w="100"/>
              <w:bottom w:type="dxa" w:w="60"/>
              <w:right w:type="dxa" w:w="100"/>
            </w:tcMar>
          </w:tcPr>
          <w:p>
            <w:r>
              <w:rPr>
                <w:rFonts w:ascii="Times New Roman" w:eastAsia="SimSun"/>
                <w:color w:val="1A2B40"/>
                <w:sz w:val="20"/>
                <w:szCs w:val="20"/>
              </w:rPr>
              <w:t xml:space="preserve">https://syncthing.net/</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Git</w:t>
            </w:r>
          </w:p>
        </w:tc>
        <w:tc>
          <w:tcPr>
            <w:tcW w:type="pct" w:w="18%"/>
            <w:tcMar>
              <w:top w:type="dxa" w:w="60"/>
              <w:left w:type="dxa" w:w="100"/>
              <w:bottom w:type="dxa" w:w="60"/>
              <w:right w:type="dxa" w:w="100"/>
            </w:tcMar>
          </w:tcPr>
          <w:p>
            <w:r>
              <w:rPr>
                <w:rFonts w:ascii="Times New Roman" w:eastAsia="SimSun"/>
                <w:color w:val="1A2B40"/>
                <w:sz w:val="20"/>
                <w:szCs w:val="20"/>
              </w:rPr>
              <w:t xml:space="preserve">2.40+</w:t>
            </w:r>
          </w:p>
        </w:tc>
        <w:tc>
          <w:tcPr>
            <w:tcW w:type="pct" w:w="14%"/>
            <w:tcMar>
              <w:top w:type="dxa" w:w="60"/>
              <w:left w:type="dxa" w:w="100"/>
              <w:bottom w:type="dxa" w:w="60"/>
              <w:right w:type="dxa" w:w="100"/>
            </w:tcMar>
          </w:tcPr>
          <w:p>
            <w:r>
              <w:rPr>
                <w:rFonts w:ascii="Times New Roman" w:eastAsia="SimSun"/>
                <w:color w:val="1A2B40"/>
                <w:sz w:val="20"/>
                <w:szCs w:val="20"/>
              </w:rPr>
              <w:t xml:space="preserve">2.30</w:t>
            </w:r>
          </w:p>
        </w:tc>
        <w:tc>
          <w:tcPr>
            <w:tcW w:type="pct" w:w="46%"/>
            <w:tcMar>
              <w:top w:type="dxa" w:w="60"/>
              <w:left w:type="dxa" w:w="100"/>
              <w:bottom w:type="dxa" w:w="60"/>
              <w:right w:type="dxa" w:w="100"/>
            </w:tcMar>
          </w:tcPr>
          <w:p>
            <w:r>
              <w:rPr>
                <w:rFonts w:ascii="Times New Roman" w:eastAsia="SimSun"/>
                <w:color w:val="1A2B40"/>
                <w:sz w:val="20"/>
                <w:szCs w:val="20"/>
              </w:rPr>
              <w:t xml:space="preserve">https://git-scm.com/</w:t>
            </w:r>
          </w:p>
        </w:tc>
      </w:tr>
      <w:tr>
        <w:trPr>
          <w:cantSplit/>
        </w:trPr>
        <w:tc>
          <w:tcPr>
            <w:tcW w:type="pct" w:w="22%"/>
            <w:tcMar>
              <w:top w:type="dxa" w:w="60"/>
              <w:left w:type="dxa" w:w="100"/>
              <w:bottom w:type="dxa" w:w="60"/>
              <w:right w:type="dxa" w:w="100"/>
            </w:tcMar>
          </w:tcPr>
          <w:p>
            <w:r>
              <w:rPr>
                <w:rFonts w:ascii="Times New Roman" w:eastAsia="SimSun"/>
                <w:color w:val="1A2B40"/>
                <w:sz w:val="20"/>
                <w:szCs w:val="20"/>
              </w:rPr>
              <w:t xml:space="preserve">Obsidian</w:t>
            </w:r>
          </w:p>
        </w:tc>
        <w:tc>
          <w:tcPr>
            <w:tcW w:type="pct" w:w="18%"/>
            <w:tcMar>
              <w:top w:type="dxa" w:w="60"/>
              <w:left w:type="dxa" w:w="100"/>
              <w:bottom w:type="dxa" w:w="60"/>
              <w:right w:type="dxa" w:w="100"/>
            </w:tcMar>
          </w:tcPr>
          <w:p>
            <w:r>
              <w:rPr>
                <w:rFonts w:ascii="Times New Roman" w:eastAsia="SimSun"/>
                <w:color w:val="1A2B40"/>
                <w:sz w:val="20"/>
                <w:szCs w:val="20"/>
              </w:rPr>
              <w:t xml:space="preserve">1.5+</w:t>
            </w:r>
          </w:p>
        </w:tc>
        <w:tc>
          <w:tcPr>
            <w:tcW w:type="pct" w:w="14%"/>
            <w:tcMar>
              <w:top w:type="dxa" w:w="60"/>
              <w:left w:type="dxa" w:w="100"/>
              <w:bottom w:type="dxa" w:w="60"/>
              <w:right w:type="dxa" w:w="100"/>
            </w:tcMar>
          </w:tcPr>
          <w:p>
            <w:r>
              <w:rPr>
                <w:rFonts w:ascii="Times New Roman" w:eastAsia="SimSun"/>
                <w:color w:val="1A2B40"/>
                <w:sz w:val="20"/>
                <w:szCs w:val="20"/>
              </w:rPr>
              <w:t xml:space="preserve">1.4</w:t>
            </w:r>
          </w:p>
        </w:tc>
        <w:tc>
          <w:tcPr>
            <w:tcW w:type="pct" w:w="46%"/>
            <w:tcMar>
              <w:top w:type="dxa" w:w="60"/>
              <w:left w:type="dxa" w:w="100"/>
              <w:bottom w:type="dxa" w:w="60"/>
              <w:right w:type="dxa" w:w="100"/>
            </w:tcMar>
          </w:tcPr>
          <w:p>
            <w:r>
              <w:rPr>
                <w:rFonts w:ascii="Times New Roman" w:eastAsia="SimSun"/>
                <w:color w:val="1A2B40"/>
                <w:sz w:val="20"/>
                <w:szCs w:val="20"/>
              </w:rPr>
              <w:t xml:space="preserve">https://obsidian.md</w:t>
            </w:r>
          </w:p>
        </w:tc>
      </w:tr>
    </w:tbl>
    <w:p>
      <w:pPr>
        <w:spacing w:after="80" w:line="312"/>
        <w:ind w:firstLine="480"/>
        <w:jc w:val="both"/>
      </w:pPr>
      <w:r>
        <w:rPr>
          <w:rFonts w:ascii="Times New Roman" w:eastAsia="SimSun"/>
          <w:color w:val="1A2B40"/>
          <w:sz w:val="24"/>
          <w:szCs w:val="24"/>
        </w:rPr>
        <w:t xml:space="preserve">以上版本信息截至2026年6月。GPU相关组件（CUDA、NVIDIA Driver、faster-whisper）的版本兼容性需特别注意，建议按faster-whisper官方文档的版本矩阵选择。所有工具均跨平台支持Windows、macOS、Linux，但GPU相关功能在Linux上配置最顺畅，Windows次之，macOS不支持CUDA（M系列芯片需用Metal版whisper.cpp替代faster-whisper）。</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p>
    <w:pPr>
      <w:jc w:val="right"/>
    </w:pPr>
    <w:r>
      <w:rPr>
        <w:color w:val="808080"/>
        <w:sz w:val="18"/>
      </w:rPr>
      <w:t>AI生成</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88888"/>
        <w:sz w:val="18"/>
        <w:szCs w:val="18"/>
      </w:rPr>
      <w:t xml:space="preserve">抖音视频知识归档系统 PRD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88888"/>
        <w:sz w:val="18"/>
        <w:szCs w:val="18"/>
      </w:rPr>
      <w:t xml:space="preserve">抖音视频知识归档系统 PRD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60"/>
      <w:outlineLvl w:val="0"/>
    </w:pPr>
    <w:rPr>
      <w:rFonts w:ascii="Calibri" w:eastAsia="SimHei"/>
      <w:b/>
      <w:bCs/>
      <w:color w:val="0A1628"/>
      <w:sz w:val="32"/>
      <w:szCs w:val="32"/>
    </w:rPr>
  </w:style>
  <w:style w:type="paragraph" w:styleId="Heading2">
    <w:name w:val="Heading 2"/>
    <w:basedOn w:val="Normal"/>
    <w:next w:val="Normal"/>
    <w:qFormat/>
    <w:pPr>
      <w:spacing w:after="140" w:before="320" w:line="312"/>
      <w:outlineLvl w:val="1"/>
    </w:pPr>
    <w:rPr>
      <w:rFonts w:ascii="Calibri" w:eastAsia="SimHei"/>
      <w:b/>
      <w:bCs/>
      <w:color w:val="0A1628"/>
      <w:sz w:val="28"/>
      <w:szCs w:val="28"/>
    </w:rPr>
  </w:style>
  <w:style w:type="paragraph" w:styleId="Heading3">
    <w:name w:val="Heading 3"/>
    <w:basedOn w:val="Normal"/>
    <w:next w:val="Normal"/>
    <w:qFormat/>
    <w:pPr>
      <w:spacing w:after="120" w:before="240" w:line="312"/>
      <w:outlineLvl w:val="2"/>
    </w:pPr>
    <w:rPr>
      <w:rFonts w:ascii="Calibri" w:eastAsia="SimHei"/>
      <w:b/>
      <w:bCs/>
      <w:color w:val="0A162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抖音视频知识归档系统 PRD v2.0</dc:title>
  <dc:creator>PRD Generator v2</dc:creator>
  <dc:description>抖音视频知识归档系统产品需求文档 v2.0</dc:description>
  <cp:lastModifiedBy>Un-named</cp:lastModifiedBy>
  <cp:revision>1</cp:revision>
  <dcterms:created xsi:type="dcterms:W3CDTF">2026-06-19T03:23:03.341Z</dcterms:created>
  <dcterms:modified xsi:type="dcterms:W3CDTF">2026-06-19T03:23:03.341Z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{"Label":"1","ContentProducer":"001191110108MA01KP2T5U00000","ProduceID":"83ee6d7a8be48f615939a74cba84dcdd","ReservedCode1":"","ContentPropagator":"001191110108MA01KP2T5U00000","PropagateID":"83ee6d7a8be48f615939a74cba84dcdd","ReservedCode2":""}</vt:lpwstr>
  </property>
</Properties>
</file>