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HIL试验报告示例</w:t>
      </w:r>
    </w:p>
    <w:p>
      <w:pPr>
        <w:pStyle w:val="ListNumber"/>
      </w:pPr>
      <w:r>
        <w:t>VCB基频</w:t>
      </w:r>
      <w:r>
        <w:t>本次试车发动机最高温度为：74.71°C@第16.6秒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L试验结果示例0406_2023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期望值</w:t>
            </w:r>
          </w:p>
        </w:tc>
        <w:tc>
          <w:tcPr>
            <w:tcW w:type="dxa" w:w="2880"/>
          </w:tcPr>
          <w:p>
            <w:r>
              <w:t>实际值</w:t>
            </w:r>
          </w:p>
        </w:tc>
        <w:tc>
          <w:tcPr>
            <w:tcW w:type="dxa" w:w="2880"/>
          </w:tcPr>
          <w:p>
            <w:r>
              <w:t>误差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-1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+1</w:t>
            </w:r>
          </w:p>
        </w:tc>
      </w:tr>
      <w:tr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3002</w:t>
            </w:r>
          </w:p>
        </w:tc>
        <w:tc>
          <w:tcPr>
            <w:tcW w:type="dxa" w:w="2880"/>
          </w:tcPr>
          <w:p>
            <w:r>
              <w:t>+2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