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lang w:val="es-PE"/>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r>
        <w:rPr>
          <w:rFonts w:ascii="Times New Roman" w:eastAsia="Times New Roman" w:hAnsi="Times New Roman" w:cs="Times New Roman"/>
          <w:sz w:val="24"/>
          <w:szCs w:val="24"/>
        </w:rPr>
        <w:t xml:space="preserve">Jatziry Fernanda Sanchez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PE"/>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AWS CodeCommit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Services,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PE"/>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93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3827"/>
        <w:gridCol w:w="3686"/>
      </w:tblGrid>
      <w:tr w:rsidR="0077353D" w14:paraId="6BD7BCAF" w14:textId="77777777" w:rsidTr="00632C9C">
        <w:trPr>
          <w:jc w:val="center"/>
        </w:trPr>
        <w:tc>
          <w:tcPr>
            <w:tcW w:w="1833"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3827"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3686"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rsidTr="00632C9C">
        <w:trPr>
          <w:jc w:val="center"/>
        </w:trPr>
        <w:tc>
          <w:tcPr>
            <w:tcW w:w="1833" w:type="dxa"/>
            <w:shd w:val="clear" w:color="auto" w:fill="auto"/>
            <w:tcMar>
              <w:top w:w="100" w:type="dxa"/>
              <w:left w:w="100" w:type="dxa"/>
              <w:bottom w:w="100" w:type="dxa"/>
              <w:right w:w="100" w:type="dxa"/>
            </w:tcMar>
          </w:tcPr>
          <w:p w14:paraId="4E6E66C1"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3827" w:type="dxa"/>
            <w:shd w:val="clear" w:color="auto" w:fill="auto"/>
            <w:tcMar>
              <w:top w:w="100" w:type="dxa"/>
              <w:left w:w="100" w:type="dxa"/>
              <w:bottom w:w="100" w:type="dxa"/>
              <w:right w:w="100" w:type="dxa"/>
            </w:tcMar>
          </w:tcPr>
          <w:p w14:paraId="7C68EA94"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3686" w:type="dxa"/>
            <w:shd w:val="clear" w:color="auto" w:fill="auto"/>
            <w:tcMar>
              <w:top w:w="100" w:type="dxa"/>
              <w:left w:w="100" w:type="dxa"/>
              <w:bottom w:w="100" w:type="dxa"/>
              <w:right w:w="100" w:type="dxa"/>
            </w:tcMar>
          </w:tcPr>
          <w:p w14:paraId="5FFC2241"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rsidTr="00632C9C">
        <w:trPr>
          <w:jc w:val="center"/>
        </w:trPr>
        <w:tc>
          <w:tcPr>
            <w:tcW w:w="1833" w:type="dxa"/>
            <w:shd w:val="clear" w:color="auto" w:fill="auto"/>
            <w:tcMar>
              <w:top w:w="100" w:type="dxa"/>
              <w:left w:w="100" w:type="dxa"/>
              <w:bottom w:w="100" w:type="dxa"/>
              <w:right w:w="100" w:type="dxa"/>
            </w:tcMar>
          </w:tcPr>
          <w:p w14:paraId="2FF29C9A"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3827" w:type="dxa"/>
            <w:shd w:val="clear" w:color="auto" w:fill="auto"/>
            <w:tcMar>
              <w:top w:w="100" w:type="dxa"/>
              <w:left w:w="100" w:type="dxa"/>
              <w:bottom w:w="100" w:type="dxa"/>
              <w:right w:w="100" w:type="dxa"/>
            </w:tcMar>
          </w:tcPr>
          <w:p w14:paraId="096E9657" w14:textId="00DFCC29"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3686" w:type="dxa"/>
            <w:shd w:val="clear" w:color="auto" w:fill="auto"/>
            <w:tcMar>
              <w:top w:w="100" w:type="dxa"/>
              <w:left w:w="100" w:type="dxa"/>
              <w:bottom w:w="100" w:type="dxa"/>
              <w:right w:w="100" w:type="dxa"/>
            </w:tcMar>
          </w:tcPr>
          <w:p w14:paraId="728A4BA3" w14:textId="77777777" w:rsidR="0077353D" w:rsidRDefault="0041613E" w:rsidP="00632C9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rsidTr="00632C9C">
        <w:trPr>
          <w:trHeight w:val="470"/>
          <w:jc w:val="center"/>
        </w:trPr>
        <w:tc>
          <w:tcPr>
            <w:tcW w:w="1833" w:type="dxa"/>
            <w:shd w:val="clear" w:color="auto" w:fill="auto"/>
            <w:tcMar>
              <w:top w:w="100" w:type="dxa"/>
              <w:left w:w="100" w:type="dxa"/>
              <w:bottom w:w="100" w:type="dxa"/>
              <w:right w:w="100" w:type="dxa"/>
            </w:tcMar>
          </w:tcPr>
          <w:p w14:paraId="026FDB47"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3827" w:type="dxa"/>
            <w:shd w:val="clear" w:color="auto" w:fill="auto"/>
            <w:tcMar>
              <w:top w:w="100" w:type="dxa"/>
              <w:left w:w="100" w:type="dxa"/>
              <w:bottom w:w="100" w:type="dxa"/>
              <w:right w:w="100" w:type="dxa"/>
            </w:tcMar>
          </w:tcPr>
          <w:p w14:paraId="183BE7B2" w14:textId="5BE64035"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3686" w:type="dxa"/>
            <w:shd w:val="clear" w:color="auto" w:fill="auto"/>
            <w:tcMar>
              <w:top w:w="100" w:type="dxa"/>
              <w:left w:w="100" w:type="dxa"/>
              <w:bottom w:w="100" w:type="dxa"/>
              <w:right w:w="100" w:type="dxa"/>
            </w:tcMar>
          </w:tcPr>
          <w:p w14:paraId="4D345448" w14:textId="0F74A71C" w:rsidR="00632C9C"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r w:rsidR="00632C9C">
              <w:rPr>
                <w:rFonts w:ascii="Times New Roman" w:eastAsia="Times New Roman" w:hAnsi="Times New Roman" w:cs="Times New Roman"/>
                <w:sz w:val="24"/>
                <w:szCs w:val="24"/>
              </w:rPr>
              <w:t>: Diseño de Arquitectura del Software, Diseño de la Base de Datos.</w:t>
            </w:r>
          </w:p>
        </w:tc>
      </w:tr>
      <w:tr w:rsidR="0077353D" w14:paraId="4496F1FB" w14:textId="77777777" w:rsidTr="00632C9C">
        <w:trPr>
          <w:jc w:val="center"/>
        </w:trPr>
        <w:tc>
          <w:tcPr>
            <w:tcW w:w="1833" w:type="dxa"/>
            <w:shd w:val="clear" w:color="auto" w:fill="auto"/>
            <w:tcMar>
              <w:top w:w="100" w:type="dxa"/>
              <w:left w:w="100" w:type="dxa"/>
              <w:bottom w:w="100" w:type="dxa"/>
              <w:right w:w="100" w:type="dxa"/>
            </w:tcMar>
          </w:tcPr>
          <w:p w14:paraId="643A0F18"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3827" w:type="dxa"/>
            <w:shd w:val="clear" w:color="auto" w:fill="auto"/>
            <w:tcMar>
              <w:top w:w="100" w:type="dxa"/>
              <w:left w:w="100" w:type="dxa"/>
              <w:bottom w:w="100" w:type="dxa"/>
              <w:right w:w="100" w:type="dxa"/>
            </w:tcMar>
          </w:tcPr>
          <w:p w14:paraId="226208A0" w14:textId="53E7AF81"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3686" w:type="dxa"/>
            <w:shd w:val="clear" w:color="auto" w:fill="auto"/>
            <w:tcMar>
              <w:top w:w="100" w:type="dxa"/>
              <w:left w:w="100" w:type="dxa"/>
              <w:bottom w:w="100" w:type="dxa"/>
              <w:right w:w="100" w:type="dxa"/>
            </w:tcMar>
          </w:tcPr>
          <w:p w14:paraId="25F1B419"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rsidTr="00632C9C">
        <w:trPr>
          <w:jc w:val="center"/>
        </w:trPr>
        <w:tc>
          <w:tcPr>
            <w:tcW w:w="1833" w:type="dxa"/>
            <w:shd w:val="clear" w:color="auto" w:fill="auto"/>
            <w:tcMar>
              <w:top w:w="100" w:type="dxa"/>
              <w:left w:w="100" w:type="dxa"/>
              <w:bottom w:w="100" w:type="dxa"/>
              <w:right w:w="100" w:type="dxa"/>
            </w:tcMar>
          </w:tcPr>
          <w:p w14:paraId="6DCE0E49"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3827" w:type="dxa"/>
            <w:shd w:val="clear" w:color="auto" w:fill="auto"/>
            <w:tcMar>
              <w:top w:w="100" w:type="dxa"/>
              <w:left w:w="100" w:type="dxa"/>
              <w:bottom w:w="100" w:type="dxa"/>
              <w:right w:w="100" w:type="dxa"/>
            </w:tcMar>
          </w:tcPr>
          <w:p w14:paraId="1506FA23" w14:textId="6F1BA994"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3686" w:type="dxa"/>
            <w:shd w:val="clear" w:color="auto" w:fill="auto"/>
            <w:tcMar>
              <w:top w:w="100" w:type="dxa"/>
              <w:left w:w="100" w:type="dxa"/>
              <w:bottom w:w="100" w:type="dxa"/>
              <w:right w:w="100" w:type="dxa"/>
            </w:tcMar>
          </w:tcPr>
          <w:p w14:paraId="47B6CEAE"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rsidTr="00632C9C">
        <w:trPr>
          <w:jc w:val="center"/>
        </w:trPr>
        <w:tc>
          <w:tcPr>
            <w:tcW w:w="1833" w:type="dxa"/>
            <w:shd w:val="clear" w:color="auto" w:fill="auto"/>
            <w:tcMar>
              <w:top w:w="100" w:type="dxa"/>
              <w:left w:w="100" w:type="dxa"/>
              <w:bottom w:w="100" w:type="dxa"/>
              <w:right w:w="100" w:type="dxa"/>
            </w:tcMar>
          </w:tcPr>
          <w:p w14:paraId="373DAD0A"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3827" w:type="dxa"/>
            <w:shd w:val="clear" w:color="auto" w:fill="auto"/>
            <w:tcMar>
              <w:top w:w="100" w:type="dxa"/>
              <w:left w:w="100" w:type="dxa"/>
              <w:bottom w:w="100" w:type="dxa"/>
              <w:right w:w="100" w:type="dxa"/>
            </w:tcMar>
          </w:tcPr>
          <w:p w14:paraId="542434F2" w14:textId="51868A70"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3686" w:type="dxa"/>
            <w:shd w:val="clear" w:color="auto" w:fill="auto"/>
            <w:tcMar>
              <w:top w:w="100" w:type="dxa"/>
              <w:left w:w="100" w:type="dxa"/>
              <w:bottom w:w="100" w:type="dxa"/>
              <w:right w:w="100" w:type="dxa"/>
            </w:tcMar>
          </w:tcPr>
          <w:p w14:paraId="0C0FF95D"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rsidTr="00632C9C">
        <w:trPr>
          <w:jc w:val="center"/>
        </w:trPr>
        <w:tc>
          <w:tcPr>
            <w:tcW w:w="1833" w:type="dxa"/>
            <w:shd w:val="clear" w:color="auto" w:fill="auto"/>
            <w:tcMar>
              <w:top w:w="100" w:type="dxa"/>
              <w:left w:w="100" w:type="dxa"/>
              <w:bottom w:w="100" w:type="dxa"/>
              <w:right w:w="100" w:type="dxa"/>
            </w:tcMar>
          </w:tcPr>
          <w:p w14:paraId="74E216A7" w14:textId="77777777"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3827" w:type="dxa"/>
            <w:shd w:val="clear" w:color="auto" w:fill="auto"/>
            <w:tcMar>
              <w:top w:w="100" w:type="dxa"/>
              <w:left w:w="100" w:type="dxa"/>
              <w:bottom w:w="100" w:type="dxa"/>
              <w:right w:w="100" w:type="dxa"/>
            </w:tcMar>
          </w:tcPr>
          <w:p w14:paraId="208BF5A9" w14:textId="23B64EFA" w:rsidR="0077353D" w:rsidRDefault="0041613E"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p>
        </w:tc>
        <w:tc>
          <w:tcPr>
            <w:tcW w:w="3686" w:type="dxa"/>
            <w:shd w:val="clear" w:color="auto" w:fill="auto"/>
            <w:tcMar>
              <w:top w:w="100" w:type="dxa"/>
              <w:left w:w="100" w:type="dxa"/>
              <w:bottom w:w="100" w:type="dxa"/>
              <w:right w:w="100" w:type="dxa"/>
            </w:tcMar>
          </w:tcPr>
          <w:p w14:paraId="345C2AF0" w14:textId="76EC26C0" w:rsidR="0077353D"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de prueba</w:t>
            </w:r>
            <w:r w:rsidR="0041613E">
              <w:rPr>
                <w:rFonts w:ascii="Times New Roman" w:eastAsia="Times New Roman" w:hAnsi="Times New Roman" w:cs="Times New Roman"/>
                <w:sz w:val="24"/>
                <w:szCs w:val="24"/>
              </w:rPr>
              <w:t xml:space="preserve"> del proyecto</w:t>
            </w:r>
          </w:p>
        </w:tc>
      </w:tr>
      <w:tr w:rsidR="00632C9C" w14:paraId="45C2CFFA" w14:textId="77777777" w:rsidTr="00632C9C">
        <w:trPr>
          <w:jc w:val="center"/>
        </w:trPr>
        <w:tc>
          <w:tcPr>
            <w:tcW w:w="1833" w:type="dxa"/>
            <w:shd w:val="clear" w:color="auto" w:fill="auto"/>
            <w:tcMar>
              <w:top w:w="100" w:type="dxa"/>
              <w:left w:w="100" w:type="dxa"/>
              <w:bottom w:w="100" w:type="dxa"/>
              <w:right w:w="100" w:type="dxa"/>
            </w:tcMar>
          </w:tcPr>
          <w:p w14:paraId="43A7BD7D" w14:textId="3B1F51D9"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8</w:t>
            </w:r>
          </w:p>
        </w:tc>
        <w:tc>
          <w:tcPr>
            <w:tcW w:w="3827" w:type="dxa"/>
            <w:shd w:val="clear" w:color="auto" w:fill="auto"/>
            <w:tcMar>
              <w:top w:w="100" w:type="dxa"/>
              <w:left w:w="100" w:type="dxa"/>
              <w:bottom w:w="100" w:type="dxa"/>
              <w:right w:w="100" w:type="dxa"/>
            </w:tcMar>
          </w:tcPr>
          <w:p w14:paraId="151D4F7C" w14:textId="71CCF512"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 + Siglas del documento</w:t>
            </w:r>
            <w:r>
              <w:rPr>
                <w:rFonts w:ascii="Times New Roman" w:eastAsia="Times New Roman" w:hAnsi="Times New Roman" w:cs="Times New Roman"/>
                <w:sz w:val="24"/>
                <w:szCs w:val="24"/>
              </w:rPr>
              <w:t xml:space="preserve"> + “-” + Id de la solicitud de cambio</w:t>
            </w:r>
          </w:p>
        </w:tc>
        <w:tc>
          <w:tcPr>
            <w:tcW w:w="3686" w:type="dxa"/>
            <w:shd w:val="clear" w:color="auto" w:fill="auto"/>
            <w:tcMar>
              <w:top w:w="100" w:type="dxa"/>
              <w:left w:w="100" w:type="dxa"/>
              <w:bottom w:w="100" w:type="dxa"/>
              <w:right w:w="100" w:type="dxa"/>
            </w:tcMar>
          </w:tcPr>
          <w:p w14:paraId="207F112E" w14:textId="020E7DD4"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de prueba del proyecto</w:t>
            </w:r>
            <w:r>
              <w:rPr>
                <w:rFonts w:ascii="Times New Roman" w:eastAsia="Times New Roman" w:hAnsi="Times New Roman" w:cs="Times New Roman"/>
                <w:sz w:val="24"/>
                <w:szCs w:val="24"/>
              </w:rPr>
              <w:t xml:space="preserve"> con respecto a una solicitud de cambio.</w:t>
            </w:r>
          </w:p>
        </w:tc>
      </w:tr>
      <w:tr w:rsidR="00632C9C" w14:paraId="2EFB15E3" w14:textId="77777777" w:rsidTr="00632C9C">
        <w:trPr>
          <w:jc w:val="center"/>
        </w:trPr>
        <w:tc>
          <w:tcPr>
            <w:tcW w:w="1833" w:type="dxa"/>
            <w:shd w:val="clear" w:color="auto" w:fill="auto"/>
            <w:tcMar>
              <w:top w:w="100" w:type="dxa"/>
              <w:left w:w="100" w:type="dxa"/>
              <w:bottom w:w="100" w:type="dxa"/>
              <w:right w:w="100" w:type="dxa"/>
            </w:tcMar>
          </w:tcPr>
          <w:p w14:paraId="76ED398D" w14:textId="455F9C0E"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9</w:t>
            </w:r>
          </w:p>
        </w:tc>
        <w:tc>
          <w:tcPr>
            <w:tcW w:w="3827" w:type="dxa"/>
            <w:shd w:val="clear" w:color="auto" w:fill="auto"/>
            <w:tcMar>
              <w:top w:w="100" w:type="dxa"/>
              <w:left w:w="100" w:type="dxa"/>
              <w:bottom w:w="100" w:type="dxa"/>
              <w:right w:w="100" w:type="dxa"/>
            </w:tcMar>
          </w:tcPr>
          <w:p w14:paraId="05C5E048" w14:textId="1B5D098A"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 + Siglas del documento</w:t>
            </w:r>
          </w:p>
        </w:tc>
        <w:tc>
          <w:tcPr>
            <w:tcW w:w="3686" w:type="dxa"/>
            <w:shd w:val="clear" w:color="auto" w:fill="auto"/>
            <w:tcMar>
              <w:top w:w="100" w:type="dxa"/>
              <w:left w:w="100" w:type="dxa"/>
              <w:bottom w:w="100" w:type="dxa"/>
              <w:right w:w="100" w:type="dxa"/>
            </w:tcMar>
          </w:tcPr>
          <w:p w14:paraId="1339E461" w14:textId="057409C3"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acta de cierre de un proyecto.</w:t>
            </w:r>
          </w:p>
        </w:tc>
      </w:tr>
      <w:tr w:rsidR="00632C9C" w14:paraId="4827DD1F" w14:textId="77777777" w:rsidTr="00632C9C">
        <w:trPr>
          <w:jc w:val="center"/>
        </w:trPr>
        <w:tc>
          <w:tcPr>
            <w:tcW w:w="1833" w:type="dxa"/>
            <w:shd w:val="clear" w:color="auto" w:fill="auto"/>
            <w:tcMar>
              <w:top w:w="100" w:type="dxa"/>
              <w:left w:w="100" w:type="dxa"/>
              <w:bottom w:w="100" w:type="dxa"/>
              <w:right w:w="100" w:type="dxa"/>
            </w:tcMar>
          </w:tcPr>
          <w:p w14:paraId="4D52F069" w14:textId="5ECB1B94"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Caso 10</w:t>
            </w:r>
          </w:p>
        </w:tc>
        <w:tc>
          <w:tcPr>
            <w:tcW w:w="3827" w:type="dxa"/>
            <w:shd w:val="clear" w:color="auto" w:fill="auto"/>
            <w:tcMar>
              <w:top w:w="100" w:type="dxa"/>
              <w:left w:w="100" w:type="dxa"/>
              <w:bottom w:w="100" w:type="dxa"/>
              <w:right w:w="100" w:type="dxa"/>
            </w:tcMar>
          </w:tcPr>
          <w:p w14:paraId="01DDDAF8" w14:textId="5CA4C029"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 + Siglas del documento + “-” + Id de la solicitud de cambio</w:t>
            </w:r>
          </w:p>
        </w:tc>
        <w:tc>
          <w:tcPr>
            <w:tcW w:w="3686" w:type="dxa"/>
            <w:shd w:val="clear" w:color="auto" w:fill="auto"/>
            <w:tcMar>
              <w:top w:w="100" w:type="dxa"/>
              <w:left w:w="100" w:type="dxa"/>
              <w:bottom w:w="100" w:type="dxa"/>
              <w:right w:w="100" w:type="dxa"/>
            </w:tcMar>
          </w:tcPr>
          <w:p w14:paraId="37260202" w14:textId="236F7566" w:rsidR="00632C9C" w:rsidRDefault="00632C9C" w:rsidP="00632C9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acta de cierre de un proyecto</w:t>
            </w:r>
            <w:r>
              <w:rPr>
                <w:rFonts w:ascii="Times New Roman" w:eastAsia="Times New Roman" w:hAnsi="Times New Roman" w:cs="Times New Roman"/>
                <w:sz w:val="24"/>
                <w:szCs w:val="24"/>
              </w:rPr>
              <w:t xml:space="preserve"> con respecto a una solicitud de cambio</w:t>
            </w:r>
            <w:r>
              <w:rPr>
                <w:rFonts w:ascii="Times New Roman" w:eastAsia="Times New Roman" w:hAnsi="Times New Roman" w:cs="Times New Roman"/>
                <w:sz w:val="24"/>
                <w:szCs w:val="24"/>
              </w:rPr>
              <w:t>.</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PE"/>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E6B37AC" w14:textId="2846DCD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vAlign w:val="center"/>
          </w:tcPr>
          <w:p w14:paraId="424378B5" w14:textId="1C4E3E8B"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17A8C93" w14:textId="7563566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456FAE8E" w14:textId="7EF6542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sz w:val="20"/>
                <w:szCs w:val="20"/>
              </w:rPr>
              <w:t>16/04/2023</w:t>
            </w:r>
          </w:p>
        </w:tc>
      </w:tr>
      <w:tr w:rsidR="00AD2C3A" w14:paraId="3AD1C50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29FD5FC" w14:textId="55A2368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vAlign w:val="center"/>
          </w:tcPr>
          <w:p w14:paraId="58E0F611" w14:textId="48BEAB2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94CDBFE" w14:textId="4B0758E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24A075BE" w14:textId="73EB403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16/04/2023</w:t>
            </w:r>
          </w:p>
        </w:tc>
      </w:tr>
      <w:tr w:rsidR="00AD2C3A" w14:paraId="0751A52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C807091" w14:textId="5B60B21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66B280C" w14:textId="40950269"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7EBFEC5" w14:textId="230B0F5E"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3999E11" w14:textId="7A59420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1F14F1E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9F4AA22" w14:textId="076FD64A"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6A2FC379" w14:textId="48A409AF"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56AF317" w14:textId="4D468E7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2FC960B" w14:textId="26D50EC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2EA7BD4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DC5A35" w14:textId="6737A43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vAlign w:val="center"/>
          </w:tcPr>
          <w:p w14:paraId="217DA2DC" w14:textId="5580FDA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DD9248" w14:textId="3A436B17" w:rsidR="00AD2C3A" w:rsidRPr="00622CB2" w:rsidRDefault="00565EF5" w:rsidP="00622CB2">
            <w:pPr>
              <w:jc w:val="center"/>
              <w:rPr>
                <w:rFonts w:ascii="Times New Roman" w:hAnsi="Times New Roman" w:cs="Times New Roman"/>
                <w:color w:val="000000"/>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E41D57C" w14:textId="3D8CC0A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05E1B74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4162935" w14:textId="361ED18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vAlign w:val="center"/>
          </w:tcPr>
          <w:p w14:paraId="1137C839" w14:textId="6FFFE62C"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408F0D3" w14:textId="6942AA6B"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060B9863" w14:textId="52CD9D18"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4EE57B5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F3FEF50" w14:textId="2597B4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vAlign w:val="center"/>
          </w:tcPr>
          <w:p w14:paraId="12CC9A78" w14:textId="472E284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E4EAF3B" w14:textId="3D90B83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BA548C5" w14:textId="351077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5FAD7C3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4B9A746" w14:textId="5C89E2BD"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vAlign w:val="center"/>
          </w:tcPr>
          <w:p w14:paraId="71530D21" w14:textId="50CC4D9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A2BAFFD" w14:textId="73F70A2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90B4046" w14:textId="53B4766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622CB2" w14:paraId="3775D1B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9D952A9" w14:textId="3E9E2FF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07</w:t>
            </w:r>
          </w:p>
        </w:tc>
        <w:tc>
          <w:tcPr>
            <w:tcW w:w="2123" w:type="dxa"/>
            <w:tcBorders>
              <w:top w:val="single" w:sz="4" w:space="0" w:color="auto"/>
              <w:left w:val="single" w:sz="4" w:space="0" w:color="auto"/>
              <w:bottom w:val="single" w:sz="4" w:space="0" w:color="auto"/>
              <w:right w:val="single" w:sz="4" w:space="0" w:color="auto"/>
            </w:tcBorders>
            <w:vAlign w:val="center"/>
          </w:tcPr>
          <w:p w14:paraId="1144E63A" w14:textId="38D4DD5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B4107D4" w14:textId="7C57937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8D611CE" w14:textId="28B7E0D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18811D0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DFC51EC" w14:textId="2FE26E7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08</w:t>
            </w:r>
          </w:p>
        </w:tc>
        <w:tc>
          <w:tcPr>
            <w:tcW w:w="2123" w:type="dxa"/>
            <w:tcBorders>
              <w:top w:val="single" w:sz="4" w:space="0" w:color="auto"/>
              <w:left w:val="single" w:sz="4" w:space="0" w:color="auto"/>
              <w:bottom w:val="single" w:sz="4" w:space="0" w:color="auto"/>
              <w:right w:val="single" w:sz="4" w:space="0" w:color="auto"/>
            </w:tcBorders>
            <w:vAlign w:val="center"/>
          </w:tcPr>
          <w:p w14:paraId="13DF93CB" w14:textId="133772F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358A0C" w14:textId="3B88070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7FDA3C9" w14:textId="6C8223F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4641807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C44740F" w14:textId="41E843B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09</w:t>
            </w:r>
          </w:p>
        </w:tc>
        <w:tc>
          <w:tcPr>
            <w:tcW w:w="2123" w:type="dxa"/>
            <w:tcBorders>
              <w:top w:val="single" w:sz="4" w:space="0" w:color="auto"/>
              <w:left w:val="single" w:sz="4" w:space="0" w:color="auto"/>
              <w:bottom w:val="single" w:sz="4" w:space="0" w:color="auto"/>
              <w:right w:val="single" w:sz="4" w:space="0" w:color="auto"/>
            </w:tcBorders>
            <w:vAlign w:val="center"/>
          </w:tcPr>
          <w:p w14:paraId="59253259" w14:textId="51428C81"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096471" w14:textId="6EA73A9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A5EE9F1" w14:textId="207F32C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3CCDF7D6"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9E9613E" w14:textId="55A3265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Arquitectura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9445A78" w14:textId="011506B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E4F8A5A" w14:textId="6E5B8A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21/04/2023</w:t>
            </w:r>
          </w:p>
        </w:tc>
        <w:tc>
          <w:tcPr>
            <w:tcW w:w="2124" w:type="dxa"/>
            <w:tcBorders>
              <w:top w:val="single" w:sz="4" w:space="0" w:color="auto"/>
              <w:left w:val="single" w:sz="4" w:space="0" w:color="auto"/>
              <w:bottom w:val="single" w:sz="4" w:space="0" w:color="auto"/>
              <w:right w:val="single" w:sz="4" w:space="0" w:color="auto"/>
            </w:tcBorders>
            <w:vAlign w:val="center"/>
          </w:tcPr>
          <w:p w14:paraId="4C7B99F4" w14:textId="7113A2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24/04/2023</w:t>
            </w:r>
          </w:p>
        </w:tc>
      </w:tr>
      <w:tr w:rsidR="00622CB2" w14:paraId="778B257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4A9B08C" w14:textId="0CDDFF8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 xml:space="preserve">Documento de Especificación </w:t>
            </w:r>
            <w:proofErr w:type="gramStart"/>
            <w:r w:rsidRPr="00622CB2">
              <w:rPr>
                <w:rFonts w:ascii="Times New Roman" w:hAnsi="Times New Roman" w:cs="Times New Roman"/>
                <w:sz w:val="24"/>
                <w:szCs w:val="24"/>
              </w:rPr>
              <w:t>de  la</w:t>
            </w:r>
            <w:proofErr w:type="gramEnd"/>
            <w:r w:rsidRPr="00622CB2">
              <w:rPr>
                <w:rFonts w:ascii="Times New Roman" w:hAnsi="Times New Roman" w:cs="Times New Roman"/>
                <w:sz w:val="24"/>
                <w:szCs w:val="24"/>
              </w:rPr>
              <w:t xml:space="preserve"> BD</w:t>
            </w:r>
          </w:p>
        </w:tc>
        <w:tc>
          <w:tcPr>
            <w:tcW w:w="2123" w:type="dxa"/>
            <w:tcBorders>
              <w:top w:val="single" w:sz="4" w:space="0" w:color="auto"/>
              <w:left w:val="single" w:sz="4" w:space="0" w:color="auto"/>
              <w:bottom w:val="single" w:sz="4" w:space="0" w:color="auto"/>
              <w:right w:val="single" w:sz="4" w:space="0" w:color="auto"/>
            </w:tcBorders>
            <w:vAlign w:val="center"/>
          </w:tcPr>
          <w:p w14:paraId="3CE6C29A" w14:textId="7D760CD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BC45C51" w14:textId="558026C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25/4/2023</w:t>
            </w:r>
          </w:p>
        </w:tc>
        <w:tc>
          <w:tcPr>
            <w:tcW w:w="2124" w:type="dxa"/>
            <w:tcBorders>
              <w:top w:val="single" w:sz="4" w:space="0" w:color="auto"/>
              <w:left w:val="single" w:sz="4" w:space="0" w:color="auto"/>
              <w:bottom w:val="single" w:sz="4" w:space="0" w:color="auto"/>
              <w:right w:val="single" w:sz="4" w:space="0" w:color="auto"/>
            </w:tcBorders>
            <w:vAlign w:val="center"/>
          </w:tcPr>
          <w:p w14:paraId="37168F7B" w14:textId="761370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28/4/2023</w:t>
            </w:r>
          </w:p>
        </w:tc>
      </w:tr>
      <w:tr w:rsidR="00622CB2" w14:paraId="1E9BA19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02A3B60" w14:textId="1A57200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lastRenderedPageBreak/>
              <w:t xml:space="preserve">Documento de Especificación </w:t>
            </w:r>
            <w:proofErr w:type="gramStart"/>
            <w:r w:rsidRPr="00622CB2">
              <w:rPr>
                <w:rFonts w:ascii="Times New Roman" w:hAnsi="Times New Roman" w:cs="Times New Roman"/>
                <w:sz w:val="24"/>
                <w:szCs w:val="24"/>
              </w:rPr>
              <w:t>de  la</w:t>
            </w:r>
            <w:proofErr w:type="gramEnd"/>
            <w:r w:rsidRPr="00622CB2">
              <w:rPr>
                <w:rFonts w:ascii="Times New Roman" w:hAnsi="Times New Roman" w:cs="Times New Roman"/>
                <w:sz w:val="24"/>
                <w:szCs w:val="24"/>
              </w:rPr>
              <w:t xml:space="preserve"> UI</w:t>
            </w:r>
          </w:p>
        </w:tc>
        <w:tc>
          <w:tcPr>
            <w:tcW w:w="2123" w:type="dxa"/>
            <w:tcBorders>
              <w:top w:val="single" w:sz="4" w:space="0" w:color="auto"/>
              <w:left w:val="single" w:sz="4" w:space="0" w:color="auto"/>
              <w:bottom w:val="single" w:sz="4" w:space="0" w:color="auto"/>
              <w:right w:val="single" w:sz="4" w:space="0" w:color="auto"/>
            </w:tcBorders>
            <w:vAlign w:val="center"/>
          </w:tcPr>
          <w:p w14:paraId="5F349B3A" w14:textId="7256599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033F99C" w14:textId="48730B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29/4/2023</w:t>
            </w:r>
          </w:p>
        </w:tc>
        <w:tc>
          <w:tcPr>
            <w:tcW w:w="2124" w:type="dxa"/>
            <w:tcBorders>
              <w:top w:val="single" w:sz="4" w:space="0" w:color="auto"/>
              <w:left w:val="single" w:sz="4" w:space="0" w:color="auto"/>
              <w:bottom w:val="single" w:sz="4" w:space="0" w:color="auto"/>
              <w:right w:val="single" w:sz="4" w:space="0" w:color="auto"/>
            </w:tcBorders>
            <w:vAlign w:val="center"/>
          </w:tcPr>
          <w:p w14:paraId="64FB7A9C" w14:textId="2763FCA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2/5/2023</w:t>
            </w:r>
          </w:p>
        </w:tc>
      </w:tr>
      <w:tr w:rsidR="00622CB2" w14:paraId="237835D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392194E" w14:textId="5AC7C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Guía de Estilo</w:t>
            </w:r>
          </w:p>
        </w:tc>
        <w:tc>
          <w:tcPr>
            <w:tcW w:w="2123" w:type="dxa"/>
            <w:tcBorders>
              <w:top w:val="single" w:sz="4" w:space="0" w:color="auto"/>
              <w:left w:val="single" w:sz="4" w:space="0" w:color="auto"/>
              <w:bottom w:val="single" w:sz="4" w:space="0" w:color="auto"/>
              <w:right w:val="single" w:sz="4" w:space="0" w:color="auto"/>
            </w:tcBorders>
            <w:vAlign w:val="center"/>
          </w:tcPr>
          <w:p w14:paraId="26E1B92D" w14:textId="75B75B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C89C625" w14:textId="3B9BDD4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3/5/2023</w:t>
            </w:r>
          </w:p>
        </w:tc>
        <w:tc>
          <w:tcPr>
            <w:tcW w:w="2124" w:type="dxa"/>
            <w:tcBorders>
              <w:top w:val="single" w:sz="4" w:space="0" w:color="auto"/>
              <w:left w:val="single" w:sz="4" w:space="0" w:color="auto"/>
              <w:bottom w:val="single" w:sz="4" w:space="0" w:color="auto"/>
              <w:right w:val="single" w:sz="4" w:space="0" w:color="auto"/>
            </w:tcBorders>
            <w:vAlign w:val="center"/>
          </w:tcPr>
          <w:p w14:paraId="0C834845" w14:textId="663AD70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6/5/2023</w:t>
            </w:r>
          </w:p>
        </w:tc>
      </w:tr>
      <w:tr w:rsidR="00622CB2" w14:paraId="0FCE5393"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B64A7A" w14:textId="0BFD890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4D540E33" w14:textId="162EFA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CB1993D" w14:textId="3376622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7/5/2023</w:t>
            </w:r>
          </w:p>
        </w:tc>
        <w:tc>
          <w:tcPr>
            <w:tcW w:w="2124" w:type="dxa"/>
            <w:tcBorders>
              <w:top w:val="single" w:sz="4" w:space="0" w:color="auto"/>
              <w:left w:val="single" w:sz="4" w:space="0" w:color="auto"/>
              <w:bottom w:val="single" w:sz="4" w:space="0" w:color="auto"/>
              <w:right w:val="single" w:sz="4" w:space="0" w:color="auto"/>
            </w:tcBorders>
            <w:vAlign w:val="center"/>
          </w:tcPr>
          <w:p w14:paraId="3450836A" w14:textId="5C582D6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10/5/2023</w:t>
            </w:r>
          </w:p>
        </w:tc>
      </w:tr>
      <w:tr w:rsidR="00E329CD" w14:paraId="45B124D6" w14:textId="77777777" w:rsidTr="00127DB7">
        <w:tc>
          <w:tcPr>
            <w:tcW w:w="2123" w:type="dxa"/>
            <w:tcBorders>
              <w:top w:val="single" w:sz="4" w:space="0" w:color="auto"/>
              <w:left w:val="single" w:sz="4" w:space="0" w:color="auto"/>
              <w:bottom w:val="single" w:sz="4" w:space="0" w:color="auto"/>
              <w:right w:val="single" w:sz="4" w:space="0" w:color="auto"/>
            </w:tcBorders>
            <w:vAlign w:val="center"/>
          </w:tcPr>
          <w:p w14:paraId="284C40E1" w14:textId="40BBB671" w:rsidR="00E329CD" w:rsidRPr="00622CB2" w:rsidRDefault="00E329CD" w:rsidP="00E329CD">
            <w:pPr>
              <w:jc w:val="center"/>
              <w:rPr>
                <w:rFonts w:ascii="Times New Roman" w:hAnsi="Times New Roman" w:cs="Times New Roman"/>
                <w:sz w:val="24"/>
                <w:szCs w:val="24"/>
              </w:rPr>
            </w:pPr>
            <w:r>
              <w:rPr>
                <w:rFonts w:ascii="Times New Roman" w:hAnsi="Times New Roman" w:cs="Times New Roman"/>
                <w:sz w:val="24"/>
                <w:szCs w:val="24"/>
              </w:rPr>
              <w:t xml:space="preserve">Reporte del Sprint </w:t>
            </w:r>
          </w:p>
        </w:tc>
        <w:tc>
          <w:tcPr>
            <w:tcW w:w="2123" w:type="dxa"/>
            <w:tcBorders>
              <w:top w:val="single" w:sz="4" w:space="0" w:color="auto"/>
              <w:left w:val="single" w:sz="4" w:space="0" w:color="auto"/>
              <w:bottom w:val="single" w:sz="4" w:space="0" w:color="auto"/>
              <w:right w:val="single" w:sz="4" w:space="0" w:color="auto"/>
            </w:tcBorders>
            <w:vAlign w:val="center"/>
          </w:tcPr>
          <w:p w14:paraId="1061BA6D" w14:textId="47FACC90" w:rsidR="00E329CD" w:rsidRPr="00622CB2" w:rsidRDefault="00E329CD" w:rsidP="00E329CD">
            <w:pPr>
              <w:jc w:val="cente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039B467" w14:textId="16FD66E7" w:rsidR="00E329CD" w:rsidRPr="00622CB2" w:rsidRDefault="00E329CD" w:rsidP="00E329CD">
            <w:pPr>
              <w:jc w:val="center"/>
              <w:rPr>
                <w:rFonts w:ascii="Times New Roman" w:hAnsi="Times New Roman" w:cs="Times New Roman"/>
                <w:color w:val="000000"/>
              </w:rPr>
            </w:pPr>
            <w:r>
              <w:rPr>
                <w:rFonts w:ascii="Helvetica Neue" w:hAnsi="Helvetica Neue" w:cs="Arial"/>
                <w:color w:val="000000"/>
              </w:rPr>
              <w:t>11/05/2023</w:t>
            </w:r>
          </w:p>
        </w:tc>
        <w:tc>
          <w:tcPr>
            <w:tcW w:w="2124" w:type="dxa"/>
            <w:tcBorders>
              <w:top w:val="single" w:sz="4" w:space="0" w:color="auto"/>
              <w:left w:val="single" w:sz="4" w:space="0" w:color="auto"/>
              <w:bottom w:val="single" w:sz="4" w:space="0" w:color="auto"/>
              <w:right w:val="single" w:sz="4" w:space="0" w:color="auto"/>
            </w:tcBorders>
            <w:vAlign w:val="bottom"/>
          </w:tcPr>
          <w:p w14:paraId="10CA8DDE" w14:textId="12615ECC" w:rsidR="00E329CD" w:rsidRPr="00622CB2" w:rsidRDefault="00E329CD" w:rsidP="00E329CD">
            <w:pPr>
              <w:jc w:val="center"/>
              <w:rPr>
                <w:rFonts w:ascii="Times New Roman" w:hAnsi="Times New Roman" w:cs="Times New Roman"/>
                <w:color w:val="000000"/>
              </w:rPr>
            </w:pPr>
            <w:r>
              <w:rPr>
                <w:rFonts w:ascii="Helvetica Neue" w:hAnsi="Helvetica Neue" w:cs="Arial"/>
                <w:color w:val="000000"/>
              </w:rPr>
              <w:t>14/05/2023</w:t>
            </w:r>
          </w:p>
        </w:tc>
      </w:tr>
      <w:tr w:rsidR="00622CB2" w14:paraId="3B80448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D45431F" w14:textId="7CD866F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52CBC67" w14:textId="14F419F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044817A" w14:textId="739587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7F27F8C9" w14:textId="4A889B1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7B164D7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D3006F" w14:textId="75B2C1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33C47E0A" w14:textId="65C3DC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42405B3" w14:textId="25DFC0D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44FB631E" w14:textId="13F6BB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670CBBC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1A79B37" w14:textId="7B950E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03</w:t>
            </w:r>
          </w:p>
        </w:tc>
        <w:tc>
          <w:tcPr>
            <w:tcW w:w="2123" w:type="dxa"/>
            <w:tcBorders>
              <w:top w:val="single" w:sz="4" w:space="0" w:color="auto"/>
              <w:left w:val="single" w:sz="4" w:space="0" w:color="auto"/>
              <w:bottom w:val="single" w:sz="4" w:space="0" w:color="auto"/>
              <w:right w:val="single" w:sz="4" w:space="0" w:color="auto"/>
            </w:tcBorders>
            <w:vAlign w:val="center"/>
          </w:tcPr>
          <w:p w14:paraId="35FA488D" w14:textId="2061D66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DBE0C35" w14:textId="646BCE9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5EE735ED" w14:textId="16E068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3E3ACC1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E8CDD11" w14:textId="3A1B3ED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Base de Datos</w:t>
            </w:r>
          </w:p>
        </w:tc>
        <w:tc>
          <w:tcPr>
            <w:tcW w:w="2123" w:type="dxa"/>
            <w:tcBorders>
              <w:top w:val="single" w:sz="4" w:space="0" w:color="auto"/>
              <w:left w:val="single" w:sz="4" w:space="0" w:color="auto"/>
              <w:bottom w:val="single" w:sz="4" w:space="0" w:color="auto"/>
              <w:right w:val="single" w:sz="4" w:space="0" w:color="auto"/>
            </w:tcBorders>
            <w:vAlign w:val="center"/>
          </w:tcPr>
          <w:p w14:paraId="2D09C738" w14:textId="42474B4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2C7480" w14:textId="441E9B1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237E4571" w14:textId="65315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1399703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0B4E94B" w14:textId="791E863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vAlign w:val="center"/>
          </w:tcPr>
          <w:p w14:paraId="6766D901" w14:textId="230FC5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F9FF7D1" w14:textId="2F21FB3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center"/>
          </w:tcPr>
          <w:p w14:paraId="66F301D0" w14:textId="45B03E9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r>
      <w:tr w:rsidR="00622CB2" w14:paraId="3ADB0555"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71C34C" w14:textId="155EAC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vAlign w:val="center"/>
          </w:tcPr>
          <w:p w14:paraId="275DF6A1" w14:textId="6C04162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ACB44EC" w14:textId="73D3BC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center"/>
          </w:tcPr>
          <w:p w14:paraId="431FED2F" w14:textId="1CE9BF7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28/05/2023</w:t>
            </w:r>
          </w:p>
        </w:tc>
      </w:tr>
      <w:tr w:rsidR="00622CB2" w14:paraId="2B28BE60"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F685EDF" w14:textId="4E63E8F7"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20C9EC6" w14:textId="69ED1B4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934053F" w14:textId="483D556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7BBA0A44" w14:textId="74032B7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17E6D0CB"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1C4376" w14:textId="38A81BA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vAlign w:val="center"/>
          </w:tcPr>
          <w:p w14:paraId="3854F6DC" w14:textId="243A776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E8F2C77" w14:textId="720406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45A9A334" w14:textId="1F87E83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0103AA3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A9E4BC9" w14:textId="3BE5163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vAlign w:val="center"/>
          </w:tcPr>
          <w:p w14:paraId="75CE22F3" w14:textId="5E91522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001FC8AE" w14:textId="080A9CA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5E626D30" w14:textId="1A27B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0C1D06B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22658C1" w14:textId="00D3B7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vAlign w:val="center"/>
          </w:tcPr>
          <w:p w14:paraId="6427909E" w14:textId="552B04B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5CE3F98E" w14:textId="6E5FFB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0E9959A" w14:textId="734801E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AF232F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980743" w14:textId="2C7EE3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vAlign w:val="center"/>
          </w:tcPr>
          <w:p w14:paraId="645B9923" w14:textId="1AF2149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290EC109" w14:textId="540C67B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61050A2" w14:textId="7AF33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E1DF59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9EDC11" w14:textId="601775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vAlign w:val="center"/>
          </w:tcPr>
          <w:p w14:paraId="696D1E2A" w14:textId="7F0649A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1A2B0E9F" w14:textId="2F44E09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00DCB525" w14:textId="0069C9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E329CD" w14:paraId="714368D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6757E89" w14:textId="5EE461F7"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w:t>
            </w:r>
            <w:r>
              <w:rPr>
                <w:rFonts w:ascii="Times New Roman" w:hAnsi="Times New Roman" w:cs="Times New Roman"/>
                <w:sz w:val="24"/>
                <w:szCs w:val="24"/>
              </w:rPr>
              <w:t>8</w:t>
            </w:r>
          </w:p>
        </w:tc>
        <w:tc>
          <w:tcPr>
            <w:tcW w:w="2123" w:type="dxa"/>
            <w:tcBorders>
              <w:top w:val="single" w:sz="4" w:space="0" w:color="auto"/>
              <w:left w:val="single" w:sz="4" w:space="0" w:color="auto"/>
              <w:bottom w:val="single" w:sz="4" w:space="0" w:color="auto"/>
              <w:right w:val="single" w:sz="4" w:space="0" w:color="auto"/>
            </w:tcBorders>
            <w:vAlign w:val="center"/>
          </w:tcPr>
          <w:p w14:paraId="34840CB6" w14:textId="33143B56"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48E86BC5" w14:textId="2A3521AB"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177B539D" w14:textId="53596547"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E329CD" w14:paraId="75890C2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1A6397" w14:textId="621D20A1"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w:t>
            </w:r>
            <w:r>
              <w:rPr>
                <w:rFonts w:ascii="Times New Roman" w:hAnsi="Times New Roman" w:cs="Times New Roman"/>
                <w:sz w:val="24"/>
                <w:szCs w:val="24"/>
              </w:rPr>
              <w:t>9</w:t>
            </w:r>
          </w:p>
        </w:tc>
        <w:tc>
          <w:tcPr>
            <w:tcW w:w="2123" w:type="dxa"/>
            <w:tcBorders>
              <w:top w:val="single" w:sz="4" w:space="0" w:color="auto"/>
              <w:left w:val="single" w:sz="4" w:space="0" w:color="auto"/>
              <w:bottom w:val="single" w:sz="4" w:space="0" w:color="auto"/>
              <w:right w:val="single" w:sz="4" w:space="0" w:color="auto"/>
            </w:tcBorders>
            <w:vAlign w:val="center"/>
          </w:tcPr>
          <w:p w14:paraId="096B5D05" w14:textId="3A86F3D4"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76DC2F07" w14:textId="6644CE8D"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780511CE" w14:textId="78B4DC73"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lastRenderedPageBreak/>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CodeCommit.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Team Foundation Server: Microsoft Corporation. (s.f.).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9AC63" w14:textId="77777777" w:rsidR="009B3577" w:rsidRDefault="009B3577">
      <w:pPr>
        <w:spacing w:after="0" w:line="240" w:lineRule="auto"/>
      </w:pPr>
      <w:r>
        <w:separator/>
      </w:r>
    </w:p>
  </w:endnote>
  <w:endnote w:type="continuationSeparator" w:id="0">
    <w:p w14:paraId="24496960" w14:textId="77777777" w:rsidR="009B3577" w:rsidRDefault="009B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8426" w14:textId="77777777" w:rsidR="009B3577" w:rsidRDefault="009B3577">
      <w:pPr>
        <w:spacing w:after="0" w:line="240" w:lineRule="auto"/>
      </w:pPr>
      <w:r>
        <w:separator/>
      </w:r>
    </w:p>
  </w:footnote>
  <w:footnote w:type="continuationSeparator" w:id="0">
    <w:p w14:paraId="2D533DAC" w14:textId="77777777" w:rsidR="009B3577" w:rsidRDefault="009B3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lang w:val="es-PE"/>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8690978">
    <w:abstractNumId w:val="13"/>
  </w:num>
  <w:num w:numId="2" w16cid:durableId="282611899">
    <w:abstractNumId w:val="21"/>
  </w:num>
  <w:num w:numId="3" w16cid:durableId="1438989284">
    <w:abstractNumId w:val="4"/>
  </w:num>
  <w:num w:numId="4" w16cid:durableId="776411634">
    <w:abstractNumId w:val="8"/>
  </w:num>
  <w:num w:numId="5" w16cid:durableId="1106076140">
    <w:abstractNumId w:val="3"/>
  </w:num>
  <w:num w:numId="6" w16cid:durableId="651327153">
    <w:abstractNumId w:val="9"/>
  </w:num>
  <w:num w:numId="7" w16cid:durableId="488060869">
    <w:abstractNumId w:val="12"/>
  </w:num>
  <w:num w:numId="8" w16cid:durableId="181940442">
    <w:abstractNumId w:val="6"/>
  </w:num>
  <w:num w:numId="9" w16cid:durableId="1498306458">
    <w:abstractNumId w:val="10"/>
  </w:num>
  <w:num w:numId="10" w16cid:durableId="1036278352">
    <w:abstractNumId w:val="5"/>
  </w:num>
  <w:num w:numId="11" w16cid:durableId="1090007586">
    <w:abstractNumId w:val="18"/>
  </w:num>
  <w:num w:numId="12" w16cid:durableId="283578600">
    <w:abstractNumId w:val="1"/>
  </w:num>
  <w:num w:numId="13" w16cid:durableId="540167269">
    <w:abstractNumId w:val="23"/>
  </w:num>
  <w:num w:numId="14" w16cid:durableId="1966891681">
    <w:abstractNumId w:val="11"/>
  </w:num>
  <w:num w:numId="15" w16cid:durableId="446389431">
    <w:abstractNumId w:val="0"/>
  </w:num>
  <w:num w:numId="16" w16cid:durableId="2074890889">
    <w:abstractNumId w:val="7"/>
  </w:num>
  <w:num w:numId="17" w16cid:durableId="170873203">
    <w:abstractNumId w:val="17"/>
  </w:num>
  <w:num w:numId="18" w16cid:durableId="547954661">
    <w:abstractNumId w:val="2"/>
  </w:num>
  <w:num w:numId="19" w16cid:durableId="269778192">
    <w:abstractNumId w:val="20"/>
  </w:num>
  <w:num w:numId="20" w16cid:durableId="849490405">
    <w:abstractNumId w:val="16"/>
  </w:num>
  <w:num w:numId="21" w16cid:durableId="1918467829">
    <w:abstractNumId w:val="14"/>
  </w:num>
  <w:num w:numId="22" w16cid:durableId="396710591">
    <w:abstractNumId w:val="24"/>
  </w:num>
  <w:num w:numId="23" w16cid:durableId="150490446">
    <w:abstractNumId w:val="15"/>
  </w:num>
  <w:num w:numId="24" w16cid:durableId="1823933436">
    <w:abstractNumId w:val="19"/>
  </w:num>
  <w:num w:numId="25" w16cid:durableId="4818529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0E5989"/>
    <w:rsid w:val="00141FAB"/>
    <w:rsid w:val="001671DE"/>
    <w:rsid w:val="003A475E"/>
    <w:rsid w:val="0041613E"/>
    <w:rsid w:val="00497FCA"/>
    <w:rsid w:val="00565EF5"/>
    <w:rsid w:val="005E73EA"/>
    <w:rsid w:val="00622CB2"/>
    <w:rsid w:val="00632C9C"/>
    <w:rsid w:val="006347A9"/>
    <w:rsid w:val="006E0AFC"/>
    <w:rsid w:val="006E4507"/>
    <w:rsid w:val="0077353D"/>
    <w:rsid w:val="007B525B"/>
    <w:rsid w:val="008B23E1"/>
    <w:rsid w:val="008C55BD"/>
    <w:rsid w:val="008F697A"/>
    <w:rsid w:val="0096741E"/>
    <w:rsid w:val="009709D5"/>
    <w:rsid w:val="00984F51"/>
    <w:rsid w:val="009B3577"/>
    <w:rsid w:val="00AD2C3A"/>
    <w:rsid w:val="00BD4D16"/>
    <w:rsid w:val="00D3317B"/>
    <w:rsid w:val="00E32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5725">
      <w:bodyDiv w:val="1"/>
      <w:marLeft w:val="0"/>
      <w:marRight w:val="0"/>
      <w:marTop w:val="0"/>
      <w:marBottom w:val="0"/>
      <w:divBdr>
        <w:top w:val="none" w:sz="0" w:space="0" w:color="auto"/>
        <w:left w:val="none" w:sz="0" w:space="0" w:color="auto"/>
        <w:bottom w:val="none" w:sz="0" w:space="0" w:color="auto"/>
        <w:right w:val="none" w:sz="0" w:space="0" w:color="auto"/>
      </w:divBdr>
    </w:div>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 w:id="116956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C2CE-2B7B-47CC-BB1E-6C19E5DF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5417</Words>
  <Characters>29794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14</cp:revision>
  <dcterms:created xsi:type="dcterms:W3CDTF">2023-05-14T16:12:00Z</dcterms:created>
  <dcterms:modified xsi:type="dcterms:W3CDTF">2023-06-30T20:23:00Z</dcterms:modified>
</cp:coreProperties>
</file>