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5BC18" w14:textId="77777777" w:rsidR="00A45ECD" w:rsidRDefault="00000000">
      <w:pPr>
        <w:spacing w:before="80" w:after="40"/>
      </w:pPr>
      <w:r>
        <w:rPr>
          <w:b/>
          <w:color w:val="000000"/>
          <w:sz w:val="46"/>
        </w:rPr>
        <w:t>MARGIN ENGINE</w:t>
      </w:r>
    </w:p>
    <w:p w14:paraId="71F5532E" w14:textId="663B5E88" w:rsidR="00A45ECD" w:rsidRDefault="00000000">
      <w:pPr>
        <w:spacing w:after="180"/>
      </w:pPr>
      <w:r>
        <w:rPr>
          <w:color w:val="5D6772"/>
          <w:sz w:val="19"/>
        </w:rPr>
        <w:t>16. jul 2026.</w:t>
      </w:r>
    </w:p>
    <w:tbl>
      <w:tblPr>
        <w:tblW w:w="9360" w:type="dxa"/>
        <w:tblInd w:w="120" w:type="dxa"/>
        <w:tblBorders>
          <w:top w:val="single" w:sz="4" w:space="0" w:color="EAF2F8"/>
          <w:left w:val="single" w:sz="4" w:space="0" w:color="EAF2F8"/>
          <w:bottom w:val="single" w:sz="4" w:space="0" w:color="EAF2F8"/>
          <w:right w:val="single" w:sz="4" w:space="0" w:color="EAF2F8"/>
          <w:insideH w:val="single" w:sz="4" w:space="0" w:color="EAF2F8"/>
          <w:insideV w:val="single" w:sz="4" w:space="0" w:color="EAF2F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A45ECD" w14:paraId="6AB0DB8B" w14:textId="77777777">
        <w:tc>
          <w:tcPr>
            <w:tcW w:w="9360" w:type="dxa"/>
            <w:shd w:val="clear" w:color="auto" w:fill="EAF2F8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6B850F82" w14:textId="77777777" w:rsidR="00A45ECD" w:rsidRDefault="00000000">
            <w:pPr>
              <w:spacing w:after="0"/>
            </w:pPr>
            <w:r>
              <w:rPr>
                <w:b/>
                <w:color w:val="1F4D78"/>
              </w:rPr>
              <w:t xml:space="preserve">Suština u jednoj rečenici: </w:t>
            </w:r>
            <w:r>
              <w:t>Margin Engine procenjuje koliko margine treba rezervisati za dati portfolio u nepovoljnim, ali realističnim tržišnim uslovima — dovoljno da se pokrije rizik, bez nepotrebnog blokiranja kapitala.</w:t>
            </w:r>
          </w:p>
        </w:tc>
      </w:tr>
    </w:tbl>
    <w:p w14:paraId="1DE3644D" w14:textId="77777777" w:rsidR="00A45ECD" w:rsidRDefault="00A45ECD">
      <w:pPr>
        <w:spacing w:after="40"/>
      </w:pPr>
    </w:p>
    <w:p w14:paraId="378B9AAA" w14:textId="77777777" w:rsidR="00A45ECD" w:rsidRDefault="00000000">
      <w:pPr>
        <w:pStyle w:val="Heading1"/>
      </w:pPr>
      <w:r>
        <w:t>Šta gradimo i zašto</w:t>
      </w:r>
    </w:p>
    <w:p w14:paraId="01B94A8C" w14:textId="77777777" w:rsidR="00A45ECD" w:rsidRDefault="00000000">
      <w:r>
        <w:t>Gradimo zajedničku platformu za obračun margine koja može da se primeni na više klasa aktive. Svaka klasa — akcije, derivati, robe i devize — imaće svoj Margin Engine, ali svi koriste istu osnovnu arhitekturu. Time se smanjuju dupliranje razvoja, operativna složenost i trošak budućih proširenja.</w:t>
      </w:r>
    </w:p>
    <w:p w14:paraId="3C6D87B8" w14:textId="77777777" w:rsidR="00A45ECD" w:rsidRDefault="00000000">
      <w:r>
        <w:t xml:space="preserve">Poslovni cilj nije samo konzervativna procena rizika. Potrebno je postići ravnotežu između </w:t>
      </w:r>
      <w:r>
        <w:rPr>
          <w:b/>
        </w:rPr>
        <w:t>sigurnosti</w:t>
      </w:r>
      <w:r>
        <w:t xml:space="preserve"> i </w:t>
      </w:r>
      <w:r>
        <w:rPr>
          <w:b/>
        </w:rPr>
        <w:t>efikasnog korišćenja kapitala</w:t>
      </w:r>
      <w:r>
        <w:t>: previsoka margina nepotrebno vezuje kapital, dok preniska margina ne pokriva rizik portfolija.</w:t>
      </w:r>
    </w:p>
    <w:p w14:paraId="50FC73CA" w14:textId="77777777" w:rsidR="00A45ECD" w:rsidRDefault="00000000">
      <w:pPr>
        <w:pStyle w:val="Heading1"/>
      </w:pPr>
      <w:r>
        <w:t>Kako sistem radi</w:t>
      </w:r>
    </w:p>
    <w:tbl>
      <w:tblPr>
        <w:tblW w:w="9360" w:type="dxa"/>
        <w:tblInd w:w="120" w:type="dxa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A45ECD" w14:paraId="14C9FBE9" w14:textId="77777777"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2E3F8" w14:textId="77777777" w:rsidR="00A45ECD" w:rsidRDefault="00000000">
            <w:pPr>
              <w:spacing w:after="0" w:line="252" w:lineRule="auto"/>
            </w:pPr>
            <w:r>
              <w:rPr>
                <w:b/>
                <w:color w:val="1F4D78"/>
                <w:sz w:val="21"/>
              </w:rPr>
              <w:t>Korak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0AE43" w14:textId="77777777" w:rsidR="00A45ECD" w:rsidRDefault="00000000">
            <w:pPr>
              <w:spacing w:after="0" w:line="252" w:lineRule="auto"/>
            </w:pPr>
            <w:r>
              <w:rPr>
                <w:b/>
                <w:color w:val="1F4D78"/>
                <w:sz w:val="21"/>
              </w:rPr>
              <w:t>Uloga u sistemu</w:t>
            </w:r>
          </w:p>
        </w:tc>
      </w:tr>
      <w:tr w:rsidR="00A45ECD" w14:paraId="2A0F1C95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1DCA2" w14:textId="77777777" w:rsidR="00A45ECD" w:rsidRDefault="00000000">
            <w:pPr>
              <w:spacing w:after="0" w:line="252" w:lineRule="auto"/>
            </w:pPr>
            <w:r>
              <w:rPr>
                <w:b/>
                <w:color w:val="1F4D78"/>
                <w:sz w:val="21"/>
              </w:rPr>
              <w:t>1. Portfolio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9F52A" w14:textId="77777777" w:rsidR="00A45ECD" w:rsidRDefault="00000000">
            <w:pPr>
              <w:spacing w:after="0" w:line="252" w:lineRule="auto"/>
            </w:pPr>
            <w:r>
              <w:rPr>
                <w:sz w:val="21"/>
              </w:rPr>
              <w:t>Sistem prima pozicije i izloženosti klijenta ili portfolija.</w:t>
            </w:r>
          </w:p>
        </w:tc>
      </w:tr>
      <w:tr w:rsidR="00A45ECD" w14:paraId="6DFBB856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84F2E" w14:textId="77777777" w:rsidR="00A45ECD" w:rsidRDefault="00000000">
            <w:pPr>
              <w:spacing w:after="0" w:line="252" w:lineRule="auto"/>
            </w:pPr>
            <w:r>
              <w:rPr>
                <w:b/>
                <w:color w:val="1F4D78"/>
                <w:sz w:val="21"/>
              </w:rPr>
              <w:t>2. Scenario Generator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26364" w14:textId="77777777" w:rsidR="00A45ECD" w:rsidRDefault="00000000">
            <w:pPr>
              <w:spacing w:after="0" w:line="252" w:lineRule="auto"/>
            </w:pPr>
            <w:r>
              <w:rPr>
                <w:sz w:val="21"/>
              </w:rPr>
              <w:t>Generiše veliki skup mogućih nepovoljnih, ali realističnih tržišnih kretanja.</w:t>
            </w:r>
          </w:p>
        </w:tc>
      </w:tr>
      <w:tr w:rsidR="00A45ECD" w14:paraId="3DF3BD25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BA03E" w14:textId="77777777" w:rsidR="00A45ECD" w:rsidRDefault="00000000">
            <w:pPr>
              <w:spacing w:after="0" w:line="252" w:lineRule="auto"/>
            </w:pPr>
            <w:r>
              <w:rPr>
                <w:b/>
                <w:color w:val="1F4D78"/>
                <w:sz w:val="21"/>
              </w:rPr>
              <w:t>3. Decision Maker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F6508" w14:textId="77777777" w:rsidR="00A45ECD" w:rsidRDefault="00000000">
            <w:pPr>
              <w:spacing w:after="0" w:line="252" w:lineRule="auto"/>
            </w:pPr>
            <w:r>
              <w:rPr>
                <w:sz w:val="21"/>
              </w:rPr>
              <w:t>Pronalazi scenario koji je najrelevantniji za rizik tog konkretnog portfolija.</w:t>
            </w:r>
          </w:p>
        </w:tc>
      </w:tr>
      <w:tr w:rsidR="00A45ECD" w14:paraId="3637A6B6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C1B18" w14:textId="77777777" w:rsidR="00A45ECD" w:rsidRDefault="00000000">
            <w:pPr>
              <w:spacing w:after="0" w:line="252" w:lineRule="auto"/>
            </w:pPr>
            <w:r>
              <w:rPr>
                <w:b/>
                <w:color w:val="1F4D78"/>
                <w:sz w:val="21"/>
              </w:rPr>
              <w:t>4. Margin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83BB7" w14:textId="77777777" w:rsidR="00A45ECD" w:rsidRDefault="00000000">
            <w:pPr>
              <w:spacing w:after="0" w:line="252" w:lineRule="auto"/>
            </w:pPr>
            <w:r>
              <w:rPr>
                <w:sz w:val="21"/>
              </w:rPr>
              <w:t>Najnepovoljniji relevantan ishod prevodi se u iznos potrebne margine.</w:t>
            </w:r>
          </w:p>
        </w:tc>
      </w:tr>
    </w:tbl>
    <w:p w14:paraId="100355AF" w14:textId="77777777" w:rsidR="00A45ECD" w:rsidRDefault="00000000">
      <w:pPr>
        <w:pStyle w:val="Heading1"/>
      </w:pPr>
      <w:r>
        <w:t>Zašto je modularnost važna</w:t>
      </w:r>
    </w:p>
    <w:p w14:paraId="6AFACB93" w14:textId="77777777" w:rsidR="00A45ECD" w:rsidRDefault="00000000">
      <w:r>
        <w:t>Scenario Generator i Decision Maker su odvojeni moduli. Zato možemo da menjamo jedan deo sistema, a da ostatak ostane isti. To omogućava fer poređenje postojećeg rešenja (ABN), našeg klasičnog rešenja (L9) i hibridnog optimizacionog pristupa (QUBO), bez ponovne izgradnje cele platforme.</w:t>
      </w:r>
    </w:p>
    <w:p w14:paraId="3260BEAA" w14:textId="77777777" w:rsidR="00A45ECD" w:rsidRDefault="00000000">
      <w:pPr>
        <w:spacing w:after="0"/>
      </w:pPr>
      <w:r>
        <w:rPr>
          <w:b/>
        </w:rPr>
        <w:t xml:space="preserve">Trenutni obuhvat: </w:t>
      </w:r>
      <w:r>
        <w:rPr>
          <w:b/>
          <w:color w:val="238636"/>
        </w:rPr>
        <w:t>Equities i Derivatives su u fokusu sada</w:t>
      </w:r>
      <w:r>
        <w:t>; Commodities i Forex su planirani nakon potvrde osnovnog sistema.</w:t>
      </w:r>
    </w:p>
    <w:p w14:paraId="447F47C4" w14:textId="77777777" w:rsidR="00A45ECD" w:rsidRDefault="00000000">
      <w:r>
        <w:br w:type="page"/>
      </w:r>
    </w:p>
    <w:p w14:paraId="61F0F308" w14:textId="77777777" w:rsidR="00A45ECD" w:rsidRDefault="00000000">
      <w:pPr>
        <w:pStyle w:val="Heading1"/>
      </w:pPr>
      <w:r>
        <w:lastRenderedPageBreak/>
        <w:t>Kako proveravamo da rezultat ima smisla</w:t>
      </w:r>
    </w:p>
    <w:p w14:paraId="73A86906" w14:textId="77777777" w:rsidR="00A45ECD" w:rsidRDefault="00000000">
      <w:r>
        <w:t>Svi pristupi se testiraju na istim sintetičkim, ali realističnim portfolijima. Tim i Stefano koriste iste ulazne podatke, pa se rezultati porede pod jednakim uslovima. ABN služi kao postojeći klasični reper, dok L9 predstavlja našu klasičnu osnovu.</w:t>
      </w:r>
    </w:p>
    <w:p w14:paraId="1ED1F355" w14:textId="77777777" w:rsidR="00A45ECD" w:rsidRDefault="00000000">
      <w:pPr>
        <w:pStyle w:val="Heading1"/>
      </w:pPr>
      <w:r>
        <w:t>Prve procene</w:t>
      </w:r>
    </w:p>
    <w:tbl>
      <w:tblPr>
        <w:tblW w:w="9360" w:type="dxa"/>
        <w:tblInd w:w="120" w:type="dxa"/>
        <w:tblBorders>
          <w:top w:val="single" w:sz="6" w:space="0" w:color="CDD5DF"/>
          <w:left w:val="single" w:sz="6" w:space="0" w:color="CDD5DF"/>
          <w:bottom w:val="single" w:sz="6" w:space="0" w:color="CDD5DF"/>
          <w:right w:val="single" w:sz="6" w:space="0" w:color="CDD5DF"/>
          <w:insideH w:val="single" w:sz="6" w:space="0" w:color="CDD5DF"/>
          <w:insideV w:val="single" w:sz="6" w:space="0" w:color="CDD5DF"/>
        </w:tblBorders>
        <w:tblLayout w:type="fixed"/>
        <w:tblLook w:val="04A0" w:firstRow="1" w:lastRow="0" w:firstColumn="1" w:lastColumn="0" w:noHBand="0" w:noVBand="1"/>
      </w:tblPr>
      <w:tblGrid>
        <w:gridCol w:w="2040"/>
        <w:gridCol w:w="2520"/>
        <w:gridCol w:w="4800"/>
      </w:tblGrid>
      <w:tr w:rsidR="00A45ECD" w14:paraId="50945A67" w14:textId="77777777">
        <w:tc>
          <w:tcPr>
            <w:tcW w:w="20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0C9EF" w14:textId="77777777" w:rsidR="00A45ECD" w:rsidRDefault="00000000">
            <w:pPr>
              <w:spacing w:after="0" w:line="252" w:lineRule="auto"/>
            </w:pPr>
            <w:r>
              <w:rPr>
                <w:b/>
                <w:color w:val="1F4D78"/>
                <w:sz w:val="20"/>
              </w:rPr>
              <w:t>Kombinacija</w:t>
            </w:r>
          </w:p>
        </w:tc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FCFA8" w14:textId="77777777" w:rsidR="00A45ECD" w:rsidRDefault="00000000">
            <w:pPr>
              <w:spacing w:after="0" w:line="252" w:lineRule="auto"/>
            </w:pPr>
            <w:r>
              <w:rPr>
                <w:b/>
                <w:color w:val="1F4D78"/>
                <w:sz w:val="20"/>
              </w:rPr>
              <w:t>Svrha</w:t>
            </w:r>
          </w:p>
        </w:tc>
        <w:tc>
          <w:tcPr>
            <w:tcW w:w="4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E475C" w14:textId="77777777" w:rsidR="00A45ECD" w:rsidRDefault="00000000">
            <w:pPr>
              <w:spacing w:after="0" w:line="252" w:lineRule="auto"/>
            </w:pPr>
            <w:r>
              <w:rPr>
                <w:b/>
                <w:color w:val="1F4D78"/>
                <w:sz w:val="20"/>
              </w:rPr>
              <w:t>Šta trenutno znamo</w:t>
            </w:r>
          </w:p>
        </w:tc>
      </w:tr>
      <w:tr w:rsidR="00A45ECD" w14:paraId="7740579C" w14:textId="77777777"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D1448" w14:textId="77777777" w:rsidR="00A45ECD" w:rsidRDefault="00000000">
            <w:pPr>
              <w:spacing w:after="0" w:line="252" w:lineRule="auto"/>
            </w:pPr>
            <w:r>
              <w:rPr>
                <w:b/>
                <w:color w:val="1F4D78"/>
                <w:sz w:val="20"/>
              </w:rPr>
              <w:t>ABN + ABN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FF975" w14:textId="77777777" w:rsidR="00A45ECD" w:rsidRDefault="00000000">
            <w:pPr>
              <w:spacing w:after="0" w:line="252" w:lineRule="auto"/>
            </w:pPr>
            <w:r>
              <w:rPr>
                <w:sz w:val="20"/>
              </w:rPr>
              <w:t>Kontrolni reper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1B52C" w14:textId="77777777" w:rsidR="00A45ECD" w:rsidRDefault="00000000">
            <w:pPr>
              <w:spacing w:after="0" w:line="252" w:lineRule="auto"/>
            </w:pPr>
            <w:r>
              <w:rPr>
                <w:sz w:val="20"/>
              </w:rPr>
              <w:t>Stefano obezbeđuje rezultate za poređenje za Equities i Derivatives.</w:t>
            </w:r>
          </w:p>
        </w:tc>
      </w:tr>
      <w:tr w:rsidR="00A45ECD" w14:paraId="076FAE4F" w14:textId="77777777"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DFAF9" w14:textId="77777777" w:rsidR="00A45ECD" w:rsidRDefault="00000000">
            <w:pPr>
              <w:spacing w:after="0" w:line="252" w:lineRule="auto"/>
            </w:pPr>
            <w:r>
              <w:rPr>
                <w:b/>
                <w:color w:val="1F4D78"/>
                <w:sz w:val="20"/>
              </w:rPr>
              <w:t>L9 + L9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213AC" w14:textId="77777777" w:rsidR="00A45ECD" w:rsidRDefault="00000000">
            <w:pPr>
              <w:spacing w:after="0" w:line="252" w:lineRule="auto"/>
            </w:pPr>
            <w:r>
              <w:rPr>
                <w:sz w:val="20"/>
              </w:rPr>
              <w:t>Validacija naše osnove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99902" w14:textId="77777777" w:rsidR="00A45ECD" w:rsidRDefault="00000000">
            <w:pPr>
              <w:spacing w:after="0" w:line="252" w:lineRule="auto"/>
            </w:pPr>
            <w:r>
              <w:rPr>
                <w:sz w:val="20"/>
              </w:rPr>
              <w:t>Rezultat je skoro isti kao referentni, što potvrđuje da imamo validnu osnovu za dalje testiranje. Dijagram beleži i 4–5× bolji rezultat na posmatranoj test metrici.</w:t>
            </w:r>
          </w:p>
        </w:tc>
      </w:tr>
      <w:tr w:rsidR="00A45ECD" w14:paraId="646EDEC3" w14:textId="77777777"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EB23D" w14:textId="77777777" w:rsidR="00A45ECD" w:rsidRDefault="00000000">
            <w:pPr>
              <w:spacing w:after="0" w:line="252" w:lineRule="auto"/>
            </w:pPr>
            <w:r>
              <w:rPr>
                <w:b/>
                <w:color w:val="1F4D78"/>
                <w:sz w:val="20"/>
              </w:rPr>
              <w:t>L9 + QUBO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8A813" w14:textId="77777777" w:rsidR="00A45ECD" w:rsidRDefault="00000000">
            <w:pPr>
              <w:spacing w:after="0" w:line="252" w:lineRule="auto"/>
            </w:pPr>
            <w:r>
              <w:rPr>
                <w:sz w:val="20"/>
              </w:rPr>
              <w:t>Aktivni razvoj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4B98A" w14:textId="77777777" w:rsidR="00A45ECD" w:rsidRDefault="00000000">
            <w:pPr>
              <w:spacing w:after="0" w:line="252" w:lineRule="auto"/>
            </w:pPr>
            <w:r>
              <w:rPr>
                <w:sz w:val="20"/>
              </w:rPr>
              <w:t>Prva procena pomera testiranu procentualnu metriku sa oko 10% na 4,5%. Integracija je u toku; stabilnost i poslovno značenje još moraju biti potvrđeni.</w:t>
            </w:r>
          </w:p>
        </w:tc>
      </w:tr>
      <w:tr w:rsidR="00A45ECD" w14:paraId="4DC03066" w14:textId="77777777"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4D3CE" w14:textId="77777777" w:rsidR="00A45ECD" w:rsidRDefault="00000000">
            <w:pPr>
              <w:spacing w:after="0" w:line="252" w:lineRule="auto"/>
            </w:pPr>
            <w:r>
              <w:rPr>
                <w:b/>
                <w:color w:val="1F4D78"/>
                <w:sz w:val="20"/>
              </w:rPr>
              <w:t>RM + QUBO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E4E12" w14:textId="77777777" w:rsidR="00A45ECD" w:rsidRDefault="00000000">
            <w:pPr>
              <w:spacing w:after="0" w:line="252" w:lineRule="auto"/>
            </w:pPr>
            <w:r>
              <w:rPr>
                <w:sz w:val="20"/>
              </w:rPr>
              <w:t>Kasnija faza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5BFEA" w14:textId="77777777" w:rsidR="00A45ECD" w:rsidRDefault="00000000">
            <w:pPr>
              <w:spacing w:after="0" w:line="252" w:lineRule="auto"/>
            </w:pPr>
            <w:r>
              <w:rPr>
                <w:sz w:val="20"/>
              </w:rPr>
              <w:t>Hibridna/kvantna ideja za budući Scenario Generator i Decision Maker; nije uslov za isporuku sadašnje verzije.</w:t>
            </w:r>
          </w:p>
        </w:tc>
      </w:tr>
    </w:tbl>
    <w:p w14:paraId="63195238" w14:textId="77777777" w:rsidR="00A45ECD" w:rsidRDefault="00000000">
      <w:pPr>
        <w:pStyle w:val="Heading1"/>
      </w:pPr>
      <w:r>
        <w:t>Šta je realno sada, a šta kasnije</w:t>
      </w:r>
    </w:p>
    <w:p w14:paraId="5D742926" w14:textId="77777777" w:rsidR="00A45ECD" w:rsidRDefault="00000000">
      <w:pPr>
        <w:spacing w:after="80"/>
      </w:pPr>
      <w:r>
        <w:rPr>
          <w:b/>
          <w:color w:val="238636"/>
        </w:rPr>
        <w:t xml:space="preserve">Sada: </w:t>
      </w:r>
      <w:r>
        <w:t>zajednička arhitektura, klasična osnova L9, testiranje Equities i Derivatives i implementacija QUBO Decision Maker-a.</w:t>
      </w:r>
    </w:p>
    <w:p w14:paraId="4C5B8BD8" w14:textId="77777777" w:rsidR="00A45ECD" w:rsidRDefault="00000000">
      <w:pPr>
        <w:spacing w:after="80"/>
      </w:pPr>
      <w:r>
        <w:rPr>
          <w:b/>
          <w:color w:val="C65D09"/>
        </w:rPr>
        <w:t xml:space="preserve">Kasnije: </w:t>
      </w:r>
      <w:r>
        <w:t>proširenje na Commodities i Forex, kao i RM/QUBO hibridna ili kvantna varijanta. Kvantni deo je opcija za dodatnu vrednost, a ne zavisnost osnovnog proizvoda.</w:t>
      </w:r>
    </w:p>
    <w:p w14:paraId="6F10ACAA" w14:textId="77777777" w:rsidR="00A45ECD" w:rsidRDefault="00000000">
      <w:pPr>
        <w:pStyle w:val="Heading1"/>
      </w:pPr>
      <w:r>
        <w:t>Sledeći poslovni koraci</w:t>
      </w:r>
    </w:p>
    <w:p w14:paraId="6DBCF5BC" w14:textId="77777777" w:rsidR="00A45ECD" w:rsidRDefault="00000000">
      <w:pPr>
        <w:keepLines/>
        <w:spacing w:after="60" w:line="252" w:lineRule="auto"/>
      </w:pPr>
      <w:r>
        <w:rPr>
          <w:b/>
          <w:color w:val="1F4D78"/>
        </w:rPr>
        <w:t xml:space="preserve">1. Završiti QUBO integraciju. </w:t>
      </w:r>
      <w:r>
        <w:t>Uporediti je sa L9 i ABN na potpuno istim portfolijima.</w:t>
      </w:r>
    </w:p>
    <w:p w14:paraId="052C106E" w14:textId="77777777" w:rsidR="00A45ECD" w:rsidRDefault="00000000">
      <w:pPr>
        <w:keepLines/>
        <w:spacing w:after="60" w:line="252" w:lineRule="auto"/>
      </w:pPr>
      <w:r>
        <w:rPr>
          <w:b/>
          <w:color w:val="1F4D78"/>
        </w:rPr>
        <w:t xml:space="preserve">2. Zaključati KPI-jeve. </w:t>
      </w:r>
      <w:r>
        <w:t>Odvojeno meriti adekvatnost margine, kapitalnu efikasnost, brzinu i stabilnost rezultata.</w:t>
      </w:r>
    </w:p>
    <w:p w14:paraId="067F0B6E" w14:textId="77777777" w:rsidR="00A45ECD" w:rsidRDefault="00000000">
      <w:pPr>
        <w:keepLines/>
        <w:spacing w:after="60" w:line="252" w:lineRule="auto"/>
      </w:pPr>
      <w:r>
        <w:rPr>
          <w:b/>
          <w:color w:val="1F4D78"/>
        </w:rPr>
        <w:t xml:space="preserve">3. Proširiti validaciju. </w:t>
      </w:r>
      <w:r>
        <w:t>Pored sintetičkih portfolija uključiti istorijske stresne periode i realne operativne slučajeve.</w:t>
      </w:r>
    </w:p>
    <w:p w14:paraId="52E628AB" w14:textId="77777777" w:rsidR="00A45ECD" w:rsidRDefault="00000000">
      <w:pPr>
        <w:keepLines/>
        <w:spacing w:after="60" w:line="252" w:lineRule="auto"/>
      </w:pPr>
      <w:r>
        <w:rPr>
          <w:b/>
          <w:color w:val="1F4D78"/>
        </w:rPr>
        <w:t xml:space="preserve">4. Skalirati tek nakon potvrde. </w:t>
      </w:r>
      <w:r>
        <w:t>Commodities i Forex uključiti kada rezultat za prve dve klase bude ponovljiv i upravljački odobren.</w:t>
      </w:r>
    </w:p>
    <w:tbl>
      <w:tblPr>
        <w:tblW w:w="9360" w:type="dxa"/>
        <w:tblInd w:w="120" w:type="dxa"/>
        <w:tblBorders>
          <w:top w:val="single" w:sz="4" w:space="0" w:color="EAF2F8"/>
          <w:left w:val="single" w:sz="4" w:space="0" w:color="EAF2F8"/>
          <w:bottom w:val="single" w:sz="4" w:space="0" w:color="EAF2F8"/>
          <w:right w:val="single" w:sz="4" w:space="0" w:color="EAF2F8"/>
          <w:insideH w:val="single" w:sz="4" w:space="0" w:color="EAF2F8"/>
          <w:insideV w:val="single" w:sz="4" w:space="0" w:color="EAF2F8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A45ECD" w14:paraId="0739D93C" w14:textId="77777777">
        <w:tc>
          <w:tcPr>
            <w:tcW w:w="9360" w:type="dxa"/>
            <w:shd w:val="clear" w:color="auto" w:fill="EAF2F8"/>
            <w:tcMar>
              <w:top w:w="150" w:type="dxa"/>
              <w:left w:w="190" w:type="dxa"/>
              <w:bottom w:w="150" w:type="dxa"/>
              <w:right w:w="190" w:type="dxa"/>
            </w:tcMar>
          </w:tcPr>
          <w:p w14:paraId="62B2FA51" w14:textId="40AC4AA1" w:rsidR="00A45ECD" w:rsidRDefault="00000000">
            <w:pPr>
              <w:spacing w:after="0"/>
            </w:pPr>
            <w:r>
              <w:rPr>
                <w:b/>
                <w:color w:val="1F4D78"/>
              </w:rPr>
              <w:t xml:space="preserve">Poruka za Board: </w:t>
            </w:r>
            <w:r>
              <w:t>Ne gradimo kvantni demonstrator, već produkciono usmerenu margin platformu sa validiranom klasičnom osnovom. Hibridni modul se uključuje samo ako donosi bolji i ponovljiv rezultat uz isti ili veći nivo zaštite od rizika</w:t>
            </w:r>
            <w:r w:rsidR="003C6322">
              <w:t>, a klasična poboljšanja se već sada pokazuju.</w:t>
            </w:r>
          </w:p>
        </w:tc>
      </w:tr>
    </w:tbl>
    <w:p w14:paraId="514F842D" w14:textId="77777777" w:rsidR="00A45ECD" w:rsidRDefault="00A45ECD">
      <w:pPr>
        <w:spacing w:after="40"/>
      </w:pPr>
    </w:p>
    <w:sectPr w:rsidR="00A45ECD" w:rsidSect="00034616">
      <w:headerReference w:type="default" r:id="rId8"/>
      <w:footerReference w:type="default" r:id="rId9"/>
      <w:pgSz w:w="12240" w:h="15840"/>
      <w:pgMar w:top="1181" w:right="1440" w:bottom="1123" w:left="1440" w:header="605" w:footer="6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4EA3C" w14:textId="77777777" w:rsidR="00A3195B" w:rsidRDefault="00A3195B">
      <w:pPr>
        <w:spacing w:after="0" w:line="240" w:lineRule="auto"/>
      </w:pPr>
      <w:r>
        <w:separator/>
      </w:r>
    </w:p>
  </w:endnote>
  <w:endnote w:type="continuationSeparator" w:id="0">
    <w:p w14:paraId="332DFB00" w14:textId="77777777" w:rsidR="00A3195B" w:rsidRDefault="00A31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00343" w14:textId="77777777" w:rsidR="00A45ECD" w:rsidRDefault="00000000">
    <w:pPr>
      <w:pStyle w:val="Footer"/>
      <w:jc w:val="right"/>
    </w:pPr>
    <w:r>
      <w:rPr>
        <w:color w:val="5D6772"/>
        <w:sz w:val="18"/>
      </w:rPr>
      <w:t xml:space="preserve">Margin Engine | Interni pregled  •  </w:t>
    </w:r>
    <w:r>
      <w:rPr>
        <w:color w:val="5D6772"/>
        <w:sz w:val="18"/>
      </w:rPr>
      <w:fldChar w:fldCharType="begin"/>
    </w:r>
    <w:r>
      <w:rPr>
        <w:color w:val="5D6772"/>
        <w:sz w:val="18"/>
      </w:rPr>
      <w:instrText xml:space="preserve"> PAGE </w:instrText>
    </w:r>
    <w:r w:rsidR="00436E79">
      <w:rPr>
        <w:color w:val="5D6772"/>
        <w:sz w:val="18"/>
      </w:rPr>
      <w:fldChar w:fldCharType="separate"/>
    </w:r>
    <w:r w:rsidR="00436E79">
      <w:rPr>
        <w:noProof/>
        <w:color w:val="5D6772"/>
        <w:sz w:val="18"/>
      </w:rPr>
      <w:t>1</w:t>
    </w:r>
    <w:r>
      <w:rPr>
        <w:color w:val="5D6772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704E6" w14:textId="77777777" w:rsidR="00A3195B" w:rsidRDefault="00A3195B">
      <w:pPr>
        <w:spacing w:after="0" w:line="240" w:lineRule="auto"/>
      </w:pPr>
      <w:r>
        <w:separator/>
      </w:r>
    </w:p>
  </w:footnote>
  <w:footnote w:type="continuationSeparator" w:id="0">
    <w:p w14:paraId="3F5832AC" w14:textId="77777777" w:rsidR="00A3195B" w:rsidRDefault="00A319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7C05F" w14:textId="77777777" w:rsidR="00A45ECD" w:rsidRDefault="00000000">
    <w:pPr>
      <w:pStyle w:val="Header"/>
    </w:pPr>
    <w:r>
      <w:rPr>
        <w:b/>
        <w:color w:val="5D6772"/>
        <w:sz w:val="18"/>
      </w:rPr>
      <w:t>MARGIN ENGINE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4917496">
    <w:abstractNumId w:val="8"/>
  </w:num>
  <w:num w:numId="2" w16cid:durableId="253125500">
    <w:abstractNumId w:val="6"/>
  </w:num>
  <w:num w:numId="3" w16cid:durableId="336426268">
    <w:abstractNumId w:val="5"/>
  </w:num>
  <w:num w:numId="4" w16cid:durableId="690882095">
    <w:abstractNumId w:val="4"/>
  </w:num>
  <w:num w:numId="5" w16cid:durableId="922882470">
    <w:abstractNumId w:val="7"/>
  </w:num>
  <w:num w:numId="6" w16cid:durableId="1737899669">
    <w:abstractNumId w:val="3"/>
  </w:num>
  <w:num w:numId="7" w16cid:durableId="678966036">
    <w:abstractNumId w:val="2"/>
  </w:num>
  <w:num w:numId="8" w16cid:durableId="595939740">
    <w:abstractNumId w:val="1"/>
  </w:num>
  <w:num w:numId="9" w16cid:durableId="738788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2174"/>
    <w:rsid w:val="003C6322"/>
    <w:rsid w:val="00436E79"/>
    <w:rsid w:val="00A3195B"/>
    <w:rsid w:val="00A45EC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A68C37"/>
  <w14:defaultImageDpi w14:val="300"/>
  <w15:docId w15:val="{0D94BCFE-087B-4569-9961-2D8037EF3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8212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Margin Engine — CEO pregled</dc:title>
  <dc:subject>Visok nivo objašnjenja Margin Engine projekta</dc:subject>
  <dc:creator>Margin Engine tim</dc:creator>
  <cp:keywords>Margin Engine, CEO, Board, margin, risk</cp:keywords>
  <dc:description>generated by python-docx</dc:description>
  <cp:lastModifiedBy>Jovan Mitić</cp:lastModifiedBy>
  <cp:revision>3</cp:revision>
  <dcterms:created xsi:type="dcterms:W3CDTF">2013-12-23T23:15:00Z</dcterms:created>
  <dcterms:modified xsi:type="dcterms:W3CDTF">2026-07-16T14:00:00Z</dcterms:modified>
  <cp:category/>
</cp:coreProperties>
</file>