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89A67" w14:textId="77777777" w:rsidR="00380A7B" w:rsidRDefault="00380A7B">
      <w:pPr>
        <w:pBdr>
          <w:top w:val="nil"/>
          <w:left w:val="nil"/>
          <w:bottom w:val="nil"/>
          <w:right w:val="nil"/>
          <w:between w:val="nil"/>
        </w:pBdr>
        <w:spacing w:after="240" w:line="275" w:lineRule="auto"/>
        <w:rPr>
          <w:color w:val="000000"/>
        </w:rPr>
      </w:pPr>
    </w:p>
    <w:p w14:paraId="2A285F73" w14:textId="77777777" w:rsidR="00380A7B" w:rsidRDefault="00000000">
      <w:pPr>
        <w:pStyle w:val="1"/>
        <w:spacing w:before="0" w:after="120" w:line="275" w:lineRule="auto"/>
        <w:rPr>
          <w:rFonts w:ascii="Google Sans" w:eastAsia="Google Sans" w:hAnsi="Google Sans" w:cs="Google Sans"/>
          <w:color w:val="1B1C1D"/>
          <w:sz w:val="32"/>
          <w:szCs w:val="32"/>
        </w:rPr>
      </w:pPr>
      <w:r>
        <w:rPr>
          <w:rFonts w:ascii="Google Sans" w:eastAsia="Google Sans" w:hAnsi="Google Sans" w:cs="Google Sans"/>
          <w:color w:val="1B1C1D"/>
          <w:sz w:val="32"/>
          <w:szCs w:val="32"/>
        </w:rPr>
        <w:t>2025年台灣營造產業趨勢研究報告：挑戰、機遇與永續轉型</w:t>
      </w:r>
    </w:p>
    <w:p w14:paraId="69E2862F" w14:textId="77777777" w:rsidR="00380A7B" w:rsidRDefault="00380A7B">
      <w:pPr>
        <w:pBdr>
          <w:top w:val="nil"/>
          <w:left w:val="nil"/>
          <w:bottom w:val="nil"/>
          <w:right w:val="nil"/>
          <w:between w:val="nil"/>
        </w:pBdr>
        <w:spacing w:after="240" w:line="275" w:lineRule="auto"/>
        <w:rPr>
          <w:rFonts w:ascii="Google Sans" w:eastAsia="Google Sans" w:hAnsi="Google Sans" w:cs="Google Sans"/>
          <w:b/>
          <w:color w:val="1B1C1D"/>
          <w:sz w:val="32"/>
          <w:szCs w:val="32"/>
        </w:rPr>
      </w:pPr>
    </w:p>
    <w:p w14:paraId="324296E3" w14:textId="77777777" w:rsidR="00380A7B" w:rsidRDefault="00380A7B">
      <w:pPr>
        <w:pBdr>
          <w:top w:val="nil"/>
          <w:left w:val="nil"/>
          <w:bottom w:val="nil"/>
          <w:right w:val="nil"/>
          <w:between w:val="nil"/>
        </w:pBdr>
        <w:spacing w:after="240" w:line="275" w:lineRule="auto"/>
        <w:rPr>
          <w:rFonts w:ascii="Google Sans" w:eastAsia="Google Sans" w:hAnsi="Google Sans" w:cs="Google Sans"/>
          <w:b/>
          <w:color w:val="1B1C1D"/>
          <w:sz w:val="32"/>
          <w:szCs w:val="32"/>
        </w:rPr>
      </w:pPr>
    </w:p>
    <w:p w14:paraId="3FA345D3" w14:textId="77777777" w:rsidR="00380A7B" w:rsidRDefault="00000000">
      <w:pPr>
        <w:pStyle w:val="2"/>
        <w:spacing w:before="0" w:after="120" w:line="275" w:lineRule="auto"/>
        <w:rPr>
          <w:rFonts w:ascii="Google Sans" w:eastAsia="Google Sans" w:hAnsi="Google Sans" w:cs="Google Sans"/>
          <w:color w:val="1B1C1D"/>
          <w:sz w:val="30"/>
          <w:szCs w:val="30"/>
        </w:rPr>
      </w:pPr>
      <w:r>
        <w:rPr>
          <w:rFonts w:ascii="Google Sans" w:eastAsia="Google Sans" w:hAnsi="Google Sans" w:cs="Google Sans"/>
          <w:color w:val="1B1C1D"/>
          <w:sz w:val="30"/>
          <w:szCs w:val="30"/>
        </w:rPr>
        <w:t>I. 執行摘要</w:t>
      </w:r>
    </w:p>
    <w:p w14:paraId="75BA94CD" w14:textId="77777777" w:rsidR="00380A7B" w:rsidRDefault="00380A7B">
      <w:pPr>
        <w:pBdr>
          <w:top w:val="nil"/>
          <w:left w:val="nil"/>
          <w:bottom w:val="nil"/>
          <w:right w:val="nil"/>
          <w:between w:val="nil"/>
        </w:pBdr>
        <w:spacing w:after="240" w:line="275" w:lineRule="auto"/>
        <w:rPr>
          <w:rFonts w:ascii="Google Sans" w:eastAsia="Google Sans" w:hAnsi="Google Sans" w:cs="Google Sans"/>
          <w:b/>
          <w:color w:val="1B1C1D"/>
          <w:sz w:val="30"/>
          <w:szCs w:val="30"/>
        </w:rPr>
      </w:pPr>
    </w:p>
    <w:p w14:paraId="11EB84EC" w14:textId="77777777" w:rsidR="00380A7B"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本報告旨在深入剖析2025年台灣營造產業的關鍵發展趨勢。預計在人工智慧（AI）產業帶動的總體經濟溫和成長背景下，營造業將受益於公共工程預算創新高及科技廠房需求，維持穩健的案量。然而，產業同時面臨嚴峻的勞動力短缺、持續上升的勞務成本以及日益嚴格的淨零建築法規。這些挑戰將驅使產業加速數位轉型、擁抱綠色建築與模組化技術，以應對當前困境並抓住永續發展的機遇。住宅市場在政策調控下將進入「軟著陸」調整期，自用需求成為主導，而商業與工業營造則將聚焦於高科技產業的擴張與綠色環保工程的需求。</w:t>
      </w:r>
    </w:p>
    <w:p w14:paraId="1356FC5F" w14:textId="77777777" w:rsidR="00380A7B" w:rsidRDefault="00380A7B">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p>
    <w:p w14:paraId="0B1C898E" w14:textId="77777777" w:rsidR="00380A7B" w:rsidRDefault="00000000">
      <w:pPr>
        <w:pStyle w:val="2"/>
        <w:spacing w:before="0" w:after="120" w:line="275" w:lineRule="auto"/>
        <w:rPr>
          <w:rFonts w:ascii="Google Sans" w:eastAsia="Google Sans" w:hAnsi="Google Sans" w:cs="Google Sans"/>
          <w:color w:val="1B1C1D"/>
          <w:sz w:val="30"/>
          <w:szCs w:val="30"/>
        </w:rPr>
      </w:pPr>
      <w:r>
        <w:rPr>
          <w:rFonts w:ascii="Google Sans" w:eastAsia="Google Sans" w:hAnsi="Google Sans" w:cs="Google Sans"/>
          <w:color w:val="1B1C1D"/>
          <w:sz w:val="30"/>
          <w:szCs w:val="30"/>
        </w:rPr>
        <w:t>II. 2025年台灣總體經濟環境與營造業展望</w:t>
      </w:r>
    </w:p>
    <w:p w14:paraId="60D5B32C" w14:textId="77777777" w:rsidR="00380A7B" w:rsidRDefault="00380A7B">
      <w:pPr>
        <w:pBdr>
          <w:top w:val="nil"/>
          <w:left w:val="nil"/>
          <w:bottom w:val="nil"/>
          <w:right w:val="nil"/>
          <w:between w:val="nil"/>
        </w:pBdr>
        <w:spacing w:after="240" w:line="275" w:lineRule="auto"/>
        <w:rPr>
          <w:rFonts w:ascii="Google Sans" w:eastAsia="Google Sans" w:hAnsi="Google Sans" w:cs="Google Sans"/>
          <w:b/>
          <w:color w:val="1B1C1D"/>
          <w:sz w:val="30"/>
          <w:szCs w:val="30"/>
        </w:rPr>
      </w:pPr>
    </w:p>
    <w:p w14:paraId="01478DBC" w14:textId="77777777" w:rsidR="00380A7B" w:rsidRDefault="00380A7B">
      <w:pPr>
        <w:pBdr>
          <w:top w:val="nil"/>
          <w:left w:val="nil"/>
          <w:bottom w:val="nil"/>
          <w:right w:val="nil"/>
          <w:between w:val="nil"/>
        </w:pBdr>
        <w:spacing w:after="240" w:line="275" w:lineRule="auto"/>
        <w:rPr>
          <w:rFonts w:ascii="Google Sans" w:eastAsia="Google Sans" w:hAnsi="Google Sans" w:cs="Google Sans"/>
          <w:b/>
          <w:color w:val="1B1C1D"/>
          <w:sz w:val="30"/>
          <w:szCs w:val="30"/>
        </w:rPr>
      </w:pPr>
    </w:p>
    <w:p w14:paraId="3115043E" w14:textId="77777777" w:rsidR="00380A7B" w:rsidRDefault="00000000">
      <w:pPr>
        <w:pStyle w:val="3"/>
        <w:spacing w:before="0" w:after="120" w:line="275" w:lineRule="auto"/>
        <w:rPr>
          <w:rFonts w:ascii="Google Sans" w:eastAsia="Google Sans" w:hAnsi="Google Sans" w:cs="Google Sans"/>
          <w:color w:val="1B1C1D"/>
          <w:sz w:val="24"/>
          <w:szCs w:val="24"/>
        </w:rPr>
      </w:pPr>
      <w:r>
        <w:rPr>
          <w:rFonts w:ascii="Google Sans" w:eastAsia="Google Sans" w:hAnsi="Google Sans" w:cs="Google Sans"/>
          <w:color w:val="1B1C1D"/>
          <w:sz w:val="24"/>
          <w:szCs w:val="24"/>
        </w:rPr>
        <w:t>A. 總體經濟概況與預測</w:t>
      </w:r>
    </w:p>
    <w:p w14:paraId="0E50990B" w14:textId="77777777" w:rsidR="00380A7B" w:rsidRDefault="00380A7B">
      <w:pPr>
        <w:pBdr>
          <w:top w:val="nil"/>
          <w:left w:val="nil"/>
          <w:bottom w:val="nil"/>
          <w:right w:val="nil"/>
          <w:between w:val="nil"/>
        </w:pBdr>
        <w:spacing w:after="240" w:line="275" w:lineRule="auto"/>
        <w:rPr>
          <w:rFonts w:ascii="Google Sans" w:eastAsia="Google Sans" w:hAnsi="Google Sans" w:cs="Google Sans"/>
          <w:b/>
          <w:color w:val="1B1C1D"/>
          <w:sz w:val="24"/>
          <w:szCs w:val="24"/>
        </w:rPr>
      </w:pPr>
    </w:p>
    <w:p w14:paraId="450BE3CB" w14:textId="77777777" w:rsidR="00380A7B"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 xml:space="preserve">2025年台灣的總體經濟預計將呈現穩健但溫和的成長態勢。多數權威機構對2025年台灣國內生產毛額（GDP）成長率的預測集中在3.0%至3.16%之間。星展銀行預估為3.0% </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sz w:val="24"/>
          <w:szCs w:val="24"/>
        </w:rPr>
        <w:t xml:space="preserve">，中華經濟研究院預估為3.05% </w:t>
      </w:r>
      <w:r>
        <w:rPr>
          <w:rFonts w:ascii="Google Sans Text" w:eastAsia="Google Sans Text" w:hAnsi="Google Sans Text" w:cs="Google Sans Text"/>
          <w:color w:val="575B5F"/>
          <w:sz w:val="24"/>
          <w:szCs w:val="24"/>
          <w:vertAlign w:val="superscript"/>
        </w:rPr>
        <w:t>2</w:t>
      </w:r>
      <w:r>
        <w:rPr>
          <w:rFonts w:ascii="Google Sans Text" w:eastAsia="Google Sans Text" w:hAnsi="Google Sans Text" w:cs="Google Sans Text"/>
          <w:color w:val="1B1C1D"/>
          <w:sz w:val="24"/>
          <w:szCs w:val="24"/>
        </w:rPr>
        <w:t xml:space="preserve">，台灣經濟研究院預估為3.16% </w:t>
      </w:r>
      <w:r>
        <w:rPr>
          <w:rFonts w:ascii="Google Sans Text" w:eastAsia="Google Sans Text" w:hAnsi="Google Sans Text" w:cs="Google Sans Text"/>
          <w:color w:val="575B5F"/>
          <w:sz w:val="24"/>
          <w:szCs w:val="24"/>
          <w:vertAlign w:val="superscript"/>
        </w:rPr>
        <w:t>4</w:t>
      </w:r>
      <w:r>
        <w:rPr>
          <w:rFonts w:ascii="Google Sans Text" w:eastAsia="Google Sans Text" w:hAnsi="Google Sans Text" w:cs="Google Sans Text"/>
          <w:color w:val="1B1C1D"/>
          <w:sz w:val="24"/>
          <w:szCs w:val="24"/>
        </w:rPr>
        <w:t xml:space="preserve">，而中央銀行則預估為3.13% </w:t>
      </w:r>
      <w:r>
        <w:rPr>
          <w:rFonts w:ascii="Google Sans Text" w:eastAsia="Google Sans Text" w:hAnsi="Google Sans Text" w:cs="Google Sans Text"/>
          <w:color w:val="575B5F"/>
          <w:sz w:val="24"/>
          <w:szCs w:val="24"/>
          <w:vertAlign w:val="superscript"/>
        </w:rPr>
        <w:t>5</w:t>
      </w:r>
      <w:r>
        <w:rPr>
          <w:rFonts w:ascii="Google Sans Text" w:eastAsia="Google Sans Text" w:hAnsi="Google Sans Text" w:cs="Google Sans Text"/>
          <w:color w:val="1B1C1D"/>
          <w:sz w:val="24"/>
          <w:szCs w:val="24"/>
        </w:rPr>
        <w:t xml:space="preserve">。相較之下，中央研究院的預估值較為保守，為2.93%，主要考量全球需求放緩及關稅效應的潛在影響 </w:t>
      </w:r>
      <w:r>
        <w:rPr>
          <w:rFonts w:ascii="Google Sans Text" w:eastAsia="Google Sans Text" w:hAnsi="Google Sans Text" w:cs="Google Sans Text"/>
          <w:color w:val="575B5F"/>
          <w:sz w:val="24"/>
          <w:szCs w:val="24"/>
          <w:vertAlign w:val="superscript"/>
        </w:rPr>
        <w:t>6</w:t>
      </w:r>
      <w:r>
        <w:rPr>
          <w:rFonts w:ascii="Google Sans Text" w:eastAsia="Google Sans Text" w:hAnsi="Google Sans Text" w:cs="Google Sans Text"/>
          <w:color w:val="1B1C1D"/>
          <w:sz w:val="24"/>
          <w:szCs w:val="24"/>
        </w:rPr>
        <w:t>。</w:t>
      </w:r>
    </w:p>
    <w:p w14:paraId="742ECC0E" w14:textId="77777777" w:rsidR="00380A7B"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 xml:space="preserve">驅動這波經濟成長的核心動力主要來自AI等新興科技應用的持續熱絡，這有效帶動了台灣的出口與民間投資 </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sz w:val="24"/>
          <w:szCs w:val="24"/>
        </w:rPr>
        <w:t>。其中，半導體產業扮演著關鍵角色，預計在2025年其產值將大</w:t>
      </w:r>
      <w:r>
        <w:rPr>
          <w:rFonts w:ascii="Google Sans Text" w:eastAsia="Google Sans Text" w:hAnsi="Google Sans Text" w:cs="Google Sans Text"/>
          <w:color w:val="1B1C1D"/>
          <w:sz w:val="24"/>
          <w:szCs w:val="24"/>
        </w:rPr>
        <w:lastRenderedPageBreak/>
        <w:t xml:space="preserve">幅成長16%，達到新台幣6兆元，被視為拉動台灣百工百業發展的「火車頭」 </w:t>
      </w:r>
      <w:r>
        <w:rPr>
          <w:rFonts w:ascii="Google Sans Text" w:eastAsia="Google Sans Text" w:hAnsi="Google Sans Text" w:cs="Google Sans Text"/>
          <w:color w:val="575B5F"/>
          <w:sz w:val="24"/>
          <w:szCs w:val="24"/>
          <w:vertAlign w:val="superscript"/>
        </w:rPr>
        <w:t>7</w:t>
      </w:r>
      <w:r>
        <w:rPr>
          <w:rFonts w:ascii="Google Sans Text" w:eastAsia="Google Sans Text" w:hAnsi="Google Sans Text" w:cs="Google Sans Text"/>
          <w:color w:val="1B1C1D"/>
          <w:sz w:val="24"/>
          <w:szCs w:val="24"/>
        </w:rPr>
        <w:t xml:space="preserve">。全球半導體產業的擴張週期預計將持續至2025年底，為相關產業鏈帶來穩定需求 </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sz w:val="24"/>
          <w:szCs w:val="24"/>
        </w:rPr>
        <w:t>。</w:t>
      </w:r>
    </w:p>
    <w:p w14:paraId="42572D7F" w14:textId="77777777" w:rsidR="00380A7B" w:rsidRDefault="00000000">
      <w:pPr>
        <w:pBdr>
          <w:top w:val="nil"/>
          <w:left w:val="nil"/>
          <w:bottom w:val="nil"/>
          <w:right w:val="nil"/>
          <w:between w:val="nil"/>
        </w:pBdr>
        <w:spacing w:after="240" w:line="275" w:lineRule="auto"/>
        <w:rPr>
          <w:rFonts w:ascii="Google Sans Text" w:eastAsia="Google Sans Text" w:hAnsi="Google Sans Text" w:cs="Google Sans Text"/>
          <w:b/>
          <w:color w:val="1B1C1D"/>
          <w:sz w:val="24"/>
          <w:szCs w:val="24"/>
        </w:rPr>
      </w:pPr>
      <w:r>
        <w:rPr>
          <w:rFonts w:ascii="Google Sans Text" w:eastAsia="Google Sans Text" w:hAnsi="Google Sans Text" w:cs="Google Sans Text"/>
          <w:b/>
          <w:color w:val="1B1C1D"/>
          <w:sz w:val="24"/>
          <w:szCs w:val="24"/>
        </w:rPr>
        <w:t>2025年台灣主要機構GDP成長率預測</w:t>
      </w:r>
    </w:p>
    <w:tbl>
      <w:tblPr>
        <w:tblStyle w:val="a5"/>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380A7B" w14:paraId="702C67F0"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793715" w14:textId="77777777" w:rsidR="00380A7B"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機構名稱</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42E138" w14:textId="77777777" w:rsidR="00380A7B"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2025年GDP成長率預測 (%)</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C6EAD9" w14:textId="77777777" w:rsidR="00380A7B"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主要驅動因素/假設</w:t>
            </w:r>
          </w:p>
        </w:tc>
      </w:tr>
      <w:tr w:rsidR="00380A7B" w14:paraId="0C2F53C1"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9C4B9C" w14:textId="77777777" w:rsidR="00380A7B"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星展銀行</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0D8F63" w14:textId="77777777" w:rsidR="00380A7B"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3.0</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42C293" w14:textId="77777777" w:rsidR="00380A7B"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AI與電子供應鏈、綠色能源、銀髮經濟、資產管理</w:t>
            </w:r>
          </w:p>
        </w:tc>
      </w:tr>
      <w:tr w:rsidR="00380A7B" w14:paraId="609F9D6A"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ACB822" w14:textId="77777777" w:rsidR="00380A7B"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中華經濟研究院</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20997E" w14:textId="77777777" w:rsidR="00380A7B"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3.05</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AD1F88" w14:textId="77777777" w:rsidR="00380A7B"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AI產業發展、上半年「上熱下冷」格局</w:t>
            </w:r>
          </w:p>
        </w:tc>
      </w:tr>
      <w:tr w:rsidR="00380A7B" w14:paraId="4313B2A2"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66D2C2" w14:textId="77777777" w:rsidR="00380A7B"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台灣經濟研究院</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B041DC" w14:textId="77777777" w:rsidR="00380A7B"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3.16</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DB3F2F" w14:textId="77777777" w:rsidR="00380A7B"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AI需求持續支撐出口、帶動投資</w:t>
            </w:r>
          </w:p>
        </w:tc>
      </w:tr>
      <w:tr w:rsidR="00380A7B" w14:paraId="60BABDF1"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B8D268" w14:textId="77777777" w:rsidR="00380A7B"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中央銀行</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6CCCA6" w14:textId="77777777" w:rsidR="00380A7B"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3.13</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F3F996" w14:textId="77777777" w:rsidR="00380A7B"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全球貿易穩健成長、新興科技需求、內需支撐</w:t>
            </w:r>
          </w:p>
        </w:tc>
      </w:tr>
      <w:tr w:rsidR="00380A7B" w14:paraId="1D76DFE1"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715A735" w14:textId="77777777" w:rsidR="00380A7B"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中央研究院經濟研究所</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BC823C" w14:textId="77777777" w:rsidR="00380A7B"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2.93</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DCF384" w14:textId="77777777" w:rsidR="00380A7B"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全球需求趨緩、關稅效應影響（較保守）</w:t>
            </w:r>
          </w:p>
        </w:tc>
      </w:tr>
    </w:tbl>
    <w:p w14:paraId="747774CE" w14:textId="77777777" w:rsidR="00380A7B" w:rsidRDefault="00000000">
      <w:pPr>
        <w:pBdr>
          <w:top w:val="nil"/>
          <w:left w:val="nil"/>
          <w:bottom w:val="nil"/>
          <w:right w:val="nil"/>
          <w:between w:val="nil"/>
        </w:pBdr>
        <w:spacing w:before="480"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 xml:space="preserve">這份數據顯示，儘管整體經濟成長溫和，但其驅動力顯著集中於特定高科技產業，尤其是資訊電子和半導體產業。這意味著，營造業作為經濟的「火車頭」 </w:t>
      </w:r>
      <w:r>
        <w:rPr>
          <w:rFonts w:ascii="Google Sans Text" w:eastAsia="Google Sans Text" w:hAnsi="Google Sans Text" w:cs="Google Sans Text"/>
          <w:color w:val="575B5F"/>
          <w:sz w:val="24"/>
          <w:szCs w:val="24"/>
          <w:vertAlign w:val="superscript"/>
        </w:rPr>
        <w:t>8</w:t>
      </w:r>
      <w:r>
        <w:rPr>
          <w:rFonts w:ascii="Google Sans Text" w:eastAsia="Google Sans Text" w:hAnsi="Google Sans Text" w:cs="Google Sans Text"/>
          <w:color w:val="1B1C1D"/>
          <w:sz w:val="24"/>
          <w:szCs w:val="24"/>
        </w:rPr>
        <w:t xml:space="preserve">，其需求將更多地來自這些高成長產業的擴張，例如科技廠房和資料中心的興建，而非全面性的經濟景氣復甦。因此，營造業者若能專注於高科技廠房、資料中心等相關工程，將更能捕捉到市場機遇，並可能獲得較高的毛利，這與市場預期營造族群將更著重「挑選案件、提升毛利的優勢」的趨勢相符 </w:t>
      </w:r>
      <w:r>
        <w:rPr>
          <w:rFonts w:ascii="Google Sans Text" w:eastAsia="Google Sans Text" w:hAnsi="Google Sans Text" w:cs="Google Sans Text"/>
          <w:color w:val="575B5F"/>
          <w:sz w:val="24"/>
          <w:szCs w:val="24"/>
          <w:vertAlign w:val="superscript"/>
        </w:rPr>
        <w:t>9</w:t>
      </w:r>
      <w:r>
        <w:rPr>
          <w:rFonts w:ascii="Google Sans Text" w:eastAsia="Google Sans Text" w:hAnsi="Google Sans Text" w:cs="Google Sans Text"/>
          <w:color w:val="1B1C1D"/>
          <w:sz w:val="24"/>
          <w:szCs w:val="24"/>
        </w:rPr>
        <w:t>。這種聚焦也可能加劇營造市場的兩極分化，對未能轉型或缺乏高科技工程經驗的業者構成挑戰。</w:t>
      </w:r>
    </w:p>
    <w:p w14:paraId="25C8FA46" w14:textId="77777777" w:rsidR="00380A7B"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 xml:space="preserve">在通膨與利率方面，2025年消費者物價指數（CPI）年增率預計將維持在1.85%至1.9%之間，有望保持在2%以下 </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sz w:val="24"/>
          <w:szCs w:val="24"/>
        </w:rPr>
        <w:t xml:space="preserve">。儘管食品與住房價格通膨可能放緩，但由於就業市場需求穩定、勞動年齡人口減少、企業利潤成長以及政府持續推動最低薪資調漲，核心通膨預計將保持穩定 </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sz w:val="24"/>
          <w:szCs w:val="24"/>
        </w:rPr>
        <w:t xml:space="preserve">。中央銀行在2024年底維持政策利率不變，重貼現率維持年息2% </w:t>
      </w:r>
      <w:r>
        <w:rPr>
          <w:rFonts w:ascii="Google Sans Text" w:eastAsia="Google Sans Text" w:hAnsi="Google Sans Text" w:cs="Google Sans Text"/>
          <w:color w:val="575B5F"/>
          <w:sz w:val="24"/>
          <w:szCs w:val="24"/>
          <w:vertAlign w:val="superscript"/>
        </w:rPr>
        <w:t>5</w:t>
      </w:r>
      <w:r>
        <w:rPr>
          <w:rFonts w:ascii="Google Sans Text" w:eastAsia="Google Sans Text" w:hAnsi="Google Sans Text" w:cs="Google Sans Text"/>
          <w:color w:val="1B1C1D"/>
          <w:sz w:val="24"/>
          <w:szCs w:val="24"/>
        </w:rPr>
        <w:t>，這表明貨幣政策將以維繫整體經濟金融穩健發展為目標，短期內對營造業的資金成本影響相對</w:t>
      </w:r>
      <w:r>
        <w:rPr>
          <w:rFonts w:ascii="Google Sans Text" w:eastAsia="Google Sans Text" w:hAnsi="Google Sans Text" w:cs="Google Sans Text"/>
          <w:color w:val="1B1C1D"/>
          <w:sz w:val="24"/>
          <w:szCs w:val="24"/>
        </w:rPr>
        <w:lastRenderedPageBreak/>
        <w:t>穩定。</w:t>
      </w:r>
    </w:p>
    <w:p w14:paraId="2A361770" w14:textId="77777777" w:rsidR="00380A7B"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 xml:space="preserve">然而，這種總體通膨穩定下的營造業成本結構性壓力值得關注。雖然整體CPI預測穩定，但資料同時指出，勞動力市場的結構性問題將導致薪資持續成長 </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sz w:val="24"/>
          <w:szCs w:val="24"/>
        </w:rPr>
        <w:t xml:space="preserve">。這與營造工程物價指數中勞務類漲幅超過3%的現象直接相關 </w:t>
      </w:r>
      <w:r>
        <w:rPr>
          <w:rFonts w:ascii="Google Sans Text" w:eastAsia="Google Sans Text" w:hAnsi="Google Sans Text" w:cs="Google Sans Text"/>
          <w:color w:val="575B5F"/>
          <w:sz w:val="24"/>
          <w:szCs w:val="24"/>
          <w:vertAlign w:val="superscript"/>
        </w:rPr>
        <w:t>2</w:t>
      </w:r>
      <w:r>
        <w:rPr>
          <w:rFonts w:ascii="Google Sans Text" w:eastAsia="Google Sans Text" w:hAnsi="Google Sans Text" w:cs="Google Sans Text"/>
          <w:color w:val="1B1C1D"/>
          <w:sz w:val="24"/>
          <w:szCs w:val="24"/>
        </w:rPr>
        <w:t>。這表明營造業面臨的成本壓力並非來自普遍性的通膨，而是來自於其產業特有的勞動力結構性問題。即使國際原物料價格趨緩，勞務成本仍將是營造業者主要的盈利挑戰。這將迫使業者更積極地尋求自動化、模組化等技術來降低對人力的依賴，或將勞務成本轉嫁至工程報價中。</w:t>
      </w:r>
    </w:p>
    <w:p w14:paraId="782DEC84" w14:textId="77777777" w:rsidR="00380A7B"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 xml:space="preserve">此外，國際經貿情勢的不確定性對台灣經濟構成潛在衝擊。特別是美國新政府經貿政策的變動，例如「川普2.0」階段中美貿易戰與科技戰的潛在升級，可能對台灣造成間接影響，包括影響在中國營運的台商及全球供應鏈布局 </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sz w:val="24"/>
          <w:szCs w:val="24"/>
        </w:rPr>
        <w:t xml:space="preserve">。這可能導致全球貿易、投資與供應鏈的巨大動盪 </w:t>
      </w:r>
      <w:r>
        <w:rPr>
          <w:rFonts w:ascii="Google Sans Text" w:eastAsia="Google Sans Text" w:hAnsi="Google Sans Text" w:cs="Google Sans Text"/>
          <w:color w:val="575B5F"/>
          <w:sz w:val="24"/>
          <w:szCs w:val="24"/>
          <w:vertAlign w:val="superscript"/>
        </w:rPr>
        <w:t>4</w:t>
      </w:r>
      <w:r>
        <w:rPr>
          <w:rFonts w:ascii="Google Sans Text" w:eastAsia="Google Sans Text" w:hAnsi="Google Sans Text" w:cs="Google Sans Text"/>
          <w:color w:val="1B1C1D"/>
          <w:sz w:val="24"/>
          <w:szCs w:val="24"/>
        </w:rPr>
        <w:t xml:space="preserve">。台灣的出口動能預計從2025年下半年起可能明顯趨緩 </w:t>
      </w:r>
      <w:r>
        <w:rPr>
          <w:rFonts w:ascii="Google Sans Text" w:eastAsia="Google Sans Text" w:hAnsi="Google Sans Text" w:cs="Google Sans Text"/>
          <w:color w:val="575B5F"/>
          <w:sz w:val="24"/>
          <w:szCs w:val="24"/>
          <w:vertAlign w:val="superscript"/>
        </w:rPr>
        <w:t>11</w:t>
      </w:r>
      <w:r>
        <w:rPr>
          <w:rFonts w:ascii="Google Sans Text" w:eastAsia="Google Sans Text" w:hAnsi="Google Sans Text" w:cs="Google Sans Text"/>
          <w:color w:val="1B1C1D"/>
          <w:sz w:val="24"/>
          <w:szCs w:val="24"/>
        </w:rPr>
        <w:t>。這種地緣政治風險下的供應鏈韌性需求，要求營造業在承攬工業廠房或基礎設施項目時，需密切關注客戶的全球布局策略。同時，原物料供應鏈的穩定性也可能受影響，業者應考慮多元化採購來源或建立策略性庫存，以降低地緣政治風險對工程進度的衝擊。</w:t>
      </w:r>
    </w:p>
    <w:p w14:paraId="14D77313" w14:textId="77777777" w:rsidR="00380A7B" w:rsidRDefault="00380A7B">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p>
    <w:p w14:paraId="286661C4" w14:textId="77777777" w:rsidR="00380A7B" w:rsidRDefault="00000000">
      <w:pPr>
        <w:pStyle w:val="3"/>
        <w:spacing w:before="0" w:after="120" w:line="275" w:lineRule="auto"/>
        <w:rPr>
          <w:rFonts w:ascii="Google Sans" w:eastAsia="Google Sans" w:hAnsi="Google Sans" w:cs="Google Sans"/>
          <w:color w:val="1B1C1D"/>
          <w:sz w:val="24"/>
          <w:szCs w:val="24"/>
        </w:rPr>
      </w:pPr>
      <w:r>
        <w:rPr>
          <w:rFonts w:ascii="Google Sans" w:eastAsia="Google Sans" w:hAnsi="Google Sans" w:cs="Google Sans"/>
          <w:color w:val="1B1C1D"/>
          <w:sz w:val="24"/>
          <w:szCs w:val="24"/>
        </w:rPr>
        <w:t>B. 營造產業整體表現與景氣預測</w:t>
      </w:r>
    </w:p>
    <w:p w14:paraId="7AC16914" w14:textId="77777777" w:rsidR="00380A7B" w:rsidRDefault="00380A7B">
      <w:pPr>
        <w:pBdr>
          <w:top w:val="nil"/>
          <w:left w:val="nil"/>
          <w:bottom w:val="nil"/>
          <w:right w:val="nil"/>
          <w:between w:val="nil"/>
        </w:pBdr>
        <w:spacing w:after="240" w:line="275" w:lineRule="auto"/>
        <w:rPr>
          <w:rFonts w:ascii="Google Sans" w:eastAsia="Google Sans" w:hAnsi="Google Sans" w:cs="Google Sans"/>
          <w:b/>
          <w:color w:val="1B1C1D"/>
          <w:sz w:val="24"/>
          <w:szCs w:val="24"/>
        </w:rPr>
      </w:pPr>
    </w:p>
    <w:p w14:paraId="68E90C0A" w14:textId="77777777" w:rsidR="00380A7B"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 xml:space="preserve">受惠於基礎建設需求及案量充足，台灣多家營造廠在2024年營收大幅反彈至近年高點 </w:t>
      </w:r>
      <w:r>
        <w:rPr>
          <w:rFonts w:ascii="Google Sans Text" w:eastAsia="Google Sans Text" w:hAnsi="Google Sans Text" w:cs="Google Sans Text"/>
          <w:color w:val="575B5F"/>
          <w:sz w:val="24"/>
          <w:szCs w:val="24"/>
          <w:vertAlign w:val="superscript"/>
        </w:rPr>
        <w:t>9</w:t>
      </w:r>
      <w:r>
        <w:rPr>
          <w:rFonts w:ascii="Google Sans Text" w:eastAsia="Google Sans Text" w:hAnsi="Google Sans Text" w:cs="Google Sans Text"/>
          <w:color w:val="1B1C1D"/>
          <w:sz w:val="24"/>
          <w:szCs w:val="24"/>
        </w:rPr>
        <w:t xml:space="preserve">。市場預估，2025年政策效應釋出的案量仍將強勁，營造族群在營收創新高後，將更著重於挑選案件、提升毛利 </w:t>
      </w:r>
      <w:r>
        <w:rPr>
          <w:rFonts w:ascii="Google Sans Text" w:eastAsia="Google Sans Text" w:hAnsi="Google Sans Text" w:cs="Google Sans Text"/>
          <w:color w:val="575B5F"/>
          <w:sz w:val="24"/>
          <w:szCs w:val="24"/>
          <w:vertAlign w:val="superscript"/>
        </w:rPr>
        <w:t>9</w:t>
      </w:r>
      <w:r>
        <w:rPr>
          <w:rFonts w:ascii="Google Sans Text" w:eastAsia="Google Sans Text" w:hAnsi="Google Sans Text" w:cs="Google Sans Text"/>
          <w:color w:val="1B1C1D"/>
          <w:sz w:val="24"/>
          <w:szCs w:val="24"/>
        </w:rPr>
        <w:t xml:space="preserve">。業界普遍瞄準2025年將有大規模交通、海事等公共工程釋出，以爭取承攬案件並衝高在手案量 </w:t>
      </w:r>
      <w:r>
        <w:rPr>
          <w:rFonts w:ascii="Google Sans Text" w:eastAsia="Google Sans Text" w:hAnsi="Google Sans Text" w:cs="Google Sans Text"/>
          <w:color w:val="575B5F"/>
          <w:sz w:val="24"/>
          <w:szCs w:val="24"/>
          <w:vertAlign w:val="superscript"/>
        </w:rPr>
        <w:t>9</w:t>
      </w:r>
      <w:r>
        <w:rPr>
          <w:rFonts w:ascii="Google Sans Text" w:eastAsia="Google Sans Text" w:hAnsi="Google Sans Text" w:cs="Google Sans Text"/>
          <w:color w:val="1B1C1D"/>
          <w:sz w:val="24"/>
          <w:szCs w:val="24"/>
        </w:rPr>
        <w:t xml:space="preserve">。部分主要營造股，如新建、工信、達欣工、根基等，預計在2025年有高毛利案件或科技廠房等建設案完工入帳，進一步貢獻營收與獲利 </w:t>
      </w:r>
      <w:r>
        <w:rPr>
          <w:rFonts w:ascii="Google Sans Text" w:eastAsia="Google Sans Text" w:hAnsi="Google Sans Text" w:cs="Google Sans Text"/>
          <w:color w:val="575B5F"/>
          <w:sz w:val="24"/>
          <w:szCs w:val="24"/>
          <w:vertAlign w:val="superscript"/>
        </w:rPr>
        <w:t>9</w:t>
      </w:r>
      <w:r>
        <w:rPr>
          <w:rFonts w:ascii="Google Sans Text" w:eastAsia="Google Sans Text" w:hAnsi="Google Sans Text" w:cs="Google Sans Text"/>
          <w:color w:val="1B1C1D"/>
          <w:sz w:val="24"/>
          <w:szCs w:val="24"/>
        </w:rPr>
        <w:t>。</w:t>
      </w:r>
    </w:p>
    <w:p w14:paraId="4F7FCB80" w14:textId="77777777" w:rsidR="00380A7B"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 xml:space="preserve">然而，營建業的營業氣候測驗點卻呈現出矛盾的信號。一方面，2024年11月測驗點持續上揚，預期2025年公共建設預算增加、高科技建廠及綠色環保工程需求將帶動景氣持續上升 </w:t>
      </w:r>
      <w:r>
        <w:rPr>
          <w:rFonts w:ascii="Google Sans Text" w:eastAsia="Google Sans Text" w:hAnsi="Google Sans Text" w:cs="Google Sans Text"/>
          <w:color w:val="575B5F"/>
          <w:sz w:val="24"/>
          <w:szCs w:val="24"/>
          <w:vertAlign w:val="superscript"/>
        </w:rPr>
        <w:t>12</w:t>
      </w:r>
      <w:r>
        <w:rPr>
          <w:rFonts w:ascii="Google Sans Text" w:eastAsia="Google Sans Text" w:hAnsi="Google Sans Text" w:cs="Google Sans Text"/>
          <w:color w:val="1B1C1D"/>
          <w:sz w:val="24"/>
          <w:szCs w:val="24"/>
        </w:rPr>
        <w:t xml:space="preserve">。這反映了市場對政策支持和特定產業需求的樂觀預期。另一方面，台灣經濟研究院的數據顯示，2025年5月營建業營業氣候測驗點為90.41點，較4月下跌0.1點，呈現連續第五個月下滑的態勢 </w:t>
      </w:r>
      <w:r>
        <w:rPr>
          <w:rFonts w:ascii="Google Sans Text" w:eastAsia="Google Sans Text" w:hAnsi="Google Sans Text" w:cs="Google Sans Text"/>
          <w:color w:val="575B5F"/>
          <w:sz w:val="24"/>
          <w:szCs w:val="24"/>
          <w:vertAlign w:val="superscript"/>
        </w:rPr>
        <w:t>13</w:t>
      </w:r>
      <w:r>
        <w:rPr>
          <w:rFonts w:ascii="Google Sans Text" w:eastAsia="Google Sans Text" w:hAnsi="Google Sans Text" w:cs="Google Sans Text"/>
          <w:color w:val="1B1C1D"/>
          <w:sz w:val="24"/>
          <w:szCs w:val="24"/>
        </w:rPr>
        <w:t>。這種景氣預期與實際信心之間的落差是一個值得深入探討的現象。</w:t>
      </w:r>
    </w:p>
    <w:p w14:paraId="74AECE9B" w14:textId="77777777" w:rsidR="00380A7B"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這種落差可能反映了業者對未來營收的樂觀預期與實際營運中面臨的挑戰（如缺工、成本上升、法規趨嚴）之間的脫節。換言之，雖然「有活幹」，但「幹活難」且「利潤薄」的</w:t>
      </w:r>
      <w:r>
        <w:rPr>
          <w:rFonts w:ascii="Google Sans Text" w:eastAsia="Google Sans Text" w:hAnsi="Google Sans Text" w:cs="Google Sans Text"/>
          <w:color w:val="1B1C1D"/>
          <w:sz w:val="24"/>
          <w:szCs w:val="24"/>
        </w:rPr>
        <w:lastRenderedPageBreak/>
        <w:t>現實可能侵蝕了業者的信心。這表明營收增長不必然等同於盈利能力的同步提升，營造業者需要更精準的成本控制和風險管理，以確保將業務量轉化為實質獲利。</w:t>
      </w:r>
    </w:p>
    <w:p w14:paraId="7138F9BB" w14:textId="77777777" w:rsidR="00380A7B"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 xml:space="preserve">在產業結構方面，台灣營造業呈現明顯的集中化趨勢。全台近2萬家營造廠中，甲等營造廠僅3,252家，卻佔據了超過60%的營收份額 </w:t>
      </w:r>
      <w:r>
        <w:rPr>
          <w:rFonts w:ascii="Google Sans Text" w:eastAsia="Google Sans Text" w:hAnsi="Google Sans Text" w:cs="Google Sans Text"/>
          <w:color w:val="575B5F"/>
          <w:sz w:val="24"/>
          <w:szCs w:val="24"/>
          <w:vertAlign w:val="superscript"/>
        </w:rPr>
        <w:t>8</w:t>
      </w:r>
      <w:r>
        <w:rPr>
          <w:rFonts w:ascii="Google Sans Text" w:eastAsia="Google Sans Text" w:hAnsi="Google Sans Text" w:cs="Google Sans Text"/>
          <w:color w:val="1B1C1D"/>
          <w:sz w:val="24"/>
          <w:szCs w:val="24"/>
        </w:rPr>
        <w:t xml:space="preserve">。這顯示「大者恆大」的競爭格局已然形成，尤其在住宅建設領域更為明顯，大型建商如寶佳機構、興富發等採用「案海戰術」擴大市占率 </w:t>
      </w:r>
      <w:r>
        <w:rPr>
          <w:rFonts w:ascii="Google Sans Text" w:eastAsia="Google Sans Text" w:hAnsi="Google Sans Text" w:cs="Google Sans Text"/>
          <w:color w:val="575B5F"/>
          <w:sz w:val="24"/>
          <w:szCs w:val="24"/>
          <w:vertAlign w:val="superscript"/>
        </w:rPr>
        <w:t>8</w:t>
      </w:r>
      <w:r>
        <w:rPr>
          <w:rFonts w:ascii="Google Sans Text" w:eastAsia="Google Sans Text" w:hAnsi="Google Sans Text" w:cs="Google Sans Text"/>
          <w:color w:val="1B1C1D"/>
          <w:sz w:val="24"/>
          <w:szCs w:val="24"/>
        </w:rPr>
        <w:t>。這種產業集中化對競爭格局的深化影響顯而易見。大型業者在資源、技術、議價能力上具有顯著優勢，能夠更好地應對市場波動、成本壓力及法規變革，並有能力投資於智慧營造和綠色建築等新技術。中小型業者若無法找到利基市場或進行轉型，將面臨更大的生存壓力，甚至可能被迫整併。這種趨勢也可能導致產業內部的技術和管理水平差距進一步拉大。</w:t>
      </w:r>
    </w:p>
    <w:p w14:paraId="31D16AA7" w14:textId="77777777" w:rsidR="00380A7B" w:rsidRDefault="00380A7B">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p>
    <w:p w14:paraId="49F55BEA" w14:textId="77777777" w:rsidR="00380A7B" w:rsidRDefault="00000000">
      <w:pPr>
        <w:pStyle w:val="2"/>
        <w:spacing w:before="0" w:after="120" w:line="275" w:lineRule="auto"/>
        <w:rPr>
          <w:rFonts w:ascii="Google Sans" w:eastAsia="Google Sans" w:hAnsi="Google Sans" w:cs="Google Sans"/>
          <w:color w:val="1B1C1D"/>
          <w:sz w:val="30"/>
          <w:szCs w:val="30"/>
        </w:rPr>
      </w:pPr>
      <w:r>
        <w:rPr>
          <w:rFonts w:ascii="Google Sans" w:eastAsia="Google Sans" w:hAnsi="Google Sans" w:cs="Google Sans"/>
          <w:color w:val="1B1C1D"/>
          <w:sz w:val="30"/>
          <w:szCs w:val="30"/>
        </w:rPr>
        <w:t>III. 2025年營造產業主要市場趨勢</w:t>
      </w:r>
    </w:p>
    <w:p w14:paraId="64D3F247" w14:textId="77777777" w:rsidR="00380A7B" w:rsidRDefault="00380A7B">
      <w:pPr>
        <w:pBdr>
          <w:top w:val="nil"/>
          <w:left w:val="nil"/>
          <w:bottom w:val="nil"/>
          <w:right w:val="nil"/>
          <w:between w:val="nil"/>
        </w:pBdr>
        <w:spacing w:after="240" w:line="275" w:lineRule="auto"/>
        <w:rPr>
          <w:rFonts w:ascii="Google Sans" w:eastAsia="Google Sans" w:hAnsi="Google Sans" w:cs="Google Sans"/>
          <w:b/>
          <w:color w:val="1B1C1D"/>
          <w:sz w:val="30"/>
          <w:szCs w:val="30"/>
        </w:rPr>
      </w:pPr>
    </w:p>
    <w:p w14:paraId="32027891" w14:textId="77777777" w:rsidR="00380A7B" w:rsidRDefault="00380A7B">
      <w:pPr>
        <w:pBdr>
          <w:top w:val="nil"/>
          <w:left w:val="nil"/>
          <w:bottom w:val="nil"/>
          <w:right w:val="nil"/>
          <w:between w:val="nil"/>
        </w:pBdr>
        <w:spacing w:after="240" w:line="275" w:lineRule="auto"/>
        <w:rPr>
          <w:rFonts w:ascii="Google Sans" w:eastAsia="Google Sans" w:hAnsi="Google Sans" w:cs="Google Sans"/>
          <w:b/>
          <w:color w:val="1B1C1D"/>
          <w:sz w:val="30"/>
          <w:szCs w:val="30"/>
        </w:rPr>
      </w:pPr>
    </w:p>
    <w:p w14:paraId="23D8264C" w14:textId="77777777" w:rsidR="00380A7B" w:rsidRDefault="00000000">
      <w:pPr>
        <w:pStyle w:val="3"/>
        <w:spacing w:before="0" w:after="120" w:line="275" w:lineRule="auto"/>
        <w:rPr>
          <w:rFonts w:ascii="Google Sans" w:eastAsia="Google Sans" w:hAnsi="Google Sans" w:cs="Google Sans"/>
          <w:color w:val="1B1C1D"/>
          <w:sz w:val="24"/>
          <w:szCs w:val="24"/>
        </w:rPr>
      </w:pPr>
      <w:r>
        <w:rPr>
          <w:rFonts w:ascii="Google Sans" w:eastAsia="Google Sans" w:hAnsi="Google Sans" w:cs="Google Sans"/>
          <w:color w:val="1B1C1D"/>
          <w:sz w:val="24"/>
          <w:szCs w:val="24"/>
        </w:rPr>
        <w:t>A. 公共工程與基礎建設</w:t>
      </w:r>
    </w:p>
    <w:p w14:paraId="3642005C" w14:textId="77777777" w:rsidR="00380A7B" w:rsidRDefault="00380A7B">
      <w:pPr>
        <w:pBdr>
          <w:top w:val="nil"/>
          <w:left w:val="nil"/>
          <w:bottom w:val="nil"/>
          <w:right w:val="nil"/>
          <w:between w:val="nil"/>
        </w:pBdr>
        <w:spacing w:after="240" w:line="275" w:lineRule="auto"/>
        <w:rPr>
          <w:rFonts w:ascii="Google Sans" w:eastAsia="Google Sans" w:hAnsi="Google Sans" w:cs="Google Sans"/>
          <w:b/>
          <w:color w:val="1B1C1D"/>
          <w:sz w:val="24"/>
          <w:szCs w:val="24"/>
        </w:rPr>
      </w:pPr>
    </w:p>
    <w:p w14:paraId="1D149F98" w14:textId="77777777" w:rsidR="00380A7B"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 xml:space="preserve">2025年台灣的公共工程與基礎建設市場將迎來顯著增長。2025年度中央政府總預算案高達新台幣3兆1,325億元，較2024年增加2,806億元 </w:t>
      </w:r>
      <w:r>
        <w:rPr>
          <w:rFonts w:ascii="Google Sans Text" w:eastAsia="Google Sans Text" w:hAnsi="Google Sans Text" w:cs="Google Sans Text"/>
          <w:color w:val="575B5F"/>
          <w:sz w:val="24"/>
          <w:szCs w:val="24"/>
          <w:vertAlign w:val="superscript"/>
        </w:rPr>
        <w:t>14</w:t>
      </w:r>
      <w:r>
        <w:rPr>
          <w:rFonts w:ascii="Google Sans Text" w:eastAsia="Google Sans Text" w:hAnsi="Google Sans Text" w:cs="Google Sans Text"/>
          <w:color w:val="1B1C1D"/>
          <w:sz w:val="24"/>
          <w:szCs w:val="24"/>
        </w:rPr>
        <w:t xml:space="preserve">。其中，公共建設預算增加了798億元，是預算增加的重點項目之一 </w:t>
      </w:r>
      <w:r>
        <w:rPr>
          <w:rFonts w:ascii="Google Sans Text" w:eastAsia="Google Sans Text" w:hAnsi="Google Sans Text" w:cs="Google Sans Text"/>
          <w:color w:val="575B5F"/>
          <w:sz w:val="24"/>
          <w:szCs w:val="24"/>
          <w:vertAlign w:val="superscript"/>
        </w:rPr>
        <w:t>14</w:t>
      </w:r>
      <w:r>
        <w:rPr>
          <w:rFonts w:ascii="Google Sans Text" w:eastAsia="Google Sans Text" w:hAnsi="Google Sans Text" w:cs="Google Sans Text"/>
          <w:color w:val="1B1C1D"/>
          <w:sz w:val="24"/>
          <w:szCs w:val="24"/>
        </w:rPr>
        <w:t xml:space="preserve">。總體而言，2025年公共建設規模將突破6千億元，達到6,483億元，創下近20年新高，較2024年增加679億元 </w:t>
      </w:r>
      <w:r>
        <w:rPr>
          <w:rFonts w:ascii="Google Sans Text" w:eastAsia="Google Sans Text" w:hAnsi="Google Sans Text" w:cs="Google Sans Text"/>
          <w:color w:val="575B5F"/>
          <w:sz w:val="24"/>
          <w:szCs w:val="24"/>
          <w:vertAlign w:val="superscript"/>
        </w:rPr>
        <w:t>15</w:t>
      </w:r>
      <w:r>
        <w:rPr>
          <w:rFonts w:ascii="Google Sans Text" w:eastAsia="Google Sans Text" w:hAnsi="Google Sans Text" w:cs="Google Sans Text"/>
          <w:color w:val="1B1C1D"/>
          <w:sz w:val="24"/>
          <w:szCs w:val="24"/>
        </w:rPr>
        <w:t xml:space="preserve">。主要增長領域為交通建設（增加逾400億元）和環境資源（增加逾200億元） </w:t>
      </w:r>
      <w:r>
        <w:rPr>
          <w:rFonts w:ascii="Google Sans Text" w:eastAsia="Google Sans Text" w:hAnsi="Google Sans Text" w:cs="Google Sans Text"/>
          <w:color w:val="575B5F"/>
          <w:sz w:val="24"/>
          <w:szCs w:val="24"/>
          <w:vertAlign w:val="superscript"/>
        </w:rPr>
        <w:t>15</w:t>
      </w:r>
      <w:r>
        <w:rPr>
          <w:rFonts w:ascii="Google Sans Text" w:eastAsia="Google Sans Text" w:hAnsi="Google Sans Text" w:cs="Google Sans Text"/>
          <w:color w:val="1B1C1D"/>
          <w:sz w:val="24"/>
          <w:szCs w:val="24"/>
        </w:rPr>
        <w:t>，這顯示政府在基礎設施和環境永續方面的投入顯著。</w:t>
      </w:r>
    </w:p>
    <w:p w14:paraId="3B3B3959" w14:textId="77777777" w:rsidR="00380A7B"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 xml:space="preserve">在住宅市場可能面臨「軟著陸」的情況下 </w:t>
      </w:r>
      <w:r>
        <w:rPr>
          <w:rFonts w:ascii="Google Sans Text" w:eastAsia="Google Sans Text" w:hAnsi="Google Sans Text" w:cs="Google Sans Text"/>
          <w:color w:val="575B5F"/>
          <w:sz w:val="24"/>
          <w:szCs w:val="24"/>
          <w:vertAlign w:val="superscript"/>
        </w:rPr>
        <w:t>8</w:t>
      </w:r>
      <w:r>
        <w:rPr>
          <w:rFonts w:ascii="Google Sans Text" w:eastAsia="Google Sans Text" w:hAnsi="Google Sans Text" w:cs="Google Sans Text"/>
          <w:color w:val="1B1C1D"/>
          <w:sz w:val="24"/>
          <w:szCs w:val="24"/>
        </w:rPr>
        <w:t>，公共建設預算創20年新高顯然是政府為穩定經濟、刺激內需的重要手段。這為營造業提供了穩定的案源，特別是大型基礎設施和環境工程領域。對於具備大型公共工程承攬能力，尤其是在交通和環境領域有專長的營造公司而言，2025年將是充滿機遇的一年。這也可能吸引更多業者將資源投入公共工程市場，加劇該領域的競爭。</w:t>
      </w:r>
    </w:p>
    <w:p w14:paraId="6A13EED6" w14:textId="77777777" w:rsidR="00380A7B"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 xml:space="preserve">為了減輕政府的財政壓力並引入民間活力，財政部將透過「促進民間參與公共建設」（促參）政策，引導民間投資進入公共建設 </w:t>
      </w:r>
      <w:r>
        <w:rPr>
          <w:rFonts w:ascii="Google Sans Text" w:eastAsia="Google Sans Text" w:hAnsi="Google Sans Text" w:cs="Google Sans Text"/>
          <w:color w:val="575B5F"/>
          <w:sz w:val="24"/>
          <w:szCs w:val="24"/>
          <w:vertAlign w:val="superscript"/>
        </w:rPr>
        <w:t>15</w:t>
      </w:r>
      <w:r>
        <w:rPr>
          <w:rFonts w:ascii="Google Sans Text" w:eastAsia="Google Sans Text" w:hAnsi="Google Sans Text" w:cs="Google Sans Text"/>
          <w:color w:val="1B1C1D"/>
          <w:sz w:val="24"/>
          <w:szCs w:val="24"/>
        </w:rPr>
        <w:t>。截至2024年8月底，近20年來依促參法辦</w:t>
      </w:r>
      <w:r>
        <w:rPr>
          <w:rFonts w:ascii="Google Sans Text" w:eastAsia="Google Sans Text" w:hAnsi="Google Sans Text" w:cs="Google Sans Text"/>
          <w:color w:val="1B1C1D"/>
          <w:sz w:val="24"/>
          <w:szCs w:val="24"/>
        </w:rPr>
        <w:lastRenderedPageBreak/>
        <w:t xml:space="preserve">理的簽約案件總計達1,673件，吸引民間投資金額超過1兆161億元，並創造逾18萬個就業機會 </w:t>
      </w:r>
      <w:r>
        <w:rPr>
          <w:rFonts w:ascii="Google Sans Text" w:eastAsia="Google Sans Text" w:hAnsi="Google Sans Text" w:cs="Google Sans Text"/>
          <w:color w:val="575B5F"/>
          <w:sz w:val="24"/>
          <w:szCs w:val="24"/>
          <w:vertAlign w:val="superscript"/>
        </w:rPr>
        <w:t>15</w:t>
      </w:r>
      <w:r>
        <w:rPr>
          <w:rFonts w:ascii="Google Sans Text" w:eastAsia="Google Sans Text" w:hAnsi="Google Sans Text" w:cs="Google Sans Text"/>
          <w:color w:val="1B1C1D"/>
          <w:sz w:val="24"/>
          <w:szCs w:val="24"/>
        </w:rPr>
        <w:t xml:space="preserve">。促參案估計可減少政府財政支出約1兆8,480億元，同時增加政府收入約7,134億元 </w:t>
      </w:r>
      <w:r>
        <w:rPr>
          <w:rFonts w:ascii="Google Sans Text" w:eastAsia="Google Sans Text" w:hAnsi="Google Sans Text" w:cs="Google Sans Text"/>
          <w:color w:val="575B5F"/>
          <w:sz w:val="24"/>
          <w:szCs w:val="24"/>
          <w:vertAlign w:val="superscript"/>
        </w:rPr>
        <w:t>15</w:t>
      </w:r>
      <w:r>
        <w:rPr>
          <w:rFonts w:ascii="Google Sans Text" w:eastAsia="Google Sans Text" w:hAnsi="Google Sans Text" w:cs="Google Sans Text"/>
          <w:color w:val="1B1C1D"/>
          <w:sz w:val="24"/>
          <w:szCs w:val="24"/>
        </w:rPr>
        <w:t xml:space="preserve">。其中，交通建設促參案的簽約金額最高，達4,147億元，解約率僅0.65%，是所有類別中最低的「鐵票」項目 </w:t>
      </w:r>
      <w:r>
        <w:rPr>
          <w:rFonts w:ascii="Google Sans Text" w:eastAsia="Google Sans Text" w:hAnsi="Google Sans Text" w:cs="Google Sans Text"/>
          <w:color w:val="575B5F"/>
          <w:sz w:val="24"/>
          <w:szCs w:val="24"/>
          <w:vertAlign w:val="superscript"/>
        </w:rPr>
        <w:t>15</w:t>
      </w:r>
      <w:r>
        <w:rPr>
          <w:rFonts w:ascii="Google Sans Text" w:eastAsia="Google Sans Text" w:hAnsi="Google Sans Text" w:cs="Google Sans Text"/>
          <w:color w:val="1B1C1D"/>
          <w:sz w:val="24"/>
          <w:szCs w:val="24"/>
        </w:rPr>
        <w:t>。促參政策不僅是減輕政府財政壓力的工具，更是引入民間資金、技術與效率的重要途徑。交通建設促參的低解約率證明了其可行性和吸引力。營造業者應積極評估並參與促參項目，這不僅能獲得長期穩定的案源，也能透過與金融機構或其他專業服務公司的合作，提升自身在專案管理、財務規劃和風險控制方面的能力。這也預示著未來大型公共工程的承攬模式將更加多元化和複雜化。</w:t>
      </w:r>
    </w:p>
    <w:p w14:paraId="19BE69FA" w14:textId="77777777" w:rsidR="00380A7B"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 xml:space="preserve">業界普遍預期，2025年將有大規模交通、海事等工程釋出，營造業者將積極爭取承攬以衝高在手案量 </w:t>
      </w:r>
      <w:r>
        <w:rPr>
          <w:rFonts w:ascii="Google Sans Text" w:eastAsia="Google Sans Text" w:hAnsi="Google Sans Text" w:cs="Google Sans Text"/>
          <w:color w:val="575B5F"/>
          <w:sz w:val="24"/>
          <w:szCs w:val="24"/>
          <w:vertAlign w:val="superscript"/>
        </w:rPr>
        <w:t>9</w:t>
      </w:r>
      <w:r>
        <w:rPr>
          <w:rFonts w:ascii="Google Sans Text" w:eastAsia="Google Sans Text" w:hAnsi="Google Sans Text" w:cs="Google Sans Text"/>
          <w:color w:val="1B1C1D"/>
          <w:sz w:val="24"/>
          <w:szCs w:val="24"/>
        </w:rPr>
        <w:t xml:space="preserve">。然而，公共工程的碳排放問題是另一個較大的新挑戰。公共工程每年約佔政府採購8千億元，對台灣碳排放影響舉足輕重。政府已建立跨部會碳排放資料庫，並鼓勵廠商揭露產品碳排放係數，但仍面臨係數選擇、邊界設定及計算準確性等挑戰 </w:t>
      </w:r>
      <w:r>
        <w:rPr>
          <w:rFonts w:ascii="Google Sans Text" w:eastAsia="Google Sans Text" w:hAnsi="Google Sans Text" w:cs="Google Sans Text"/>
          <w:color w:val="575B5F"/>
          <w:sz w:val="24"/>
          <w:szCs w:val="24"/>
          <w:vertAlign w:val="superscript"/>
        </w:rPr>
        <w:t>15</w:t>
      </w:r>
      <w:r>
        <w:rPr>
          <w:rFonts w:ascii="Google Sans Text" w:eastAsia="Google Sans Text" w:hAnsi="Google Sans Text" w:cs="Google Sans Text"/>
          <w:color w:val="1B1C1D"/>
          <w:sz w:val="24"/>
          <w:szCs w:val="24"/>
        </w:rPr>
        <w:t xml:space="preserve">。公共工程的碳排放問題被單獨提出並強調，且政府已著手建立碳排放資料庫，這表明「綠色公共工程」將成為新的政策導向和評估標準。這與內政部推動淨零建築的策略 </w:t>
      </w:r>
      <w:r>
        <w:rPr>
          <w:rFonts w:ascii="Google Sans Text" w:eastAsia="Google Sans Text" w:hAnsi="Google Sans Text" w:cs="Google Sans Text"/>
          <w:color w:val="575B5F"/>
          <w:sz w:val="24"/>
          <w:szCs w:val="24"/>
          <w:vertAlign w:val="superscript"/>
        </w:rPr>
        <w:t>16</w:t>
      </w:r>
      <w:r>
        <w:rPr>
          <w:rFonts w:ascii="Google Sans Text" w:eastAsia="Google Sans Text" w:hAnsi="Google Sans Text" w:cs="Google Sans Text"/>
          <w:color w:val="1B1C1D"/>
          <w:sz w:val="24"/>
          <w:szCs w:val="24"/>
        </w:rPr>
        <w:t xml:space="preserve"> 相互呼應。營造業者在投標公共工程時，將不僅需要考慮成本和技術能力，還需具備碳足跡計算、低碳材料應用和永續施工方案的能力。這將促使業者投資於環境管理系統、相關技術培訓，並與綠色建材供應商建立合作關係，為產業帶來新的技術標準和競爭維度。</w:t>
      </w:r>
    </w:p>
    <w:p w14:paraId="38F45451" w14:textId="77777777" w:rsidR="00380A7B" w:rsidRDefault="00380A7B">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p>
    <w:p w14:paraId="10537F9F" w14:textId="77777777" w:rsidR="00380A7B" w:rsidRDefault="00000000">
      <w:pPr>
        <w:pStyle w:val="3"/>
        <w:spacing w:before="0" w:after="120" w:line="275" w:lineRule="auto"/>
        <w:rPr>
          <w:rFonts w:ascii="Google Sans" w:eastAsia="Google Sans" w:hAnsi="Google Sans" w:cs="Google Sans"/>
          <w:color w:val="1B1C1D"/>
          <w:sz w:val="24"/>
          <w:szCs w:val="24"/>
        </w:rPr>
      </w:pPr>
      <w:r>
        <w:rPr>
          <w:rFonts w:ascii="Google Sans" w:eastAsia="Google Sans" w:hAnsi="Google Sans" w:cs="Google Sans"/>
          <w:color w:val="1B1C1D"/>
          <w:sz w:val="24"/>
          <w:szCs w:val="24"/>
        </w:rPr>
        <w:t>B. 住宅營造市場</w:t>
      </w:r>
    </w:p>
    <w:p w14:paraId="6E53A238" w14:textId="77777777" w:rsidR="00380A7B" w:rsidRDefault="00380A7B">
      <w:pPr>
        <w:pBdr>
          <w:top w:val="nil"/>
          <w:left w:val="nil"/>
          <w:bottom w:val="nil"/>
          <w:right w:val="nil"/>
          <w:between w:val="nil"/>
        </w:pBdr>
        <w:spacing w:after="240" w:line="275" w:lineRule="auto"/>
        <w:rPr>
          <w:rFonts w:ascii="Google Sans" w:eastAsia="Google Sans" w:hAnsi="Google Sans" w:cs="Google Sans"/>
          <w:b/>
          <w:color w:val="1B1C1D"/>
          <w:sz w:val="24"/>
          <w:szCs w:val="24"/>
        </w:rPr>
      </w:pPr>
    </w:p>
    <w:p w14:paraId="198325AC" w14:textId="77777777" w:rsidR="00380A7B"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 xml:space="preserve">台灣住宅營造市場預計在2025年將進入「軟著陸」的緩跌調整期。儘管2024年前10月六都累計交易量年增21.6%，但10月單月交易量已出現年減6.6%的轉折 </w:t>
      </w:r>
      <w:r>
        <w:rPr>
          <w:rFonts w:ascii="Google Sans Text" w:eastAsia="Google Sans Text" w:hAnsi="Google Sans Text" w:cs="Google Sans Text"/>
          <w:color w:val="575B5F"/>
          <w:sz w:val="24"/>
          <w:szCs w:val="24"/>
          <w:vertAlign w:val="superscript"/>
        </w:rPr>
        <w:t>8</w:t>
      </w:r>
      <w:r>
        <w:rPr>
          <w:rFonts w:ascii="Google Sans Text" w:eastAsia="Google Sans Text" w:hAnsi="Google Sans Text" w:cs="Google Sans Text"/>
          <w:color w:val="1B1C1D"/>
          <w:sz w:val="24"/>
          <w:szCs w:val="24"/>
        </w:rPr>
        <w:t xml:space="preserve">。市場普遍預期2025年台灣房市將呈現緩跌格局 </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sz w:val="24"/>
          <w:szCs w:val="24"/>
        </w:rPr>
        <w:t xml:space="preserve">。2024年第四季房價出現全面反轉，七都房價指數下跌2.9%，永慶預測交易量將創26年來新低 </w:t>
      </w:r>
      <w:r>
        <w:rPr>
          <w:rFonts w:ascii="Google Sans Text" w:eastAsia="Google Sans Text" w:hAnsi="Google Sans Text" w:cs="Google Sans Text"/>
          <w:color w:val="575B5F"/>
          <w:sz w:val="24"/>
          <w:szCs w:val="24"/>
          <w:vertAlign w:val="superscript"/>
        </w:rPr>
        <w:t>8</w:t>
      </w:r>
      <w:r>
        <w:rPr>
          <w:rFonts w:ascii="Google Sans Text" w:eastAsia="Google Sans Text" w:hAnsi="Google Sans Text" w:cs="Google Sans Text"/>
          <w:color w:val="1B1C1D"/>
          <w:sz w:val="24"/>
          <w:szCs w:val="24"/>
        </w:rPr>
        <w:t xml:space="preserve">。投資客明顯退場，央行第七波信用管制後，43%的消費者看跌房價 </w:t>
      </w:r>
      <w:r>
        <w:rPr>
          <w:rFonts w:ascii="Google Sans Text" w:eastAsia="Google Sans Text" w:hAnsi="Google Sans Text" w:cs="Google Sans Text"/>
          <w:color w:val="575B5F"/>
          <w:sz w:val="24"/>
          <w:szCs w:val="24"/>
          <w:vertAlign w:val="superscript"/>
        </w:rPr>
        <w:t>8</w:t>
      </w:r>
      <w:r>
        <w:rPr>
          <w:rFonts w:ascii="Google Sans Text" w:eastAsia="Google Sans Text" w:hAnsi="Google Sans Text" w:cs="Google Sans Text"/>
          <w:color w:val="1B1C1D"/>
          <w:sz w:val="24"/>
          <w:szCs w:val="24"/>
        </w:rPr>
        <w:t>。</w:t>
      </w:r>
    </w:p>
    <w:p w14:paraId="5748FD8B" w14:textId="77777777" w:rsidR="00380A7B"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 xml:space="preserve">政府持續系統性收緊政策，包括囤房稅2.0、房地合一稅強化執行，以及銀行房貸緊縮等措施，正在重塑市場生態 </w:t>
      </w:r>
      <w:r>
        <w:rPr>
          <w:rFonts w:ascii="Google Sans Text" w:eastAsia="Google Sans Text" w:hAnsi="Google Sans Text" w:cs="Google Sans Text"/>
          <w:color w:val="575B5F"/>
          <w:sz w:val="24"/>
          <w:szCs w:val="24"/>
          <w:vertAlign w:val="superscript"/>
        </w:rPr>
        <w:t>8</w:t>
      </w:r>
      <w:r>
        <w:rPr>
          <w:rFonts w:ascii="Google Sans Text" w:eastAsia="Google Sans Text" w:hAnsi="Google Sans Text" w:cs="Google Sans Text"/>
          <w:color w:val="1B1C1D"/>
          <w:sz w:val="24"/>
          <w:szCs w:val="24"/>
        </w:rPr>
        <w:t xml:space="preserve">。特別是《平均地權條例》修法於2023年7月1日正式上路，明確限制預售屋或新建成屋買賣契約的轉售行為，僅限配偶、直系或二親等內旁系血親，或經主管機關核准的特殊情形，違者可處高額罰鍰 </w:t>
      </w:r>
      <w:r>
        <w:rPr>
          <w:rFonts w:ascii="Google Sans Text" w:eastAsia="Google Sans Text" w:hAnsi="Google Sans Text" w:cs="Google Sans Text"/>
          <w:color w:val="575B5F"/>
          <w:sz w:val="24"/>
          <w:szCs w:val="24"/>
          <w:vertAlign w:val="superscript"/>
        </w:rPr>
        <w:t>18</w:t>
      </w:r>
      <w:r>
        <w:rPr>
          <w:rFonts w:ascii="Google Sans Text" w:eastAsia="Google Sans Text" w:hAnsi="Google Sans Text" w:cs="Google Sans Text"/>
          <w:color w:val="1B1C1D"/>
          <w:sz w:val="24"/>
          <w:szCs w:val="24"/>
        </w:rPr>
        <w:t xml:space="preserve">。此舉旨在打擊炒作，使得房市回歸自用需求。同時，修法也控管私法人購買住宅用房屋，限制登記完畢後5年內不得移轉 </w:t>
      </w:r>
      <w:r>
        <w:rPr>
          <w:rFonts w:ascii="Google Sans Text" w:eastAsia="Google Sans Text" w:hAnsi="Google Sans Text" w:cs="Google Sans Text"/>
          <w:color w:val="575B5F"/>
          <w:sz w:val="24"/>
          <w:szCs w:val="24"/>
          <w:vertAlign w:val="superscript"/>
        </w:rPr>
        <w:t>18</w:t>
      </w:r>
      <w:r>
        <w:rPr>
          <w:rFonts w:ascii="Google Sans Text" w:eastAsia="Google Sans Text" w:hAnsi="Google Sans Text" w:cs="Google Sans Text"/>
          <w:color w:val="1B1C1D"/>
          <w:sz w:val="24"/>
          <w:szCs w:val="24"/>
        </w:rPr>
        <w:t>。囤房稅2.0、房地合一稅強化、房貸緊縮以及《平均地權條例》對預售屋轉售的限制共同構成了政府對房市炒作的全面打擊。投資客的退場證明這些政策正在有效引導市</w:t>
      </w:r>
      <w:r>
        <w:rPr>
          <w:rFonts w:ascii="Google Sans Text" w:eastAsia="Google Sans Text" w:hAnsi="Google Sans Text" w:cs="Google Sans Text"/>
          <w:color w:val="1B1C1D"/>
          <w:sz w:val="24"/>
          <w:szCs w:val="24"/>
        </w:rPr>
        <w:lastRenderedPageBreak/>
        <w:t>場回歸理性。這意味著住宅營造業將從過去以投資需求為導向的快速開發模式，轉變為更注重產品品質、居住舒適度、功能性規劃以及社區營造的市場，而非僅僅追求銷售速度和資本利得。這可能導致開發案量減少，但單一項目的開發週期和品質要求將提升。</w:t>
      </w:r>
    </w:p>
    <w:p w14:paraId="263390F8" w14:textId="77777777" w:rsidR="00380A7B"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 xml:space="preserve">在私人住宅市場降溫之際，社會住宅政策的穩健推進為住宅營造業帶來新的成長動能，預計年底將達成20萬戶興辦目標 </w:t>
      </w:r>
      <w:r>
        <w:rPr>
          <w:rFonts w:ascii="Google Sans Text" w:eastAsia="Google Sans Text" w:hAnsi="Google Sans Text" w:cs="Google Sans Text"/>
          <w:color w:val="575B5F"/>
          <w:sz w:val="24"/>
          <w:szCs w:val="24"/>
          <w:vertAlign w:val="superscript"/>
        </w:rPr>
        <w:t>8</w:t>
      </w:r>
      <w:r>
        <w:rPr>
          <w:rFonts w:ascii="Google Sans Text" w:eastAsia="Google Sans Text" w:hAnsi="Google Sans Text" w:cs="Google Sans Text"/>
          <w:color w:val="1B1C1D"/>
          <w:sz w:val="24"/>
          <w:szCs w:val="24"/>
        </w:rPr>
        <w:t xml:space="preserve">。值得注意的是，地方興建的社會住宅，預定自2025年7月1日起需達到建築能效1級以上 </w:t>
      </w:r>
      <w:r>
        <w:rPr>
          <w:rFonts w:ascii="Google Sans Text" w:eastAsia="Google Sans Text" w:hAnsi="Google Sans Text" w:cs="Google Sans Text"/>
          <w:color w:val="575B5F"/>
          <w:sz w:val="24"/>
          <w:szCs w:val="24"/>
          <w:vertAlign w:val="superscript"/>
        </w:rPr>
        <w:t>16</w:t>
      </w:r>
      <w:r>
        <w:rPr>
          <w:rFonts w:ascii="Google Sans Text" w:eastAsia="Google Sans Text" w:hAnsi="Google Sans Text" w:cs="Google Sans Text"/>
          <w:color w:val="1B1C1D"/>
          <w:sz w:val="24"/>
          <w:szCs w:val="24"/>
        </w:rPr>
        <w:t>，這將綠色建築理念融入公共住宅建設。社會住宅的持續興建為住宅營造業提供了穩定的案源。同時，其綠色建築要求使其成為推動綠色建築的先行者。營造業者應將社會住宅視為重要的策略性市場，積極參與投標。這不僅能穩定營收，也能藉此累積綠色建築和高效能施工的經驗，為未來私人住宅市場的綠色轉型做好準備。社會住宅的標準化和規模化也有助於推動模組化建造技術的應用。</w:t>
      </w:r>
    </w:p>
    <w:p w14:paraId="234D3AE9" w14:textId="77777777" w:rsidR="00380A7B"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 xml:space="preserve">此外，房價區域分化現象明顯。目前僅宜蘭、花蓮、南投、雲林、屏東等5縣市維持2字頭房價 </w:t>
      </w:r>
      <w:r>
        <w:rPr>
          <w:rFonts w:ascii="Google Sans Text" w:eastAsia="Google Sans Text" w:hAnsi="Google Sans Text" w:cs="Google Sans Text"/>
          <w:color w:val="575B5F"/>
          <w:sz w:val="24"/>
          <w:szCs w:val="24"/>
          <w:vertAlign w:val="superscript"/>
        </w:rPr>
        <w:t>8</w:t>
      </w:r>
      <w:r>
        <w:rPr>
          <w:rFonts w:ascii="Google Sans Text" w:eastAsia="Google Sans Text" w:hAnsi="Google Sans Text" w:cs="Google Sans Text"/>
          <w:color w:val="1B1C1D"/>
          <w:sz w:val="24"/>
          <w:szCs w:val="24"/>
        </w:rPr>
        <w:t>，這顯示不同區域市場對政策和經濟變化的反應不一，營造業者在進行住宅開發時需更精準地評估區域市場特性。</w:t>
      </w:r>
    </w:p>
    <w:p w14:paraId="64D9B4B0" w14:textId="77777777" w:rsidR="00380A7B" w:rsidRDefault="00380A7B">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p>
    <w:p w14:paraId="0EF5BF0C" w14:textId="77777777" w:rsidR="00380A7B" w:rsidRDefault="00000000">
      <w:pPr>
        <w:pStyle w:val="3"/>
        <w:spacing w:before="0" w:after="120" w:line="275" w:lineRule="auto"/>
        <w:rPr>
          <w:rFonts w:ascii="Google Sans" w:eastAsia="Google Sans" w:hAnsi="Google Sans" w:cs="Google Sans"/>
          <w:color w:val="1B1C1D"/>
          <w:sz w:val="24"/>
          <w:szCs w:val="24"/>
        </w:rPr>
      </w:pPr>
      <w:r>
        <w:rPr>
          <w:rFonts w:ascii="Google Sans" w:eastAsia="Google Sans" w:hAnsi="Google Sans" w:cs="Google Sans"/>
          <w:color w:val="1B1C1D"/>
          <w:sz w:val="24"/>
          <w:szCs w:val="24"/>
        </w:rPr>
        <w:t>C. 商業與工業營造市場</w:t>
      </w:r>
    </w:p>
    <w:p w14:paraId="04AEF38C" w14:textId="77777777" w:rsidR="00380A7B" w:rsidRDefault="00380A7B">
      <w:pPr>
        <w:pBdr>
          <w:top w:val="nil"/>
          <w:left w:val="nil"/>
          <w:bottom w:val="nil"/>
          <w:right w:val="nil"/>
          <w:between w:val="nil"/>
        </w:pBdr>
        <w:spacing w:after="240" w:line="275" w:lineRule="auto"/>
        <w:rPr>
          <w:rFonts w:ascii="Google Sans" w:eastAsia="Google Sans" w:hAnsi="Google Sans" w:cs="Google Sans"/>
          <w:b/>
          <w:color w:val="1B1C1D"/>
          <w:sz w:val="24"/>
          <w:szCs w:val="24"/>
        </w:rPr>
      </w:pPr>
    </w:p>
    <w:p w14:paraId="46C20093" w14:textId="77777777" w:rsidR="00380A7B"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 xml:space="preserve">2025年台灣的商業與工業營造市場將受到高科技產業投資的顯著帶動。多家營造廠預計在2025年將有科技廠房和高毛利案件入帳，例如達欣工和根基 </w:t>
      </w:r>
      <w:r>
        <w:rPr>
          <w:rFonts w:ascii="Google Sans Text" w:eastAsia="Google Sans Text" w:hAnsi="Google Sans Text" w:cs="Google Sans Text"/>
          <w:color w:val="575B5F"/>
          <w:sz w:val="24"/>
          <w:szCs w:val="24"/>
          <w:vertAlign w:val="superscript"/>
        </w:rPr>
        <w:t>9</w:t>
      </w:r>
      <w:r>
        <w:rPr>
          <w:rFonts w:ascii="Google Sans Text" w:eastAsia="Google Sans Text" w:hAnsi="Google Sans Text" w:cs="Google Sans Text"/>
          <w:color w:val="1B1C1D"/>
          <w:sz w:val="24"/>
          <w:szCs w:val="24"/>
        </w:rPr>
        <w:t xml:space="preserve">。這主要受惠於AI產業帶動的半導體及電子零組件產業的強勁需求 </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sz w:val="24"/>
          <w:szCs w:val="24"/>
        </w:rPr>
        <w:t xml:space="preserve">。工研院預測2025年資訊電子業年成長率將達到10.33%，半導體先進製程與封裝技術將驅動IC設計產業產值提升 </w:t>
      </w:r>
      <w:r>
        <w:rPr>
          <w:rFonts w:ascii="Google Sans Text" w:eastAsia="Google Sans Text" w:hAnsi="Google Sans Text" w:cs="Google Sans Text"/>
          <w:color w:val="575B5F"/>
          <w:sz w:val="24"/>
          <w:szCs w:val="24"/>
          <w:vertAlign w:val="superscript"/>
        </w:rPr>
        <w:t>19</w:t>
      </w:r>
      <w:r>
        <w:rPr>
          <w:rFonts w:ascii="Google Sans Text" w:eastAsia="Google Sans Text" w:hAnsi="Google Sans Text" w:cs="Google Sans Text"/>
          <w:color w:val="1B1C1D"/>
          <w:sz w:val="24"/>
          <w:szCs w:val="24"/>
        </w:rPr>
        <w:t>。</w:t>
      </w:r>
    </w:p>
    <w:p w14:paraId="1B9CE285" w14:textId="77777777" w:rsidR="00380A7B"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 xml:space="preserve">報告中多次提及AI對台灣經濟的拉動作用 </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sz w:val="24"/>
          <w:szCs w:val="24"/>
        </w:rPr>
        <w:t xml:space="preserve">，以及營造廠預期科技廠房入帳 </w:t>
      </w:r>
      <w:r>
        <w:rPr>
          <w:rFonts w:ascii="Google Sans Text" w:eastAsia="Google Sans Text" w:hAnsi="Google Sans Text" w:cs="Google Sans Text"/>
          <w:color w:val="575B5F"/>
          <w:sz w:val="24"/>
          <w:szCs w:val="24"/>
          <w:vertAlign w:val="superscript"/>
        </w:rPr>
        <w:t>9</w:t>
      </w:r>
      <w:r>
        <w:rPr>
          <w:rFonts w:ascii="Google Sans Text" w:eastAsia="Google Sans Text" w:hAnsi="Google Sans Text" w:cs="Google Sans Text"/>
          <w:color w:val="1B1C1D"/>
          <w:sz w:val="24"/>
          <w:szCs w:val="24"/>
        </w:rPr>
        <w:t xml:space="preserve">。這表明，商業與工業營造市場的景氣與高科技產業的擴張高度相關。這些項目通常技術含量高，對營造商的專業能力要求也更高。營造業者若要在此市場取得競爭優勢，必須深化在無塵室、精密廠房、資料中心等高科技建築領域的專業知識和施工經驗，並可能需要與高科技客戶建立更緊密的合作夥伴關係。這類項目往往毛利較高，符合業者「挑選案件、提升毛利」的策略 </w:t>
      </w:r>
      <w:r>
        <w:rPr>
          <w:rFonts w:ascii="Google Sans Text" w:eastAsia="Google Sans Text" w:hAnsi="Google Sans Text" w:cs="Google Sans Text"/>
          <w:color w:val="575B5F"/>
          <w:sz w:val="24"/>
          <w:szCs w:val="24"/>
          <w:vertAlign w:val="superscript"/>
        </w:rPr>
        <w:t>9</w:t>
      </w:r>
      <w:r>
        <w:rPr>
          <w:rFonts w:ascii="Google Sans Text" w:eastAsia="Google Sans Text" w:hAnsi="Google Sans Text" w:cs="Google Sans Text"/>
          <w:color w:val="1B1C1D"/>
          <w:sz w:val="24"/>
          <w:szCs w:val="24"/>
        </w:rPr>
        <w:t>。</w:t>
      </w:r>
    </w:p>
    <w:p w14:paraId="6CAAB6FF" w14:textId="77777777" w:rsidR="00380A7B"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 xml:space="preserve">除了科技廠房，高科技業者建廠及綠色環保工程需求的增加，可望帶動景氣持續上升 </w:t>
      </w:r>
      <w:r>
        <w:rPr>
          <w:rFonts w:ascii="Google Sans Text" w:eastAsia="Google Sans Text" w:hAnsi="Google Sans Text" w:cs="Google Sans Text"/>
          <w:color w:val="575B5F"/>
          <w:sz w:val="24"/>
          <w:szCs w:val="24"/>
          <w:vertAlign w:val="superscript"/>
        </w:rPr>
        <w:t>12</w:t>
      </w:r>
      <w:r>
        <w:rPr>
          <w:rFonts w:ascii="Google Sans Text" w:eastAsia="Google Sans Text" w:hAnsi="Google Sans Text" w:cs="Google Sans Text"/>
          <w:color w:val="1B1C1D"/>
          <w:sz w:val="24"/>
          <w:szCs w:val="24"/>
        </w:rPr>
        <w:t>。這與政府推動淨零排放和永續發展的政策方向一致。永續發展理念正逐步滲透至商業與工業建築領域。未來的商業辦公大樓和工業廠房將不僅追求功能性和效率，更會將節能、減碳、環保等永續性指標納入設計和建造考量。營造業者需具備綠色建築認證（如EEWH）的施工能力，並能提供全生命週期碳排放評估的解決方案，以滿足市場對永續建</w:t>
      </w:r>
      <w:r>
        <w:rPr>
          <w:rFonts w:ascii="Google Sans Text" w:eastAsia="Google Sans Text" w:hAnsi="Google Sans Text" w:cs="Google Sans Text"/>
          <w:color w:val="1B1C1D"/>
          <w:sz w:val="24"/>
          <w:szCs w:val="24"/>
        </w:rPr>
        <w:lastRenderedPageBreak/>
        <w:t>築日益增長的需求。</w:t>
      </w:r>
    </w:p>
    <w:p w14:paraId="6C3B34B1" w14:textId="77777777" w:rsidR="00380A7B"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 xml:space="preserve">主要營造廠也瞄準2025年大規模交通、海事等公共工程釋出，積極爭取承攬案件以衝高在手案量 </w:t>
      </w:r>
      <w:r>
        <w:rPr>
          <w:rFonts w:ascii="Google Sans Text" w:eastAsia="Google Sans Text" w:hAnsi="Google Sans Text" w:cs="Google Sans Text"/>
          <w:color w:val="575B5F"/>
          <w:sz w:val="24"/>
          <w:szCs w:val="24"/>
          <w:vertAlign w:val="superscript"/>
        </w:rPr>
        <w:t>9</w:t>
      </w:r>
      <w:r>
        <w:rPr>
          <w:rFonts w:ascii="Google Sans Text" w:eastAsia="Google Sans Text" w:hAnsi="Google Sans Text" w:cs="Google Sans Text"/>
          <w:color w:val="1B1C1D"/>
          <w:sz w:val="24"/>
          <w:szCs w:val="24"/>
        </w:rPr>
        <w:t xml:space="preserve">。新建預估2025年將有10個案件完工，工信預計有更多高毛利疫後案件認列 </w:t>
      </w:r>
      <w:r>
        <w:rPr>
          <w:rFonts w:ascii="Google Sans Text" w:eastAsia="Google Sans Text" w:hAnsi="Google Sans Text" w:cs="Google Sans Text"/>
          <w:color w:val="575B5F"/>
          <w:sz w:val="24"/>
          <w:szCs w:val="24"/>
          <w:vertAlign w:val="superscript"/>
        </w:rPr>
        <w:t>9</w:t>
      </w:r>
      <w:r>
        <w:rPr>
          <w:rFonts w:ascii="Google Sans Text" w:eastAsia="Google Sans Text" w:hAnsi="Google Sans Text" w:cs="Google Sans Text"/>
          <w:color w:val="1B1C1D"/>
          <w:sz w:val="24"/>
          <w:szCs w:val="24"/>
        </w:rPr>
        <w:t>。這些大型項目的啟動將進一步鞏固商業與工業營造市場的成長動能。</w:t>
      </w:r>
    </w:p>
    <w:p w14:paraId="36616542" w14:textId="77777777" w:rsidR="00380A7B" w:rsidRDefault="00380A7B">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p>
    <w:p w14:paraId="517671AA" w14:textId="77777777" w:rsidR="00380A7B" w:rsidRDefault="00000000">
      <w:pPr>
        <w:pStyle w:val="2"/>
        <w:spacing w:before="0" w:after="120" w:line="275" w:lineRule="auto"/>
        <w:rPr>
          <w:rFonts w:ascii="Google Sans" w:eastAsia="Google Sans" w:hAnsi="Google Sans" w:cs="Google Sans"/>
          <w:color w:val="1B1C1D"/>
          <w:sz w:val="30"/>
          <w:szCs w:val="30"/>
        </w:rPr>
      </w:pPr>
      <w:r>
        <w:rPr>
          <w:rFonts w:ascii="Google Sans" w:eastAsia="Google Sans" w:hAnsi="Google Sans" w:cs="Google Sans"/>
          <w:color w:val="1B1C1D"/>
          <w:sz w:val="30"/>
          <w:szCs w:val="30"/>
        </w:rPr>
        <w:t>IV. 營造產業面臨的挑戰與應對</w:t>
      </w:r>
    </w:p>
    <w:p w14:paraId="47F354AF" w14:textId="77777777" w:rsidR="00380A7B" w:rsidRDefault="00380A7B">
      <w:pPr>
        <w:pBdr>
          <w:top w:val="nil"/>
          <w:left w:val="nil"/>
          <w:bottom w:val="nil"/>
          <w:right w:val="nil"/>
          <w:between w:val="nil"/>
        </w:pBdr>
        <w:spacing w:after="240" w:line="275" w:lineRule="auto"/>
        <w:rPr>
          <w:rFonts w:ascii="Google Sans" w:eastAsia="Google Sans" w:hAnsi="Google Sans" w:cs="Google Sans"/>
          <w:b/>
          <w:color w:val="1B1C1D"/>
          <w:sz w:val="30"/>
          <w:szCs w:val="30"/>
        </w:rPr>
      </w:pPr>
    </w:p>
    <w:p w14:paraId="5D0493D1" w14:textId="77777777" w:rsidR="00380A7B" w:rsidRDefault="00380A7B">
      <w:pPr>
        <w:pBdr>
          <w:top w:val="nil"/>
          <w:left w:val="nil"/>
          <w:bottom w:val="nil"/>
          <w:right w:val="nil"/>
          <w:between w:val="nil"/>
        </w:pBdr>
        <w:spacing w:after="240" w:line="275" w:lineRule="auto"/>
        <w:rPr>
          <w:rFonts w:ascii="Google Sans" w:eastAsia="Google Sans" w:hAnsi="Google Sans" w:cs="Google Sans"/>
          <w:b/>
          <w:color w:val="1B1C1D"/>
          <w:sz w:val="30"/>
          <w:szCs w:val="30"/>
        </w:rPr>
      </w:pPr>
    </w:p>
    <w:p w14:paraId="13A79564" w14:textId="77777777" w:rsidR="00380A7B" w:rsidRDefault="00000000">
      <w:pPr>
        <w:pStyle w:val="3"/>
        <w:spacing w:before="0" w:after="120" w:line="275" w:lineRule="auto"/>
        <w:rPr>
          <w:rFonts w:ascii="Google Sans" w:eastAsia="Google Sans" w:hAnsi="Google Sans" w:cs="Google Sans"/>
          <w:color w:val="1B1C1D"/>
          <w:sz w:val="24"/>
          <w:szCs w:val="24"/>
        </w:rPr>
      </w:pPr>
      <w:r>
        <w:rPr>
          <w:rFonts w:ascii="Google Sans" w:eastAsia="Google Sans" w:hAnsi="Google Sans" w:cs="Google Sans"/>
          <w:color w:val="1B1C1D"/>
          <w:sz w:val="24"/>
          <w:szCs w:val="24"/>
        </w:rPr>
        <w:t>A. 嚴重缺工問題</w:t>
      </w:r>
    </w:p>
    <w:p w14:paraId="1F1AD65A" w14:textId="77777777" w:rsidR="00380A7B" w:rsidRDefault="00380A7B">
      <w:pPr>
        <w:pBdr>
          <w:top w:val="nil"/>
          <w:left w:val="nil"/>
          <w:bottom w:val="nil"/>
          <w:right w:val="nil"/>
          <w:between w:val="nil"/>
        </w:pBdr>
        <w:spacing w:after="240" w:line="275" w:lineRule="auto"/>
        <w:rPr>
          <w:rFonts w:ascii="Google Sans" w:eastAsia="Google Sans" w:hAnsi="Google Sans" w:cs="Google Sans"/>
          <w:b/>
          <w:color w:val="1B1C1D"/>
          <w:sz w:val="24"/>
          <w:szCs w:val="24"/>
        </w:rPr>
      </w:pPr>
    </w:p>
    <w:p w14:paraId="639DF6F0" w14:textId="77777777" w:rsidR="00380A7B"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 xml:space="preserve">營建工程工地缺工問題在台灣屢創新高，已成為營造產業面臨的最嚴峻挑戰之一。2024年第一季營建工程業人力需求達到4,276人，創下有統計以來的最高點 </w:t>
      </w:r>
      <w:r>
        <w:rPr>
          <w:rFonts w:ascii="Google Sans Text" w:eastAsia="Google Sans Text" w:hAnsi="Google Sans Text" w:cs="Google Sans Text"/>
          <w:color w:val="575B5F"/>
          <w:sz w:val="24"/>
          <w:szCs w:val="24"/>
          <w:vertAlign w:val="superscript"/>
        </w:rPr>
        <w:t>20</w:t>
      </w:r>
      <w:r>
        <w:rPr>
          <w:rFonts w:ascii="Google Sans Text" w:eastAsia="Google Sans Text" w:hAnsi="Google Sans Text" w:cs="Google Sans Text"/>
          <w:color w:val="1B1C1D"/>
          <w:sz w:val="24"/>
          <w:szCs w:val="24"/>
        </w:rPr>
        <w:t xml:space="preserve">。小型工地尤其面臨更為嚴重的缺工困境 </w:t>
      </w:r>
      <w:r>
        <w:rPr>
          <w:rFonts w:ascii="Google Sans Text" w:eastAsia="Google Sans Text" w:hAnsi="Google Sans Text" w:cs="Google Sans Text"/>
          <w:color w:val="575B5F"/>
          <w:sz w:val="24"/>
          <w:szCs w:val="24"/>
          <w:vertAlign w:val="superscript"/>
        </w:rPr>
        <w:t>20</w:t>
      </w:r>
      <w:r>
        <w:rPr>
          <w:rFonts w:ascii="Google Sans Text" w:eastAsia="Google Sans Text" w:hAnsi="Google Sans Text" w:cs="Google Sans Text"/>
          <w:color w:val="1B1C1D"/>
          <w:sz w:val="24"/>
          <w:szCs w:val="24"/>
        </w:rPr>
        <w:t>。</w:t>
      </w:r>
    </w:p>
    <w:p w14:paraId="3E173087" w14:textId="77777777" w:rsidR="00380A7B" w:rsidRDefault="00000000">
      <w:pPr>
        <w:pBdr>
          <w:top w:val="nil"/>
          <w:left w:val="nil"/>
          <w:bottom w:val="nil"/>
          <w:right w:val="nil"/>
          <w:between w:val="nil"/>
        </w:pBdr>
        <w:spacing w:after="12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造成缺工的成因是多方面的結構性問題：</w:t>
      </w:r>
    </w:p>
    <w:p w14:paraId="1AAD6EA2" w14:textId="77777777" w:rsidR="00380A7B" w:rsidRDefault="00000000">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少子化與勞動力市場縮減：</w:t>
      </w:r>
      <w:r>
        <w:rPr>
          <w:rFonts w:ascii="Google Sans Text" w:eastAsia="Google Sans Text" w:hAnsi="Google Sans Text" w:cs="Google Sans Text"/>
          <w:color w:val="1B1C1D"/>
          <w:sz w:val="24"/>
          <w:szCs w:val="24"/>
        </w:rPr>
        <w:t xml:space="preserve"> 隨著少子化加劇，年輕人進入營建業的意願逐年下降，導致基層勞工短缺。勞動部統計顯示，營造業從業人員的平均年齡已超過46歲，而35歲以下從業人口比例不足15% </w:t>
      </w:r>
      <w:r>
        <w:rPr>
          <w:rFonts w:ascii="Google Sans Text" w:eastAsia="Google Sans Text" w:hAnsi="Google Sans Text" w:cs="Google Sans Text"/>
          <w:color w:val="575B5F"/>
          <w:sz w:val="24"/>
          <w:szCs w:val="24"/>
          <w:vertAlign w:val="superscript"/>
        </w:rPr>
        <w:t>20</w:t>
      </w:r>
      <w:r>
        <w:rPr>
          <w:rFonts w:ascii="Google Sans Text" w:eastAsia="Google Sans Text" w:hAnsi="Google Sans Text" w:cs="Google Sans Text"/>
          <w:color w:val="1B1C1D"/>
          <w:sz w:val="24"/>
          <w:szCs w:val="24"/>
        </w:rPr>
        <w:t>，這反映了嚴重的青年勞動力斷層。</w:t>
      </w:r>
    </w:p>
    <w:p w14:paraId="0A79EA30" w14:textId="77777777" w:rsidR="00380A7B" w:rsidRDefault="00000000">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工地工作環境艱苦：</w:t>
      </w:r>
      <w:r>
        <w:rPr>
          <w:rFonts w:ascii="Google Sans Text" w:eastAsia="Google Sans Text" w:hAnsi="Google Sans Text" w:cs="Google Sans Text"/>
          <w:color w:val="1B1C1D"/>
          <w:sz w:val="24"/>
          <w:szCs w:val="24"/>
        </w:rPr>
        <w:t xml:space="preserve"> 營造業仍普遍被視為高風險、高勞動強度的行業，工作環境常處於極端天氣和危險條件下，對年輕世代缺乏吸引力 </w:t>
      </w:r>
      <w:r>
        <w:rPr>
          <w:rFonts w:ascii="Google Sans Text" w:eastAsia="Google Sans Text" w:hAnsi="Google Sans Text" w:cs="Google Sans Text"/>
          <w:color w:val="575B5F"/>
          <w:sz w:val="24"/>
          <w:szCs w:val="24"/>
          <w:vertAlign w:val="superscript"/>
        </w:rPr>
        <w:t>20</w:t>
      </w:r>
      <w:r>
        <w:rPr>
          <w:rFonts w:ascii="Google Sans Text" w:eastAsia="Google Sans Text" w:hAnsi="Google Sans Text" w:cs="Google Sans Text"/>
          <w:color w:val="1B1C1D"/>
          <w:sz w:val="24"/>
          <w:szCs w:val="24"/>
        </w:rPr>
        <w:t>。</w:t>
      </w:r>
    </w:p>
    <w:p w14:paraId="0219E2CC" w14:textId="77777777" w:rsidR="00380A7B" w:rsidRDefault="00000000">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薪資與福利問題：</w:t>
      </w:r>
      <w:r>
        <w:rPr>
          <w:rFonts w:ascii="Google Sans Text" w:eastAsia="Google Sans Text" w:hAnsi="Google Sans Text" w:cs="Google Sans Text"/>
          <w:color w:val="1B1C1D"/>
          <w:sz w:val="24"/>
          <w:szCs w:val="24"/>
        </w:rPr>
        <w:t xml:space="preserve"> 儘管營建業的薪資相對可觀，但高職災率和缺乏完善的勞動保障仍是阻礙國人投入的因素 </w:t>
      </w:r>
      <w:r>
        <w:rPr>
          <w:rFonts w:ascii="Google Sans Text" w:eastAsia="Google Sans Text" w:hAnsi="Google Sans Text" w:cs="Google Sans Text"/>
          <w:color w:val="575B5F"/>
          <w:sz w:val="24"/>
          <w:szCs w:val="24"/>
          <w:vertAlign w:val="superscript"/>
        </w:rPr>
        <w:t>20</w:t>
      </w:r>
      <w:r>
        <w:rPr>
          <w:rFonts w:ascii="Google Sans Text" w:eastAsia="Google Sans Text" w:hAnsi="Google Sans Text" w:cs="Google Sans Text"/>
          <w:color w:val="1B1C1D"/>
          <w:sz w:val="24"/>
          <w:szCs w:val="24"/>
        </w:rPr>
        <w:t>。</w:t>
      </w:r>
    </w:p>
    <w:p w14:paraId="361E57CB" w14:textId="77777777" w:rsidR="00380A7B" w:rsidRDefault="00000000">
      <w:pPr>
        <w:numPr>
          <w:ilvl w:val="0"/>
          <w:numId w:val="1"/>
        </w:numPr>
        <w:pBdr>
          <w:top w:val="nil"/>
          <w:left w:val="nil"/>
          <w:bottom w:val="nil"/>
          <w:right w:val="nil"/>
          <w:between w:val="nil"/>
        </w:pBdr>
        <w:spacing w:after="120" w:line="275" w:lineRule="auto"/>
      </w:pPr>
      <w:r>
        <w:rPr>
          <w:rFonts w:ascii="Google Sans Text" w:eastAsia="Google Sans Text" w:hAnsi="Google Sans Text" w:cs="Google Sans Text"/>
          <w:b/>
          <w:color w:val="1B1C1D"/>
          <w:sz w:val="24"/>
          <w:szCs w:val="24"/>
        </w:rPr>
        <w:t>長期依賴外籍移工：</w:t>
      </w:r>
      <w:r>
        <w:rPr>
          <w:rFonts w:ascii="Google Sans Text" w:eastAsia="Google Sans Text" w:hAnsi="Google Sans Text" w:cs="Google Sans Text"/>
          <w:color w:val="1B1C1D"/>
          <w:sz w:val="24"/>
          <w:szCs w:val="24"/>
        </w:rPr>
        <w:t xml:space="preserve"> 台灣營建業長期以來依賴外籍移工填補人力缺口。然而，隨著全球勞動力流動的變化和外籍移工政策的調整，這種依賴性問題變得更加凸顯 </w:t>
      </w:r>
      <w:r>
        <w:rPr>
          <w:rFonts w:ascii="Google Sans Text" w:eastAsia="Google Sans Text" w:hAnsi="Google Sans Text" w:cs="Google Sans Text"/>
          <w:color w:val="575B5F"/>
          <w:sz w:val="24"/>
          <w:szCs w:val="24"/>
          <w:vertAlign w:val="superscript"/>
        </w:rPr>
        <w:t>20</w:t>
      </w:r>
      <w:r>
        <w:rPr>
          <w:rFonts w:ascii="Google Sans Text" w:eastAsia="Google Sans Text" w:hAnsi="Google Sans Text" w:cs="Google Sans Text"/>
          <w:color w:val="1B1C1D"/>
          <w:sz w:val="24"/>
          <w:szCs w:val="24"/>
        </w:rPr>
        <w:t>。</w:t>
      </w:r>
    </w:p>
    <w:p w14:paraId="451ADC9E" w14:textId="77777777" w:rsidR="00380A7B" w:rsidRDefault="00000000">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缺工問題不僅是短期市場波動，更是台灣社會少子化、勞動力老化以及營造業工作環境固有挑戰的綜合結果。即使政府開放移工名額，也只是緩解燃眉之急，無法根本解決問題。營造業者不能僅依賴移工政策，必須從根本上改善工作環境、提升薪資福利、加強國內人才培育和轉型產業形象，以吸引年輕世代。更重要的是，加速智慧營造和模組化建築的應用，透過技術創新來減少對傳統勞動力的依賴，將是長期生存的關鍵。</w:t>
      </w:r>
    </w:p>
    <w:p w14:paraId="328E6A06" w14:textId="77777777" w:rsidR="00380A7B"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lastRenderedPageBreak/>
        <w:t xml:space="preserve">為應對此問題，政府正積極透過就業媒合、職業訓練導入國人投入營造業，同時將外籍移工視為一個重要選項 </w:t>
      </w:r>
      <w:r>
        <w:rPr>
          <w:rFonts w:ascii="Google Sans Text" w:eastAsia="Google Sans Text" w:hAnsi="Google Sans Text" w:cs="Google Sans Text"/>
          <w:color w:val="575B5F"/>
          <w:sz w:val="24"/>
          <w:szCs w:val="24"/>
          <w:vertAlign w:val="superscript"/>
        </w:rPr>
        <w:t>20</w:t>
      </w:r>
      <w:r>
        <w:rPr>
          <w:rFonts w:ascii="Google Sans Text" w:eastAsia="Google Sans Text" w:hAnsi="Google Sans Text" w:cs="Google Sans Text"/>
          <w:color w:val="1B1C1D"/>
          <w:sz w:val="24"/>
          <w:szCs w:val="24"/>
        </w:rPr>
        <w:t xml:space="preserve">。2023年，政府首度開放一般營造業聘僱移工，首波8千名移工於8月開放申請 </w:t>
      </w:r>
      <w:r>
        <w:rPr>
          <w:rFonts w:ascii="Google Sans Text" w:eastAsia="Google Sans Text" w:hAnsi="Google Sans Text" w:cs="Google Sans Text"/>
          <w:color w:val="575B5F"/>
          <w:sz w:val="24"/>
          <w:szCs w:val="24"/>
          <w:vertAlign w:val="superscript"/>
        </w:rPr>
        <w:t>20</w:t>
      </w:r>
      <w:r>
        <w:rPr>
          <w:rFonts w:ascii="Google Sans Text" w:eastAsia="Google Sans Text" w:hAnsi="Google Sans Text" w:cs="Google Sans Text"/>
          <w:color w:val="1B1C1D"/>
          <w:sz w:val="24"/>
          <w:szCs w:val="24"/>
        </w:rPr>
        <w:t xml:space="preserve">。預計2025年將有更多名額開放，但由於勞動力結構變化和營建業特殊性，缺工問題仍是長期且複雜的挑戰，預計將引發「腥風血雨」的搶名額競爭 </w:t>
      </w:r>
      <w:r>
        <w:rPr>
          <w:rFonts w:ascii="Google Sans Text" w:eastAsia="Google Sans Text" w:hAnsi="Google Sans Text" w:cs="Google Sans Text"/>
          <w:color w:val="575B5F"/>
          <w:sz w:val="24"/>
          <w:szCs w:val="24"/>
          <w:vertAlign w:val="superscript"/>
        </w:rPr>
        <w:t>20</w:t>
      </w:r>
      <w:r>
        <w:rPr>
          <w:rFonts w:ascii="Google Sans Text" w:eastAsia="Google Sans Text" w:hAnsi="Google Sans Text" w:cs="Google Sans Text"/>
          <w:color w:val="1B1C1D"/>
          <w:sz w:val="24"/>
          <w:szCs w:val="24"/>
        </w:rPr>
        <w:t xml:space="preserve">。因此，專業人力仲介服務成為不少企業的首選，以確保資料準備完整並提升申請成功機率 </w:t>
      </w:r>
      <w:r>
        <w:rPr>
          <w:rFonts w:ascii="Google Sans Text" w:eastAsia="Google Sans Text" w:hAnsi="Google Sans Text" w:cs="Google Sans Text"/>
          <w:color w:val="575B5F"/>
          <w:sz w:val="24"/>
          <w:szCs w:val="24"/>
          <w:vertAlign w:val="superscript"/>
        </w:rPr>
        <w:t>20</w:t>
      </w:r>
      <w:r>
        <w:rPr>
          <w:rFonts w:ascii="Google Sans Text" w:eastAsia="Google Sans Text" w:hAnsi="Google Sans Text" w:cs="Google Sans Text"/>
          <w:color w:val="1B1C1D"/>
          <w:sz w:val="24"/>
          <w:szCs w:val="24"/>
        </w:rPr>
        <w:t>。</w:t>
      </w:r>
    </w:p>
    <w:p w14:paraId="1C862CBE" w14:textId="77777777" w:rsidR="00380A7B"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 xml:space="preserve">缺工問題直接導致勞務成本居高不下。2025年1月營造工程物價指數中，材料類漲幅僅0.4%幾近持平，但勞務類漲幅仍超過3% </w:t>
      </w:r>
      <w:r>
        <w:rPr>
          <w:rFonts w:ascii="Google Sans Text" w:eastAsia="Google Sans Text" w:hAnsi="Google Sans Text" w:cs="Google Sans Text"/>
          <w:color w:val="575B5F"/>
          <w:sz w:val="24"/>
          <w:szCs w:val="24"/>
          <w:vertAlign w:val="superscript"/>
        </w:rPr>
        <w:t>2</w:t>
      </w:r>
      <w:r>
        <w:rPr>
          <w:rFonts w:ascii="Google Sans Text" w:eastAsia="Google Sans Text" w:hAnsi="Google Sans Text" w:cs="Google Sans Text"/>
          <w:color w:val="1B1C1D"/>
          <w:sz w:val="24"/>
          <w:szCs w:val="24"/>
        </w:rPr>
        <w:t xml:space="preserve">，顯見缺工問題未解，成本壓力持續存在。勞務成本已成為營造業者盈利的最大變數。營造工程物價指數顯示，原物料成本趨穩甚至下降，但勞務成本卻持續顯著上漲 </w:t>
      </w:r>
      <w:r>
        <w:rPr>
          <w:rFonts w:ascii="Google Sans Text" w:eastAsia="Google Sans Text" w:hAnsi="Google Sans Text" w:cs="Google Sans Text"/>
          <w:color w:val="575B5F"/>
          <w:sz w:val="24"/>
          <w:szCs w:val="24"/>
          <w:vertAlign w:val="superscript"/>
        </w:rPr>
        <w:t>2</w:t>
      </w:r>
      <w:r>
        <w:rPr>
          <w:rFonts w:ascii="Google Sans Text" w:eastAsia="Google Sans Text" w:hAnsi="Google Sans Text" w:cs="Google Sans Text"/>
          <w:color w:val="1B1C1D"/>
          <w:sz w:val="24"/>
          <w:szCs w:val="24"/>
        </w:rPr>
        <w:t>。這表明勞務成本已取代原物料，成為營造業者最大的成本壓力來源。這要求營造業者在專案報價和成本控制上，必須更精準地評估勞務成本的漲幅。這也將促使業者在專案執行中更注重效率提升，例如透過數位管理工具、自動化設備來優化人力配置，以對沖不斷上升的勞務成本。</w:t>
      </w:r>
    </w:p>
    <w:p w14:paraId="626F3037" w14:textId="77777777" w:rsidR="00380A7B" w:rsidRDefault="00380A7B">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p>
    <w:p w14:paraId="5E999ADA" w14:textId="77777777" w:rsidR="00380A7B" w:rsidRDefault="00000000">
      <w:pPr>
        <w:pStyle w:val="3"/>
        <w:spacing w:before="0" w:after="120" w:line="275" w:lineRule="auto"/>
        <w:rPr>
          <w:rFonts w:ascii="Google Sans" w:eastAsia="Google Sans" w:hAnsi="Google Sans" w:cs="Google Sans"/>
          <w:color w:val="1B1C1D"/>
          <w:sz w:val="24"/>
          <w:szCs w:val="24"/>
        </w:rPr>
      </w:pPr>
      <w:r>
        <w:rPr>
          <w:rFonts w:ascii="Google Sans" w:eastAsia="Google Sans" w:hAnsi="Google Sans" w:cs="Google Sans"/>
          <w:color w:val="1B1C1D"/>
          <w:sz w:val="24"/>
          <w:szCs w:val="24"/>
        </w:rPr>
        <w:t>B. 原物料與勞務成本壓力</w:t>
      </w:r>
    </w:p>
    <w:p w14:paraId="45D6741D" w14:textId="77777777" w:rsidR="00380A7B" w:rsidRDefault="00380A7B">
      <w:pPr>
        <w:pBdr>
          <w:top w:val="nil"/>
          <w:left w:val="nil"/>
          <w:bottom w:val="nil"/>
          <w:right w:val="nil"/>
          <w:between w:val="nil"/>
        </w:pBdr>
        <w:spacing w:after="240" w:line="275" w:lineRule="auto"/>
        <w:rPr>
          <w:rFonts w:ascii="Google Sans" w:eastAsia="Google Sans" w:hAnsi="Google Sans" w:cs="Google Sans"/>
          <w:b/>
          <w:color w:val="1B1C1D"/>
          <w:sz w:val="24"/>
          <w:szCs w:val="24"/>
        </w:rPr>
      </w:pPr>
    </w:p>
    <w:p w14:paraId="4F314AFC" w14:textId="77777777" w:rsidR="00380A7B"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 xml:space="preserve">營造產業的成本結構在2025年呈現出新的特徵。根據行政院主計總處數據，2025年1月營造工程物價指數年增1.41%，漲勢趨緩，連續第二個月下降並探近九個月低點 </w:t>
      </w:r>
      <w:r>
        <w:rPr>
          <w:rFonts w:ascii="Google Sans Text" w:eastAsia="Google Sans Text" w:hAnsi="Google Sans Text" w:cs="Google Sans Text"/>
          <w:color w:val="575B5F"/>
          <w:sz w:val="24"/>
          <w:szCs w:val="24"/>
          <w:vertAlign w:val="superscript"/>
        </w:rPr>
        <w:t>2</w:t>
      </w:r>
      <w:r>
        <w:rPr>
          <w:rFonts w:ascii="Google Sans Text" w:eastAsia="Google Sans Text" w:hAnsi="Google Sans Text" w:cs="Google Sans Text"/>
          <w:color w:val="1B1C1D"/>
          <w:sz w:val="24"/>
          <w:szCs w:val="24"/>
        </w:rPr>
        <w:t xml:space="preserve">。其中，材料類漲幅僅0.4%，幾近持平，主要受高基期和國際原物料價格下跌影響 </w:t>
      </w:r>
      <w:r>
        <w:rPr>
          <w:rFonts w:ascii="Google Sans Text" w:eastAsia="Google Sans Text" w:hAnsi="Google Sans Text" w:cs="Google Sans Text"/>
          <w:color w:val="575B5F"/>
          <w:sz w:val="24"/>
          <w:szCs w:val="24"/>
          <w:vertAlign w:val="superscript"/>
        </w:rPr>
        <w:t>2</w:t>
      </w:r>
      <w:r>
        <w:rPr>
          <w:rFonts w:ascii="Google Sans Text" w:eastAsia="Google Sans Text" w:hAnsi="Google Sans Text" w:cs="Google Sans Text"/>
          <w:color w:val="1B1C1D"/>
          <w:sz w:val="24"/>
          <w:szCs w:val="24"/>
        </w:rPr>
        <w:t xml:space="preserve">。然而，勞務類漲幅則仍超過3%，這明確顯示營建業缺工問題未解，勞務成本依然高昂 </w:t>
      </w:r>
      <w:r>
        <w:rPr>
          <w:rFonts w:ascii="Google Sans Text" w:eastAsia="Google Sans Text" w:hAnsi="Google Sans Text" w:cs="Google Sans Text"/>
          <w:color w:val="575B5F"/>
          <w:sz w:val="24"/>
          <w:szCs w:val="24"/>
          <w:vertAlign w:val="superscript"/>
        </w:rPr>
        <w:t>2</w:t>
      </w:r>
      <w:r>
        <w:rPr>
          <w:rFonts w:ascii="Google Sans Text" w:eastAsia="Google Sans Text" w:hAnsi="Google Sans Text" w:cs="Google Sans Text"/>
          <w:color w:val="1B1C1D"/>
          <w:sz w:val="24"/>
          <w:szCs w:val="24"/>
        </w:rPr>
        <w:t>。</w:t>
      </w:r>
    </w:p>
    <w:p w14:paraId="31168635" w14:textId="77777777" w:rsidR="00380A7B"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 xml:space="preserve">這種成本壓力結構的根本性轉變，意味著營造業者需要調整其風險管理和成本控制策略。傳統上，營造業的成本壓力主要來自原物料價格波動。然而，2025年的數據顯示，勞務成本已成為主導性因素，而材料成本相對穩定 </w:t>
      </w:r>
      <w:r>
        <w:rPr>
          <w:rFonts w:ascii="Google Sans Text" w:eastAsia="Google Sans Text" w:hAnsi="Google Sans Text" w:cs="Google Sans Text"/>
          <w:color w:val="575B5F"/>
          <w:sz w:val="24"/>
          <w:szCs w:val="24"/>
          <w:vertAlign w:val="superscript"/>
        </w:rPr>
        <w:t>2</w:t>
      </w:r>
      <w:r>
        <w:rPr>
          <w:rFonts w:ascii="Google Sans Text" w:eastAsia="Google Sans Text" w:hAnsi="Google Sans Text" w:cs="Google Sans Text"/>
          <w:color w:val="1B1C1D"/>
          <w:sz w:val="24"/>
          <w:szCs w:val="24"/>
        </w:rPr>
        <w:t>。過去側重於材料採購和庫存管理的模式，需要轉向更注重人力資源策略、勞務外包管理和自動化設備投入的模式。這也可能促使業者在設計階段就考慮採用更省工的工法和材料。</w:t>
      </w:r>
    </w:p>
    <w:p w14:paraId="48275EDE" w14:textId="77777777" w:rsidR="00380A7B"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 xml:space="preserve">儘管整體材料價格趨穩，但全球供應鏈重組 </w:t>
      </w:r>
      <w:r>
        <w:rPr>
          <w:rFonts w:ascii="Google Sans Text" w:eastAsia="Google Sans Text" w:hAnsi="Google Sans Text" w:cs="Google Sans Text"/>
          <w:color w:val="575B5F"/>
          <w:sz w:val="24"/>
          <w:szCs w:val="24"/>
          <w:vertAlign w:val="superscript"/>
        </w:rPr>
        <w:t>19</w:t>
      </w:r>
      <w:r>
        <w:rPr>
          <w:rFonts w:ascii="Google Sans Text" w:eastAsia="Google Sans Text" w:hAnsi="Google Sans Text" w:cs="Google Sans Text"/>
          <w:color w:val="1B1C1D"/>
          <w:sz w:val="24"/>
          <w:szCs w:val="24"/>
        </w:rPr>
        <w:t xml:space="preserve"> 以及地緣政治的不確定性 </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sz w:val="24"/>
          <w:szCs w:val="24"/>
        </w:rPr>
        <w:t xml:space="preserve"> 仍可能對特定建材的供應穩定性和價格造成影響。此外，公共工程在碳排放計算方面，面臨建材碳排放係數資料不完善、供應商製程差異導致係數不一等挑戰 </w:t>
      </w:r>
      <w:r>
        <w:rPr>
          <w:rFonts w:ascii="Google Sans Text" w:eastAsia="Google Sans Text" w:hAnsi="Google Sans Text" w:cs="Google Sans Text"/>
          <w:color w:val="575B5F"/>
          <w:sz w:val="24"/>
          <w:szCs w:val="24"/>
          <w:vertAlign w:val="superscript"/>
        </w:rPr>
        <w:t>15</w:t>
      </w:r>
      <w:r>
        <w:rPr>
          <w:rFonts w:ascii="Google Sans Text" w:eastAsia="Google Sans Text" w:hAnsi="Google Sans Text" w:cs="Google Sans Text"/>
          <w:color w:val="1B1C1D"/>
          <w:sz w:val="24"/>
          <w:szCs w:val="24"/>
        </w:rPr>
        <w:t xml:space="preserve">，這可能影響綠色建材的採購和成本評估。隨著淨零建築和綠色公共工程的要求日益嚴格 </w:t>
      </w:r>
      <w:r>
        <w:rPr>
          <w:rFonts w:ascii="Google Sans Text" w:eastAsia="Google Sans Text" w:hAnsi="Google Sans Text" w:cs="Google Sans Text"/>
          <w:color w:val="575B5F"/>
          <w:sz w:val="24"/>
          <w:szCs w:val="24"/>
          <w:vertAlign w:val="superscript"/>
        </w:rPr>
        <w:t>15</w:t>
      </w:r>
      <w:r>
        <w:rPr>
          <w:rFonts w:ascii="Google Sans Text" w:eastAsia="Google Sans Text" w:hAnsi="Google Sans Text" w:cs="Google Sans Text"/>
          <w:color w:val="1B1C1D"/>
          <w:sz w:val="24"/>
          <w:szCs w:val="24"/>
        </w:rPr>
        <w:t xml:space="preserve">，對綠色建材的需求將增加。然而，目前在碳排放係數計算和資料庫完善方面仍存在挑戰 </w:t>
      </w:r>
      <w:r>
        <w:rPr>
          <w:rFonts w:ascii="Google Sans Text" w:eastAsia="Google Sans Text" w:hAnsi="Google Sans Text" w:cs="Google Sans Text"/>
          <w:color w:val="575B5F"/>
          <w:sz w:val="24"/>
          <w:szCs w:val="24"/>
          <w:vertAlign w:val="superscript"/>
        </w:rPr>
        <w:t>15</w:t>
      </w:r>
      <w:r>
        <w:rPr>
          <w:rFonts w:ascii="Google Sans Text" w:eastAsia="Google Sans Text" w:hAnsi="Google Sans Text" w:cs="Google Sans Text"/>
          <w:color w:val="1B1C1D"/>
          <w:sz w:val="24"/>
          <w:szCs w:val="24"/>
        </w:rPr>
        <w:t>。這表明營造業者在推動綠色建築時，可能面臨綠色建材供應鏈的不成熟和成本不透明問題。這需要政府、產業協會和</w:t>
      </w:r>
      <w:r>
        <w:rPr>
          <w:rFonts w:ascii="Google Sans Text" w:eastAsia="Google Sans Text" w:hAnsi="Google Sans Text" w:cs="Google Sans Text"/>
          <w:color w:val="1B1C1D"/>
          <w:sz w:val="24"/>
          <w:szCs w:val="24"/>
        </w:rPr>
        <w:lastRenderedPageBreak/>
        <w:t>業者共同努力，建立更透明、標準化的綠色建材認證和供應體系，以降低採購風險和成本。</w:t>
      </w:r>
    </w:p>
    <w:p w14:paraId="296F4CA8" w14:textId="77777777" w:rsidR="00380A7B" w:rsidRDefault="00380A7B">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p>
    <w:p w14:paraId="2DDC92FD" w14:textId="77777777" w:rsidR="00380A7B" w:rsidRDefault="00000000">
      <w:pPr>
        <w:pStyle w:val="3"/>
        <w:spacing w:before="0" w:after="120" w:line="275" w:lineRule="auto"/>
        <w:rPr>
          <w:rFonts w:ascii="Google Sans" w:eastAsia="Google Sans" w:hAnsi="Google Sans" w:cs="Google Sans"/>
          <w:color w:val="1B1C1D"/>
          <w:sz w:val="24"/>
          <w:szCs w:val="24"/>
        </w:rPr>
      </w:pPr>
      <w:r>
        <w:rPr>
          <w:rFonts w:ascii="Google Sans" w:eastAsia="Google Sans" w:hAnsi="Google Sans" w:cs="Google Sans"/>
          <w:color w:val="1B1C1D"/>
          <w:sz w:val="24"/>
          <w:szCs w:val="24"/>
        </w:rPr>
        <w:t>C. 法規環境變革與衝擊</w:t>
      </w:r>
    </w:p>
    <w:p w14:paraId="01FFB21B" w14:textId="77777777" w:rsidR="00380A7B" w:rsidRDefault="00380A7B">
      <w:pPr>
        <w:pBdr>
          <w:top w:val="nil"/>
          <w:left w:val="nil"/>
          <w:bottom w:val="nil"/>
          <w:right w:val="nil"/>
          <w:between w:val="nil"/>
        </w:pBdr>
        <w:spacing w:after="240" w:line="275" w:lineRule="auto"/>
        <w:rPr>
          <w:rFonts w:ascii="Google Sans" w:eastAsia="Google Sans" w:hAnsi="Google Sans" w:cs="Google Sans"/>
          <w:b/>
          <w:color w:val="1B1C1D"/>
          <w:sz w:val="24"/>
          <w:szCs w:val="24"/>
        </w:rPr>
      </w:pPr>
    </w:p>
    <w:p w14:paraId="49606025" w14:textId="77777777" w:rsidR="00380A7B"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2025年台灣營造產業將面對多項法規環境的變革，這些變革將對產業的營運模式和發展方向產生深遠影響。</w:t>
      </w:r>
    </w:p>
    <w:p w14:paraId="115536FA" w14:textId="77777777" w:rsidR="00380A7B"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首先是</w:t>
      </w:r>
      <w:r>
        <w:rPr>
          <w:rFonts w:ascii="Google Sans Text" w:eastAsia="Google Sans Text" w:hAnsi="Google Sans Text" w:cs="Google Sans Text"/>
          <w:b/>
          <w:color w:val="1B1C1D"/>
          <w:sz w:val="24"/>
          <w:szCs w:val="24"/>
        </w:rPr>
        <w:t>淨零建築轉型策略</w:t>
      </w:r>
      <w:r>
        <w:rPr>
          <w:rFonts w:ascii="Google Sans Text" w:eastAsia="Google Sans Text" w:hAnsi="Google Sans Text" w:cs="Google Sans Text"/>
          <w:color w:val="1B1C1D"/>
          <w:sz w:val="24"/>
          <w:szCs w:val="24"/>
        </w:rPr>
        <w:t xml:space="preserve">。內政部預計在2025年提出修法，強制民間新建建築符合建築能效規定，目標是到2050年實現100%新建建築物和超過85%的既有建築物達到淨零碳建築 </w:t>
      </w:r>
      <w:r>
        <w:rPr>
          <w:rFonts w:ascii="Google Sans Text" w:eastAsia="Google Sans Text" w:hAnsi="Google Sans Text" w:cs="Google Sans Text"/>
          <w:color w:val="575B5F"/>
          <w:sz w:val="24"/>
          <w:szCs w:val="24"/>
          <w:vertAlign w:val="superscript"/>
        </w:rPr>
        <w:t>16</w:t>
      </w:r>
      <w:r>
        <w:rPr>
          <w:rFonts w:ascii="Google Sans Text" w:eastAsia="Google Sans Text" w:hAnsi="Google Sans Text" w:cs="Google Sans Text"/>
          <w:color w:val="1B1C1D"/>
          <w:sz w:val="24"/>
          <w:szCs w:val="24"/>
        </w:rPr>
        <w:t xml:space="preserve">。地方興建的社會住宅也將自2025年7月1日起需達到建築能效1級以上 </w:t>
      </w:r>
      <w:r>
        <w:rPr>
          <w:rFonts w:ascii="Google Sans Text" w:eastAsia="Google Sans Text" w:hAnsi="Google Sans Text" w:cs="Google Sans Text"/>
          <w:color w:val="575B5F"/>
          <w:sz w:val="24"/>
          <w:szCs w:val="24"/>
          <w:vertAlign w:val="superscript"/>
        </w:rPr>
        <w:t>16</w:t>
      </w:r>
      <w:r>
        <w:rPr>
          <w:rFonts w:ascii="Google Sans Text" w:eastAsia="Google Sans Text" w:hAnsi="Google Sans Text" w:cs="Google Sans Text"/>
          <w:color w:val="1B1C1D"/>
          <w:sz w:val="24"/>
          <w:szCs w:val="24"/>
        </w:rPr>
        <w:t xml:space="preserve">。內政部評估，綠建築對造價的影響不大，主要增加的成本在節能家電設備部分，且長期節省的能源費用將遠超初期投資 </w:t>
      </w:r>
      <w:r>
        <w:rPr>
          <w:rFonts w:ascii="Google Sans Text" w:eastAsia="Google Sans Text" w:hAnsi="Google Sans Text" w:cs="Google Sans Text"/>
          <w:color w:val="575B5F"/>
          <w:sz w:val="24"/>
          <w:szCs w:val="24"/>
          <w:vertAlign w:val="superscript"/>
        </w:rPr>
        <w:t>16</w:t>
      </w:r>
      <w:r>
        <w:rPr>
          <w:rFonts w:ascii="Google Sans Text" w:eastAsia="Google Sans Text" w:hAnsi="Google Sans Text" w:cs="Google Sans Text"/>
          <w:color w:val="1B1C1D"/>
          <w:sz w:val="24"/>
          <w:szCs w:val="24"/>
        </w:rPr>
        <w:t xml:space="preserve">。針對數量龐大的既有建築，政府初期將採鼓勵及獎補助方式推動，並擴大補助規模加速轉型 </w:t>
      </w:r>
      <w:r>
        <w:rPr>
          <w:rFonts w:ascii="Google Sans Text" w:eastAsia="Google Sans Text" w:hAnsi="Google Sans Text" w:cs="Google Sans Text"/>
          <w:color w:val="575B5F"/>
          <w:sz w:val="24"/>
          <w:szCs w:val="24"/>
          <w:vertAlign w:val="superscript"/>
        </w:rPr>
        <w:t>16</w:t>
      </w:r>
      <w:r>
        <w:rPr>
          <w:rFonts w:ascii="Google Sans Text" w:eastAsia="Google Sans Text" w:hAnsi="Google Sans Text" w:cs="Google Sans Text"/>
          <w:color w:val="1B1C1D"/>
          <w:sz w:val="24"/>
          <w:szCs w:val="24"/>
        </w:rPr>
        <w:t>。內政部2025年將強制民間新建建築符合能效規定，這代表綠色建築已從過去的市場利基轉變為行業的普遍標準。儘管政府評估成本影響不大，但這將驅動營造業者在設計、材料選用、施工工藝上進行全面升級。營造業者必須將淨零建築理念融入企業核心策略，投入資源進行技術研發、人才培訓（如EEWH認證專業人員）、並與綠色建材供應商建立長期合作關係。未能跟上此趨勢的業者將面臨市場競爭力下降和法規風險。這也將催生更多綠色建築相關的諮詢、設計和施工服務需求。</w:t>
      </w:r>
    </w:p>
    <w:p w14:paraId="0D2ABC89" w14:textId="77777777" w:rsidR="00380A7B"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 xml:space="preserve">其次是**《平均地權條例》修法對預售屋市場的影響**。該法規於2023年7月1日正式上路，其核心為「預售屋禁止換約轉售」，嚴格限縮轉售情形，並對炒作行為處以高額罰鍰 </w:t>
      </w:r>
      <w:r>
        <w:rPr>
          <w:rFonts w:ascii="Google Sans Text" w:eastAsia="Google Sans Text" w:hAnsi="Google Sans Text" w:cs="Google Sans Text"/>
          <w:color w:val="575B5F"/>
          <w:sz w:val="24"/>
          <w:szCs w:val="24"/>
          <w:vertAlign w:val="superscript"/>
        </w:rPr>
        <w:t>18</w:t>
      </w:r>
      <w:r>
        <w:rPr>
          <w:rFonts w:ascii="Google Sans Text" w:eastAsia="Google Sans Text" w:hAnsi="Google Sans Text" w:cs="Google Sans Text"/>
          <w:color w:val="1B1C1D"/>
          <w:sz w:val="24"/>
          <w:szCs w:val="24"/>
        </w:rPr>
        <w:t xml:space="preserve">。此舉旨在抑制投機炒作，使房市回歸居住本質。同時，修法也控管私法人購買住宅用房屋，限制登記完畢後5年內不得移轉 </w:t>
      </w:r>
      <w:r>
        <w:rPr>
          <w:rFonts w:ascii="Google Sans Text" w:eastAsia="Google Sans Text" w:hAnsi="Google Sans Text" w:cs="Google Sans Text"/>
          <w:color w:val="575B5F"/>
          <w:sz w:val="24"/>
          <w:szCs w:val="24"/>
          <w:vertAlign w:val="superscript"/>
        </w:rPr>
        <w:t>18</w:t>
      </w:r>
      <w:r>
        <w:rPr>
          <w:rFonts w:ascii="Google Sans Text" w:eastAsia="Google Sans Text" w:hAnsi="Google Sans Text" w:cs="Google Sans Text"/>
          <w:color w:val="1B1C1D"/>
          <w:sz w:val="24"/>
          <w:szCs w:val="24"/>
        </w:rPr>
        <w:t>。囤房稅2.0、房地合一稅強化、房貸緊縮以及《平均地權條例》對預售屋轉售的限制共同構成了政府對房市炒作的全面打擊。投資客的退場證明這些政策正在有效引導市場回歸理性。這意味著營造業者在住宅市場的策略必須轉向長期經營和品牌聲譽。合規經營、提升工程品質、保障消費者權益將成為核心競爭力。對於專業人員的管理和培養也將更加重要，以避免因人員流動或不合規行為而觸法。</w:t>
      </w:r>
    </w:p>
    <w:p w14:paraId="3B8F9196" w14:textId="77777777" w:rsidR="00380A7B"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 xml:space="preserve">再者是**《營造業法》相關規範與專業人員要求**。《營造業法》規範營造業的種類、專業人員資格（如專任工程人員、工地主任）及職責 </w:t>
      </w:r>
      <w:r>
        <w:rPr>
          <w:rFonts w:ascii="Google Sans Text" w:eastAsia="Google Sans Text" w:hAnsi="Google Sans Text" w:cs="Google Sans Text"/>
          <w:color w:val="575B5F"/>
          <w:sz w:val="24"/>
          <w:szCs w:val="24"/>
          <w:vertAlign w:val="superscript"/>
        </w:rPr>
        <w:t>22</w:t>
      </w:r>
      <w:r>
        <w:rPr>
          <w:rFonts w:ascii="Google Sans Text" w:eastAsia="Google Sans Text" w:hAnsi="Google Sans Text" w:cs="Google Sans Text"/>
          <w:color w:val="1B1C1D"/>
          <w:sz w:val="24"/>
          <w:szCs w:val="24"/>
        </w:rPr>
        <w:t xml:space="preserve">。對違規行為設有嚴格罰則，例如未經許可經營、使用他人證書、停業期間承攬工程等，可處高額罰鍰甚至廢止許可 </w:t>
      </w:r>
      <w:r>
        <w:rPr>
          <w:rFonts w:ascii="Google Sans Text" w:eastAsia="Google Sans Text" w:hAnsi="Google Sans Text" w:cs="Google Sans Text"/>
          <w:color w:val="575B5F"/>
          <w:sz w:val="24"/>
          <w:szCs w:val="24"/>
          <w:vertAlign w:val="superscript"/>
        </w:rPr>
        <w:t>22</w:t>
      </w:r>
      <w:r>
        <w:rPr>
          <w:rFonts w:ascii="Google Sans Text" w:eastAsia="Google Sans Text" w:hAnsi="Google Sans Text" w:cs="Google Sans Text"/>
          <w:color w:val="1B1C1D"/>
          <w:sz w:val="24"/>
          <w:szCs w:val="24"/>
        </w:rPr>
        <w:t>。專業人員的離職或無法執行業務時，營造業需即時報備並於三個月內另聘，否則將影響工程執</w:t>
      </w:r>
      <w:r>
        <w:rPr>
          <w:rFonts w:ascii="Google Sans Text" w:eastAsia="Google Sans Text" w:hAnsi="Google Sans Text" w:cs="Google Sans Text"/>
          <w:color w:val="1B1C1D"/>
          <w:sz w:val="24"/>
          <w:szCs w:val="24"/>
        </w:rPr>
        <w:lastRenderedPageBreak/>
        <w:t xml:space="preserve">行 </w:t>
      </w:r>
      <w:r>
        <w:rPr>
          <w:rFonts w:ascii="Google Sans Text" w:eastAsia="Google Sans Text" w:hAnsi="Google Sans Text" w:cs="Google Sans Text"/>
          <w:color w:val="575B5F"/>
          <w:sz w:val="24"/>
          <w:szCs w:val="24"/>
          <w:vertAlign w:val="superscript"/>
        </w:rPr>
        <w:t>22</w:t>
      </w:r>
      <w:r>
        <w:rPr>
          <w:rFonts w:ascii="Google Sans Text" w:eastAsia="Google Sans Text" w:hAnsi="Google Sans Text" w:cs="Google Sans Text"/>
          <w:color w:val="1B1C1D"/>
          <w:sz w:val="24"/>
          <w:szCs w:val="24"/>
        </w:rPr>
        <w:t>。這些規範強調了產業的專業性和合規性，促使業者更加重視內部管理和人才穩定。</w:t>
      </w:r>
    </w:p>
    <w:p w14:paraId="0DD0FBB7" w14:textId="77777777" w:rsidR="00380A7B"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最後，</w:t>
      </w:r>
      <w:r>
        <w:rPr>
          <w:rFonts w:ascii="Google Sans Text" w:eastAsia="Google Sans Text" w:hAnsi="Google Sans Text" w:cs="Google Sans Text"/>
          <w:b/>
          <w:color w:val="1B1C1D"/>
          <w:sz w:val="24"/>
          <w:szCs w:val="24"/>
        </w:rPr>
        <w:t>模組化建築相關法規</w:t>
      </w:r>
      <w:r>
        <w:rPr>
          <w:rFonts w:ascii="Google Sans Text" w:eastAsia="Google Sans Text" w:hAnsi="Google Sans Text" w:cs="Google Sans Text"/>
          <w:color w:val="1B1C1D"/>
          <w:sz w:val="24"/>
          <w:szCs w:val="24"/>
        </w:rPr>
        <w:t xml:space="preserve">的適應性也將是挑戰。台灣組合屋（模組化建築的一種應用）主要作為臨時建築使用，需申請臨時建築執照，期限1-3年，可延長 </w:t>
      </w:r>
      <w:r>
        <w:rPr>
          <w:rFonts w:ascii="Google Sans Text" w:eastAsia="Google Sans Text" w:hAnsi="Google Sans Text" w:cs="Google Sans Text"/>
          <w:color w:val="575B5F"/>
          <w:sz w:val="24"/>
          <w:szCs w:val="24"/>
          <w:vertAlign w:val="superscript"/>
        </w:rPr>
        <w:t>23</w:t>
      </w:r>
      <w:r>
        <w:rPr>
          <w:rFonts w:ascii="Google Sans Text" w:eastAsia="Google Sans Text" w:hAnsi="Google Sans Text" w:cs="Google Sans Text"/>
          <w:color w:val="1B1C1D"/>
          <w:sz w:val="24"/>
          <w:szCs w:val="24"/>
        </w:rPr>
        <w:t xml:space="preserve">。需符合《建築法》結構安全、防火等規定，並有簷高、容積率、建蔽率等限制，一般建議蓋在兩層樓以內以保障結構穩定 </w:t>
      </w:r>
      <w:r>
        <w:rPr>
          <w:rFonts w:ascii="Google Sans Text" w:eastAsia="Google Sans Text" w:hAnsi="Google Sans Text" w:cs="Google Sans Text"/>
          <w:color w:val="575B5F"/>
          <w:sz w:val="24"/>
          <w:szCs w:val="24"/>
          <w:vertAlign w:val="superscript"/>
        </w:rPr>
        <w:t>23</w:t>
      </w:r>
      <w:r>
        <w:rPr>
          <w:rFonts w:ascii="Google Sans Text" w:eastAsia="Google Sans Text" w:hAnsi="Google Sans Text" w:cs="Google Sans Text"/>
          <w:color w:val="1B1C1D"/>
          <w:sz w:val="24"/>
          <w:szCs w:val="24"/>
        </w:rPr>
        <w:t xml:space="preserve">。模組化建築被視為提升效率和應對缺工的潛力技術 </w:t>
      </w:r>
      <w:r>
        <w:rPr>
          <w:rFonts w:ascii="Google Sans Text" w:eastAsia="Google Sans Text" w:hAnsi="Google Sans Text" w:cs="Google Sans Text"/>
          <w:color w:val="575B5F"/>
          <w:sz w:val="24"/>
          <w:szCs w:val="24"/>
          <w:vertAlign w:val="superscript"/>
        </w:rPr>
        <w:t>24</w:t>
      </w:r>
      <w:r>
        <w:rPr>
          <w:rFonts w:ascii="Google Sans Text" w:eastAsia="Google Sans Text" w:hAnsi="Google Sans Text" w:cs="Google Sans Text"/>
          <w:color w:val="1B1C1D"/>
          <w:sz w:val="24"/>
          <w:szCs w:val="24"/>
        </w:rPr>
        <w:t xml:space="preserve">，但現行法規對其主要定位為「臨時建築」，並有高度和使用年限的限制 </w:t>
      </w:r>
      <w:r>
        <w:rPr>
          <w:rFonts w:ascii="Google Sans Text" w:eastAsia="Google Sans Text" w:hAnsi="Google Sans Text" w:cs="Google Sans Text"/>
          <w:color w:val="575B5F"/>
          <w:sz w:val="24"/>
          <w:szCs w:val="24"/>
          <w:vertAlign w:val="superscript"/>
        </w:rPr>
        <w:t>23</w:t>
      </w:r>
      <w:r>
        <w:rPr>
          <w:rFonts w:ascii="Google Sans Text" w:eastAsia="Google Sans Text" w:hAnsi="Google Sans Text" w:cs="Google Sans Text"/>
          <w:color w:val="1B1C1D"/>
          <w:sz w:val="24"/>
          <w:szCs w:val="24"/>
        </w:rPr>
        <w:t>。這顯示技術發展與法規之間存在脫節。若要充分發揮模組化建築在永久性建築（如社會住宅、商業建築）中的潛力，台灣的建築法規需要進行更全面的修訂，以適應其預製化、快速組裝的特性，並明確其結構安全、消防、耐久性等標準。營造業者和相關協會應積極與政府溝通，推動法規的現代化，以釋放模組化建築的市場潛力。</w:t>
      </w:r>
    </w:p>
    <w:p w14:paraId="25555541" w14:textId="77777777" w:rsidR="00380A7B" w:rsidRDefault="00380A7B">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p>
    <w:p w14:paraId="55B453D0" w14:textId="77777777" w:rsidR="00380A7B" w:rsidRDefault="00000000">
      <w:pPr>
        <w:pStyle w:val="2"/>
        <w:spacing w:before="0" w:after="120" w:line="275" w:lineRule="auto"/>
        <w:rPr>
          <w:rFonts w:ascii="Google Sans" w:eastAsia="Google Sans" w:hAnsi="Google Sans" w:cs="Google Sans"/>
          <w:color w:val="1B1C1D"/>
          <w:sz w:val="30"/>
          <w:szCs w:val="30"/>
        </w:rPr>
      </w:pPr>
      <w:r>
        <w:rPr>
          <w:rFonts w:ascii="Google Sans" w:eastAsia="Google Sans" w:hAnsi="Google Sans" w:cs="Google Sans"/>
          <w:color w:val="1B1C1D"/>
          <w:sz w:val="30"/>
          <w:szCs w:val="30"/>
        </w:rPr>
        <w:t>V. 營造產業的創新與永續發展</w:t>
      </w:r>
    </w:p>
    <w:p w14:paraId="02002B0F" w14:textId="77777777" w:rsidR="00380A7B" w:rsidRDefault="00380A7B">
      <w:pPr>
        <w:pBdr>
          <w:top w:val="nil"/>
          <w:left w:val="nil"/>
          <w:bottom w:val="nil"/>
          <w:right w:val="nil"/>
          <w:between w:val="nil"/>
        </w:pBdr>
        <w:spacing w:after="240" w:line="275" w:lineRule="auto"/>
        <w:rPr>
          <w:rFonts w:ascii="Google Sans" w:eastAsia="Google Sans" w:hAnsi="Google Sans" w:cs="Google Sans"/>
          <w:b/>
          <w:color w:val="1B1C1D"/>
          <w:sz w:val="30"/>
          <w:szCs w:val="30"/>
        </w:rPr>
      </w:pPr>
    </w:p>
    <w:p w14:paraId="5B807F6B" w14:textId="77777777" w:rsidR="00380A7B" w:rsidRDefault="00380A7B">
      <w:pPr>
        <w:pBdr>
          <w:top w:val="nil"/>
          <w:left w:val="nil"/>
          <w:bottom w:val="nil"/>
          <w:right w:val="nil"/>
          <w:between w:val="nil"/>
        </w:pBdr>
        <w:spacing w:after="240" w:line="275" w:lineRule="auto"/>
        <w:rPr>
          <w:rFonts w:ascii="Google Sans" w:eastAsia="Google Sans" w:hAnsi="Google Sans" w:cs="Google Sans"/>
          <w:b/>
          <w:color w:val="1B1C1D"/>
          <w:sz w:val="30"/>
          <w:szCs w:val="30"/>
        </w:rPr>
      </w:pPr>
    </w:p>
    <w:p w14:paraId="6BA502B7" w14:textId="77777777" w:rsidR="00380A7B" w:rsidRDefault="00000000">
      <w:pPr>
        <w:pStyle w:val="3"/>
        <w:spacing w:before="0" w:after="120" w:line="275" w:lineRule="auto"/>
        <w:rPr>
          <w:rFonts w:ascii="Google Sans" w:eastAsia="Google Sans" w:hAnsi="Google Sans" w:cs="Google Sans"/>
          <w:color w:val="1B1C1D"/>
          <w:sz w:val="24"/>
          <w:szCs w:val="24"/>
        </w:rPr>
      </w:pPr>
      <w:r>
        <w:rPr>
          <w:rFonts w:ascii="Google Sans" w:eastAsia="Google Sans" w:hAnsi="Google Sans" w:cs="Google Sans"/>
          <w:color w:val="1B1C1D"/>
          <w:sz w:val="24"/>
          <w:szCs w:val="24"/>
        </w:rPr>
        <w:t>A. 智慧營造與數位轉型</w:t>
      </w:r>
    </w:p>
    <w:p w14:paraId="346604F7" w14:textId="77777777" w:rsidR="00380A7B" w:rsidRDefault="00380A7B">
      <w:pPr>
        <w:pBdr>
          <w:top w:val="nil"/>
          <w:left w:val="nil"/>
          <w:bottom w:val="nil"/>
          <w:right w:val="nil"/>
          <w:between w:val="nil"/>
        </w:pBdr>
        <w:spacing w:after="240" w:line="275" w:lineRule="auto"/>
        <w:rPr>
          <w:rFonts w:ascii="Google Sans" w:eastAsia="Google Sans" w:hAnsi="Google Sans" w:cs="Google Sans"/>
          <w:b/>
          <w:color w:val="1B1C1D"/>
          <w:sz w:val="24"/>
          <w:szCs w:val="24"/>
        </w:rPr>
      </w:pPr>
    </w:p>
    <w:p w14:paraId="48D95384" w14:textId="77777777" w:rsidR="00380A7B"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 xml:space="preserve">2025年將是台灣營造產業加速數位轉型，邁向智慧營造的關鍵一年。公共工程將全面導入建築資訊模型（BIM）與土木資訊模型（CIM），營建署近年積極推動數位轉型，許多大型公共建設案已納入BIM模型建置與審查流程，並要求投標業者具備基本資訊整合能力 </w:t>
      </w:r>
      <w:r>
        <w:rPr>
          <w:rFonts w:ascii="Google Sans Text" w:eastAsia="Google Sans Text" w:hAnsi="Google Sans Text" w:cs="Google Sans Text"/>
          <w:color w:val="575B5F"/>
          <w:sz w:val="24"/>
          <w:szCs w:val="24"/>
          <w:vertAlign w:val="superscript"/>
        </w:rPr>
        <w:t>21</w:t>
      </w:r>
      <w:r>
        <w:rPr>
          <w:rFonts w:ascii="Google Sans Text" w:eastAsia="Google Sans Text" w:hAnsi="Google Sans Text" w:cs="Google Sans Text"/>
          <w:color w:val="1B1C1D"/>
          <w:sz w:val="24"/>
          <w:szCs w:val="24"/>
        </w:rPr>
        <w:t>。</w:t>
      </w:r>
    </w:p>
    <w:p w14:paraId="5465DC59" w14:textId="77777777" w:rsidR="00380A7B"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 xml:space="preserve">數位工具已成為現場效率與競爭力的關鍵來源。AI、感測器、無人機、工地物聯網（IoT）平台等技術正改變傳統營建現場的運作模式 </w:t>
      </w:r>
      <w:r>
        <w:rPr>
          <w:rFonts w:ascii="Google Sans Text" w:eastAsia="Google Sans Text" w:hAnsi="Google Sans Text" w:cs="Google Sans Text"/>
          <w:color w:val="575B5F"/>
          <w:sz w:val="24"/>
          <w:szCs w:val="24"/>
          <w:vertAlign w:val="superscript"/>
        </w:rPr>
        <w:t>21</w:t>
      </w:r>
      <w:r>
        <w:rPr>
          <w:rFonts w:ascii="Google Sans Text" w:eastAsia="Google Sans Text" w:hAnsi="Google Sans Text" w:cs="Google Sans Text"/>
          <w:color w:val="1B1C1D"/>
          <w:sz w:val="24"/>
          <w:szCs w:val="24"/>
        </w:rPr>
        <w:t xml:space="preserve">。這些技術的應用範圍廣泛，包括施工進度追蹤、天候預警、工安偵測，到文件自動化生成與合約風險預測 </w:t>
      </w:r>
      <w:r>
        <w:rPr>
          <w:rFonts w:ascii="Google Sans Text" w:eastAsia="Google Sans Text" w:hAnsi="Google Sans Text" w:cs="Google Sans Text"/>
          <w:color w:val="575B5F"/>
          <w:sz w:val="24"/>
          <w:szCs w:val="24"/>
          <w:vertAlign w:val="superscript"/>
        </w:rPr>
        <w:t>21</w:t>
      </w:r>
      <w:r>
        <w:rPr>
          <w:rFonts w:ascii="Google Sans Text" w:eastAsia="Google Sans Text" w:hAnsi="Google Sans Text" w:cs="Google Sans Text"/>
          <w:color w:val="1B1C1D"/>
          <w:sz w:val="24"/>
          <w:szCs w:val="24"/>
        </w:rPr>
        <w:t xml:space="preserve">。智慧工地不僅能提升整體施工效率，也讓工程管理從過往的紙本與人工紀錄，轉向即時、可視化、可預測的數位模式 </w:t>
      </w:r>
      <w:r>
        <w:rPr>
          <w:rFonts w:ascii="Google Sans Text" w:eastAsia="Google Sans Text" w:hAnsi="Google Sans Text" w:cs="Google Sans Text"/>
          <w:color w:val="575B5F"/>
          <w:sz w:val="24"/>
          <w:szCs w:val="24"/>
          <w:vertAlign w:val="superscript"/>
        </w:rPr>
        <w:t>21</w:t>
      </w:r>
      <w:r>
        <w:rPr>
          <w:rFonts w:ascii="Google Sans Text" w:eastAsia="Google Sans Text" w:hAnsi="Google Sans Text" w:cs="Google Sans Text"/>
          <w:color w:val="1B1C1D"/>
          <w:sz w:val="24"/>
          <w:szCs w:val="24"/>
        </w:rPr>
        <w:t>。</w:t>
      </w:r>
    </w:p>
    <w:p w14:paraId="62C323A9" w14:textId="77777777" w:rsidR="00380A7B"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 xml:space="preserve">數位轉型是應對缺工與提升效率的根本解方。營造業面臨嚴峻的缺工問題和勞務成本壓力 </w:t>
      </w:r>
      <w:r>
        <w:rPr>
          <w:rFonts w:ascii="Google Sans Text" w:eastAsia="Google Sans Text" w:hAnsi="Google Sans Text" w:cs="Google Sans Text"/>
          <w:color w:val="575B5F"/>
          <w:sz w:val="24"/>
          <w:szCs w:val="24"/>
          <w:vertAlign w:val="superscript"/>
        </w:rPr>
        <w:t>2</w:t>
      </w:r>
      <w:r>
        <w:rPr>
          <w:rFonts w:ascii="Google Sans Text" w:eastAsia="Google Sans Text" w:hAnsi="Google Sans Text" w:cs="Google Sans Text"/>
          <w:color w:val="1B1C1D"/>
          <w:sz w:val="24"/>
          <w:szCs w:val="24"/>
        </w:rPr>
        <w:t xml:space="preserve">。BIM/CIM的全面導入、AI、IoT等技術的應用 </w:t>
      </w:r>
      <w:r>
        <w:rPr>
          <w:rFonts w:ascii="Google Sans Text" w:eastAsia="Google Sans Text" w:hAnsi="Google Sans Text" w:cs="Google Sans Text"/>
          <w:color w:val="575B5F"/>
          <w:sz w:val="24"/>
          <w:szCs w:val="24"/>
          <w:vertAlign w:val="superscript"/>
        </w:rPr>
        <w:t>21</w:t>
      </w:r>
      <w:r>
        <w:rPr>
          <w:rFonts w:ascii="Google Sans Text" w:eastAsia="Google Sans Text" w:hAnsi="Google Sans Text" w:cs="Google Sans Text"/>
          <w:color w:val="1B1C1D"/>
          <w:sz w:val="24"/>
          <w:szCs w:val="24"/>
        </w:rPr>
        <w:t xml:space="preserve"> 直接指向提升施工效率、優化資源配置和減少對人力的依賴。因此，數位化投資不再是可選的「錦上添花」，而是必須的「雪中送炭」。營造業者應將數位轉型視為戰略優先，不僅投入軟硬體，更要培養具備數位技</w:t>
      </w:r>
      <w:r>
        <w:rPr>
          <w:rFonts w:ascii="Google Sans Text" w:eastAsia="Google Sans Text" w:hAnsi="Google Sans Text" w:cs="Google Sans Text"/>
          <w:color w:val="1B1C1D"/>
          <w:sz w:val="24"/>
          <w:szCs w:val="24"/>
        </w:rPr>
        <w:lastRenderedPageBreak/>
        <w:t>能的人才，並重塑組織文化，從根本上改變傳統的作業模式。這將是決定企業未來競爭力的關鍵。</w:t>
      </w:r>
    </w:p>
    <w:p w14:paraId="733C08B9" w14:textId="77777777" w:rsidR="00380A7B"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 xml:space="preserve">此外，傳統三段式「設計－監造－施工」制度已難以因應當前多變且緊湊的建設需求。整合型契約模式如EPC（設計採購施工總包）與D&amp;B（設計施工整合）正逐漸取代傳統模式，強化專案進度與品質控管，促進設計與施工團隊協作 </w:t>
      </w:r>
      <w:r>
        <w:rPr>
          <w:rFonts w:ascii="Google Sans Text" w:eastAsia="Google Sans Text" w:hAnsi="Google Sans Text" w:cs="Google Sans Text"/>
          <w:color w:val="575B5F"/>
          <w:sz w:val="24"/>
          <w:szCs w:val="24"/>
          <w:vertAlign w:val="superscript"/>
        </w:rPr>
        <w:t>21</w:t>
      </w:r>
      <w:r>
        <w:rPr>
          <w:rFonts w:ascii="Google Sans Text" w:eastAsia="Google Sans Text" w:hAnsi="Google Sans Text" w:cs="Google Sans Text"/>
          <w:color w:val="1B1C1D"/>
          <w:sz w:val="24"/>
          <w:szCs w:val="24"/>
        </w:rPr>
        <w:t xml:space="preserve">。數位能力將是未來工程師不可或缺的職能之一 </w:t>
      </w:r>
      <w:r>
        <w:rPr>
          <w:rFonts w:ascii="Google Sans Text" w:eastAsia="Google Sans Text" w:hAnsi="Google Sans Text" w:cs="Google Sans Text"/>
          <w:color w:val="575B5F"/>
          <w:sz w:val="24"/>
          <w:szCs w:val="24"/>
          <w:vertAlign w:val="superscript"/>
        </w:rPr>
        <w:t>21</w:t>
      </w:r>
      <w:r>
        <w:rPr>
          <w:rFonts w:ascii="Google Sans Text" w:eastAsia="Google Sans Text" w:hAnsi="Google Sans Text" w:cs="Google Sans Text"/>
          <w:color w:val="1B1C1D"/>
          <w:sz w:val="24"/>
          <w:szCs w:val="24"/>
        </w:rPr>
        <w:t>。EPC和D&amp;B模式的興起反映了產業對效率和風險控制的需求。這些模式要求設計、採購、施工各環節的緊密協作，而非傳統的分段發包。這將促使營造業者向提供整合服務的總承包商轉型，具備從設計到施工的全鏈條管理能力。這也可能推動產業鏈上下游企業之間的併購或策略聯盟，以提供更全面的解決方案，從而提升整體產業的效率和專業化水平。</w:t>
      </w:r>
    </w:p>
    <w:p w14:paraId="6127847C" w14:textId="77777777" w:rsidR="00380A7B" w:rsidRDefault="00380A7B">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p>
    <w:p w14:paraId="44127CD0" w14:textId="77777777" w:rsidR="00380A7B" w:rsidRDefault="00000000">
      <w:pPr>
        <w:pStyle w:val="3"/>
        <w:spacing w:before="0" w:after="120" w:line="275" w:lineRule="auto"/>
        <w:rPr>
          <w:rFonts w:ascii="Google Sans" w:eastAsia="Google Sans" w:hAnsi="Google Sans" w:cs="Google Sans"/>
          <w:color w:val="1B1C1D"/>
          <w:sz w:val="24"/>
          <w:szCs w:val="24"/>
        </w:rPr>
      </w:pPr>
      <w:r>
        <w:rPr>
          <w:rFonts w:ascii="Google Sans" w:eastAsia="Google Sans" w:hAnsi="Google Sans" w:cs="Google Sans"/>
          <w:color w:val="1B1C1D"/>
          <w:sz w:val="24"/>
          <w:szCs w:val="24"/>
        </w:rPr>
        <w:t>B. 綠色建築與永續材料</w:t>
      </w:r>
    </w:p>
    <w:p w14:paraId="144B0365" w14:textId="77777777" w:rsidR="00380A7B" w:rsidRDefault="00380A7B">
      <w:pPr>
        <w:pBdr>
          <w:top w:val="nil"/>
          <w:left w:val="nil"/>
          <w:bottom w:val="nil"/>
          <w:right w:val="nil"/>
          <w:between w:val="nil"/>
        </w:pBdr>
        <w:spacing w:after="240" w:line="275" w:lineRule="auto"/>
        <w:rPr>
          <w:rFonts w:ascii="Google Sans" w:eastAsia="Google Sans" w:hAnsi="Google Sans" w:cs="Google Sans"/>
          <w:b/>
          <w:color w:val="1B1C1D"/>
          <w:sz w:val="24"/>
          <w:szCs w:val="24"/>
        </w:rPr>
      </w:pPr>
    </w:p>
    <w:p w14:paraId="1CCDE647" w14:textId="77777777" w:rsidR="00380A7B"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 xml:space="preserve">綠色建築與永續發展已成為台灣營造產業不可逆轉的趨勢。EEWH是台灣獨特的綠建築認證系統，專為亞熱帶氣候設計 </w:t>
      </w:r>
      <w:r>
        <w:rPr>
          <w:rFonts w:ascii="Google Sans Text" w:eastAsia="Google Sans Text" w:hAnsi="Google Sans Text" w:cs="Google Sans Text"/>
          <w:color w:val="575B5F"/>
          <w:sz w:val="24"/>
          <w:szCs w:val="24"/>
          <w:vertAlign w:val="superscript"/>
        </w:rPr>
        <w:t>25</w:t>
      </w:r>
      <w:r>
        <w:rPr>
          <w:rFonts w:ascii="Google Sans Text" w:eastAsia="Google Sans Text" w:hAnsi="Google Sans Text" w:cs="Google Sans Text"/>
          <w:color w:val="1B1C1D"/>
          <w:sz w:val="24"/>
          <w:szCs w:val="24"/>
        </w:rPr>
        <w:t xml:space="preserve">。取得EEWH認證的建築可享受容積獎勵（最高15%）、稅收減免等政策優惠，並能節約能源25-30%、水費30-40%，同時提高資產價值10-15%及租金收益 </w:t>
      </w:r>
      <w:r>
        <w:rPr>
          <w:rFonts w:ascii="Google Sans Text" w:eastAsia="Google Sans Text" w:hAnsi="Google Sans Text" w:cs="Google Sans Text"/>
          <w:color w:val="575B5F"/>
          <w:sz w:val="24"/>
          <w:szCs w:val="24"/>
          <w:vertAlign w:val="superscript"/>
        </w:rPr>
        <w:t>26</w:t>
      </w:r>
      <w:r>
        <w:rPr>
          <w:rFonts w:ascii="Google Sans Text" w:eastAsia="Google Sans Text" w:hAnsi="Google Sans Text" w:cs="Google Sans Text"/>
          <w:color w:val="1B1C1D"/>
          <w:sz w:val="24"/>
          <w:szCs w:val="24"/>
        </w:rPr>
        <w:t>。</w:t>
      </w:r>
    </w:p>
    <w:p w14:paraId="2207E831" w14:textId="77777777" w:rsidR="00380A7B"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 xml:space="preserve">未來EEWH的發展趨勢將更加全面，包括：碳中和導向（注重建築全生命週期的碳排放評估，預計新增「碳中和」指標，鼓勵低碳材料、零碳能源和碳補償措施） </w:t>
      </w:r>
      <w:r>
        <w:rPr>
          <w:rFonts w:ascii="Google Sans Text" w:eastAsia="Google Sans Text" w:hAnsi="Google Sans Text" w:cs="Google Sans Text"/>
          <w:color w:val="575B5F"/>
          <w:sz w:val="24"/>
          <w:szCs w:val="24"/>
          <w:vertAlign w:val="superscript"/>
        </w:rPr>
        <w:t>26</w:t>
      </w:r>
      <w:r>
        <w:rPr>
          <w:rFonts w:ascii="Google Sans Text" w:eastAsia="Google Sans Text" w:hAnsi="Google Sans Text" w:cs="Google Sans Text"/>
          <w:color w:val="1B1C1D"/>
          <w:sz w:val="24"/>
          <w:szCs w:val="24"/>
        </w:rPr>
        <w:t xml:space="preserve">；智慧化整合（與物聯網、AI融合，提升智能能源管理） </w:t>
      </w:r>
      <w:r>
        <w:rPr>
          <w:rFonts w:ascii="Google Sans Text" w:eastAsia="Google Sans Text" w:hAnsi="Google Sans Text" w:cs="Google Sans Text"/>
          <w:color w:val="575B5F"/>
          <w:sz w:val="24"/>
          <w:szCs w:val="24"/>
          <w:vertAlign w:val="superscript"/>
        </w:rPr>
        <w:t>26</w:t>
      </w:r>
      <w:r>
        <w:rPr>
          <w:rFonts w:ascii="Google Sans Text" w:eastAsia="Google Sans Text" w:hAnsi="Google Sans Text" w:cs="Google Sans Text"/>
          <w:color w:val="1B1C1D"/>
          <w:sz w:val="24"/>
          <w:szCs w:val="24"/>
        </w:rPr>
        <w:t xml:space="preserve">；韌性建築（應對極端天氣，強化抗洪、抗颱、抗高溫能力） </w:t>
      </w:r>
      <w:r>
        <w:rPr>
          <w:rFonts w:ascii="Google Sans Text" w:eastAsia="Google Sans Text" w:hAnsi="Google Sans Text" w:cs="Google Sans Text"/>
          <w:color w:val="575B5F"/>
          <w:sz w:val="24"/>
          <w:szCs w:val="24"/>
          <w:vertAlign w:val="superscript"/>
        </w:rPr>
        <w:t>26</w:t>
      </w:r>
      <w:r>
        <w:rPr>
          <w:rFonts w:ascii="Google Sans Text" w:eastAsia="Google Sans Text" w:hAnsi="Google Sans Text" w:cs="Google Sans Text"/>
          <w:color w:val="1B1C1D"/>
          <w:sz w:val="24"/>
          <w:szCs w:val="24"/>
        </w:rPr>
        <w:t xml:space="preserve">；健康導向強化（提升室內空氣品質、病原體防護、精神健康支持） </w:t>
      </w:r>
      <w:r>
        <w:rPr>
          <w:rFonts w:ascii="Google Sans Text" w:eastAsia="Google Sans Text" w:hAnsi="Google Sans Text" w:cs="Google Sans Text"/>
          <w:color w:val="575B5F"/>
          <w:sz w:val="24"/>
          <w:szCs w:val="24"/>
          <w:vertAlign w:val="superscript"/>
        </w:rPr>
        <w:t>26</w:t>
      </w:r>
      <w:r>
        <w:rPr>
          <w:rFonts w:ascii="Google Sans Text" w:eastAsia="Google Sans Text" w:hAnsi="Google Sans Text" w:cs="Google Sans Text"/>
          <w:color w:val="1B1C1D"/>
          <w:sz w:val="24"/>
          <w:szCs w:val="24"/>
        </w:rPr>
        <w:t xml:space="preserve">；國際化與本土化平衡；以及評估技術創新（引入BIM、數位孿生進行自動評估與模擬） </w:t>
      </w:r>
      <w:r>
        <w:rPr>
          <w:rFonts w:ascii="Google Sans Text" w:eastAsia="Google Sans Text" w:hAnsi="Google Sans Text" w:cs="Google Sans Text"/>
          <w:color w:val="575B5F"/>
          <w:sz w:val="24"/>
          <w:szCs w:val="24"/>
          <w:vertAlign w:val="superscript"/>
        </w:rPr>
        <w:t>25</w:t>
      </w:r>
      <w:r>
        <w:rPr>
          <w:rFonts w:ascii="Google Sans Text" w:eastAsia="Google Sans Text" w:hAnsi="Google Sans Text" w:cs="Google Sans Text"/>
          <w:color w:val="1B1C1D"/>
          <w:sz w:val="24"/>
          <w:szCs w:val="24"/>
        </w:rPr>
        <w:t>。</w:t>
      </w:r>
    </w:p>
    <w:p w14:paraId="246374B2" w14:textId="77777777" w:rsidR="00380A7B"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 xml:space="preserve">淨零建築的強制性法規 </w:t>
      </w:r>
      <w:r>
        <w:rPr>
          <w:rFonts w:ascii="Google Sans Text" w:eastAsia="Google Sans Text" w:hAnsi="Google Sans Text" w:cs="Google Sans Text"/>
          <w:color w:val="575B5F"/>
          <w:sz w:val="24"/>
          <w:szCs w:val="24"/>
          <w:vertAlign w:val="superscript"/>
        </w:rPr>
        <w:t>16</w:t>
      </w:r>
      <w:r>
        <w:rPr>
          <w:rFonts w:ascii="Google Sans Text" w:eastAsia="Google Sans Text" w:hAnsi="Google Sans Text" w:cs="Google Sans Text"/>
          <w:color w:val="1B1C1D"/>
          <w:sz w:val="24"/>
          <w:szCs w:val="24"/>
        </w:rPr>
        <w:t xml:space="preserve"> 和EEWH認證的趨勢演變 </w:t>
      </w:r>
      <w:r>
        <w:rPr>
          <w:rFonts w:ascii="Google Sans Text" w:eastAsia="Google Sans Text" w:hAnsi="Google Sans Text" w:cs="Google Sans Text"/>
          <w:color w:val="575B5F"/>
          <w:sz w:val="24"/>
          <w:szCs w:val="24"/>
          <w:vertAlign w:val="superscript"/>
        </w:rPr>
        <w:t>25</w:t>
      </w:r>
      <w:r>
        <w:rPr>
          <w:rFonts w:ascii="Google Sans Text" w:eastAsia="Google Sans Text" w:hAnsi="Google Sans Text" w:cs="Google Sans Text"/>
          <w:color w:val="1B1C1D"/>
          <w:sz w:val="24"/>
          <w:szCs w:val="24"/>
        </w:rPr>
        <w:t xml:space="preserve"> 表明，綠色建築已從過去的市場利基轉變為行業的普遍標準。EEWH未來將整合碳中和、智慧化、韌性、健康等多維度指標，顯示綠色建築的內涵正在深化和擴展。營造業者必須將綠色建築的理念融入從設計、材料採購到施工和運營的全生命週期管理中。這不僅是技術挑戰，更是商業模式的轉變，需要建立跨專業的綠色供應鏈合作夥伴關係，並培養具備多重綠色技能的專業人才。</w:t>
      </w:r>
    </w:p>
    <w:p w14:paraId="1680A2CA" w14:textId="77777777" w:rsidR="00380A7B"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 xml:space="preserve">隨著全球氣候變遷和台灣2050淨零排放目標的推進，建築的碳中和導向和全生命週期碳排放評估變得日益重要。建築碳盤查已成為政府補助與案場投標的標準條件，台灣、美國、歐盟均積極推動建材碳標籤制度，以提高透明度和認知度 </w:t>
      </w:r>
      <w:r>
        <w:rPr>
          <w:rFonts w:ascii="Google Sans Text" w:eastAsia="Google Sans Text" w:hAnsi="Google Sans Text" w:cs="Google Sans Text"/>
          <w:color w:val="575B5F"/>
          <w:sz w:val="24"/>
          <w:szCs w:val="24"/>
          <w:vertAlign w:val="superscript"/>
        </w:rPr>
        <w:t>24</w:t>
      </w:r>
      <w:r>
        <w:rPr>
          <w:rFonts w:ascii="Google Sans Text" w:eastAsia="Google Sans Text" w:hAnsi="Google Sans Text" w:cs="Google Sans Text"/>
          <w:color w:val="1B1C1D"/>
          <w:sz w:val="24"/>
          <w:szCs w:val="24"/>
        </w:rPr>
        <w:t>。</w:t>
      </w:r>
    </w:p>
    <w:p w14:paraId="5FF1D5DB" w14:textId="77777777" w:rsidR="00380A7B"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lastRenderedPageBreak/>
        <w:t xml:space="preserve">在永續建材應用方面，2025年綠色建材不再只是選配，而是未來建築的核心標準 </w:t>
      </w:r>
      <w:r>
        <w:rPr>
          <w:rFonts w:ascii="Google Sans Text" w:eastAsia="Google Sans Text" w:hAnsi="Google Sans Text" w:cs="Google Sans Text"/>
          <w:color w:val="575B5F"/>
          <w:sz w:val="24"/>
          <w:szCs w:val="24"/>
          <w:vertAlign w:val="superscript"/>
        </w:rPr>
        <w:t>24</w:t>
      </w:r>
      <w:r>
        <w:rPr>
          <w:rFonts w:ascii="Google Sans Text" w:eastAsia="Google Sans Text" w:hAnsi="Google Sans Text" w:cs="Google Sans Text"/>
          <w:color w:val="1B1C1D"/>
          <w:sz w:val="24"/>
          <w:szCs w:val="24"/>
        </w:rPr>
        <w:t xml:space="preserve">。建築師與業主開始重視低碳足跡與全生命週期管理（LCA） </w:t>
      </w:r>
      <w:r>
        <w:rPr>
          <w:rFonts w:ascii="Google Sans Text" w:eastAsia="Google Sans Text" w:hAnsi="Google Sans Text" w:cs="Google Sans Text"/>
          <w:color w:val="575B5F"/>
          <w:sz w:val="24"/>
          <w:szCs w:val="24"/>
          <w:vertAlign w:val="superscript"/>
        </w:rPr>
        <w:t>24</w:t>
      </w:r>
      <w:r>
        <w:rPr>
          <w:rFonts w:ascii="Google Sans Text" w:eastAsia="Google Sans Text" w:hAnsi="Google Sans Text" w:cs="Google Sans Text"/>
          <w:color w:val="1B1C1D"/>
          <w:sz w:val="24"/>
          <w:szCs w:val="24"/>
        </w:rPr>
        <w:t xml:space="preserve">。再生材料（如回收塑料製成的牆板、重組木材）、高效隔熱材料（如氣凝膠、真空隔熱板）、環保標章建材（如FSC認證木材、低VOC塗料）成為市場熱門選項 </w:t>
      </w:r>
      <w:r>
        <w:rPr>
          <w:rFonts w:ascii="Google Sans Text" w:eastAsia="Google Sans Text" w:hAnsi="Google Sans Text" w:cs="Google Sans Text"/>
          <w:color w:val="575B5F"/>
          <w:sz w:val="24"/>
          <w:szCs w:val="24"/>
          <w:vertAlign w:val="superscript"/>
        </w:rPr>
        <w:t>24</w:t>
      </w:r>
      <w:r>
        <w:rPr>
          <w:rFonts w:ascii="Google Sans Text" w:eastAsia="Google Sans Text" w:hAnsi="Google Sans Text" w:cs="Google Sans Text"/>
          <w:color w:val="1B1C1D"/>
          <w:sz w:val="24"/>
          <w:szCs w:val="24"/>
        </w:rPr>
        <w:t xml:space="preserve">。此外，智慧建材（如調光玻璃、自潔建材、感應式地板/牆面）也是一大亮點，這些材料能夠感測、反應甚至自我調節，是未來智慧住宅與辦公空間的關鍵元素 </w:t>
      </w:r>
      <w:r>
        <w:rPr>
          <w:rFonts w:ascii="Google Sans Text" w:eastAsia="Google Sans Text" w:hAnsi="Google Sans Text" w:cs="Google Sans Text"/>
          <w:color w:val="575B5F"/>
          <w:sz w:val="24"/>
          <w:szCs w:val="24"/>
          <w:vertAlign w:val="superscript"/>
        </w:rPr>
        <w:t>24</w:t>
      </w:r>
      <w:r>
        <w:rPr>
          <w:rFonts w:ascii="Google Sans Text" w:eastAsia="Google Sans Text" w:hAnsi="Google Sans Text" w:cs="Google Sans Text"/>
          <w:color w:val="1B1C1D"/>
          <w:sz w:val="24"/>
          <w:szCs w:val="24"/>
        </w:rPr>
        <w:t xml:space="preserve">。隨著低碳足跡、LCA和碳標籤制度的推動 </w:t>
      </w:r>
      <w:r>
        <w:rPr>
          <w:rFonts w:ascii="Google Sans Text" w:eastAsia="Google Sans Text" w:hAnsi="Google Sans Text" w:cs="Google Sans Text"/>
          <w:color w:val="575B5F"/>
          <w:sz w:val="24"/>
          <w:szCs w:val="24"/>
          <w:vertAlign w:val="superscript"/>
        </w:rPr>
        <w:t>24</w:t>
      </w:r>
      <w:r>
        <w:rPr>
          <w:rFonts w:ascii="Google Sans Text" w:eastAsia="Google Sans Text" w:hAnsi="Google Sans Text" w:cs="Google Sans Text"/>
          <w:color w:val="1B1C1D"/>
          <w:sz w:val="24"/>
          <w:szCs w:val="24"/>
        </w:rPr>
        <w:t>，對再生材料、高效隔熱材料和智慧建材的需求將大幅增加。這將刺激建材供應商進行產品創新和技術升級。營造業者在材料選擇上將有更多元、更環保的選項，但也需要更深入了解這些新材料的性能、成本和碳足跡。這將促使建材供應鏈向綠色化、智慧化方向發展，並可能出現新的市場參與者和商業模式。</w:t>
      </w:r>
    </w:p>
    <w:p w14:paraId="5BA60E6B" w14:textId="77777777" w:rsidR="00380A7B" w:rsidRDefault="00380A7B">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p>
    <w:p w14:paraId="0C84133D" w14:textId="77777777" w:rsidR="00380A7B" w:rsidRDefault="00000000">
      <w:pPr>
        <w:pStyle w:val="3"/>
        <w:spacing w:before="0" w:after="120" w:line="275" w:lineRule="auto"/>
        <w:rPr>
          <w:rFonts w:ascii="Google Sans" w:eastAsia="Google Sans" w:hAnsi="Google Sans" w:cs="Google Sans"/>
          <w:color w:val="1B1C1D"/>
          <w:sz w:val="24"/>
          <w:szCs w:val="24"/>
        </w:rPr>
      </w:pPr>
      <w:r>
        <w:rPr>
          <w:rFonts w:ascii="Google Sans" w:eastAsia="Google Sans" w:hAnsi="Google Sans" w:cs="Google Sans"/>
          <w:color w:val="1B1C1D"/>
          <w:sz w:val="24"/>
          <w:szCs w:val="24"/>
        </w:rPr>
        <w:t>C. 模組化與輕量化建築</w:t>
      </w:r>
    </w:p>
    <w:p w14:paraId="41E2C202" w14:textId="77777777" w:rsidR="00380A7B" w:rsidRDefault="00380A7B">
      <w:pPr>
        <w:pBdr>
          <w:top w:val="nil"/>
          <w:left w:val="nil"/>
          <w:bottom w:val="nil"/>
          <w:right w:val="nil"/>
          <w:between w:val="nil"/>
        </w:pBdr>
        <w:spacing w:after="240" w:line="275" w:lineRule="auto"/>
        <w:rPr>
          <w:rFonts w:ascii="Google Sans" w:eastAsia="Google Sans" w:hAnsi="Google Sans" w:cs="Google Sans"/>
          <w:b/>
          <w:color w:val="1B1C1D"/>
          <w:sz w:val="24"/>
          <w:szCs w:val="24"/>
        </w:rPr>
      </w:pPr>
    </w:p>
    <w:p w14:paraId="33399F11" w14:textId="77777777" w:rsidR="00380A7B"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 xml:space="preserve">模組化與輕量化建築的發展，為台灣營造產業應對缺工和提升效率提供了重要策略。2025年的建築市場更加重視工法效率、可替換性與減少施工時間 </w:t>
      </w:r>
      <w:r>
        <w:rPr>
          <w:rFonts w:ascii="Google Sans Text" w:eastAsia="Google Sans Text" w:hAnsi="Google Sans Text" w:cs="Google Sans Text"/>
          <w:color w:val="575B5F"/>
          <w:sz w:val="24"/>
          <w:szCs w:val="24"/>
          <w:vertAlign w:val="superscript"/>
        </w:rPr>
        <w:t>24</w:t>
      </w:r>
      <w:r>
        <w:rPr>
          <w:rFonts w:ascii="Google Sans Text" w:eastAsia="Google Sans Text" w:hAnsi="Google Sans Text" w:cs="Google Sans Text"/>
          <w:color w:val="1B1C1D"/>
          <w:sz w:val="24"/>
          <w:szCs w:val="24"/>
        </w:rPr>
        <w:t xml:space="preserve">。模組化、輕質高強建材正逐漸取代傳統笨重建材，成為新建案與老屋改建的熱門選項 </w:t>
      </w:r>
      <w:r>
        <w:rPr>
          <w:rFonts w:ascii="Google Sans Text" w:eastAsia="Google Sans Text" w:hAnsi="Google Sans Text" w:cs="Google Sans Text"/>
          <w:color w:val="575B5F"/>
          <w:sz w:val="24"/>
          <w:szCs w:val="24"/>
          <w:vertAlign w:val="superscript"/>
        </w:rPr>
        <w:t>24</w:t>
      </w:r>
      <w:r>
        <w:rPr>
          <w:rFonts w:ascii="Google Sans Text" w:eastAsia="Google Sans Text" w:hAnsi="Google Sans Text" w:cs="Google Sans Text"/>
          <w:color w:val="1B1C1D"/>
          <w:sz w:val="24"/>
          <w:szCs w:val="24"/>
        </w:rPr>
        <w:t xml:space="preserve">。這些技術有助於快速施工與拆卸，顯著提升工程效率與彈性設計 </w:t>
      </w:r>
      <w:r>
        <w:rPr>
          <w:rFonts w:ascii="Google Sans Text" w:eastAsia="Google Sans Text" w:hAnsi="Google Sans Text" w:cs="Google Sans Text"/>
          <w:color w:val="575B5F"/>
          <w:sz w:val="24"/>
          <w:szCs w:val="24"/>
          <w:vertAlign w:val="superscript"/>
        </w:rPr>
        <w:t>24</w:t>
      </w:r>
      <w:r>
        <w:rPr>
          <w:rFonts w:ascii="Google Sans Text" w:eastAsia="Google Sans Text" w:hAnsi="Google Sans Text" w:cs="Google Sans Text"/>
          <w:color w:val="1B1C1D"/>
          <w:sz w:val="24"/>
          <w:szCs w:val="24"/>
        </w:rPr>
        <w:t xml:space="preserve">。例如，工業型組合屋已廣泛應用於工地宿舍、辦公室、倉儲等場景，其結構穩固耐用，且可根據工地狀況靈活調整 </w:t>
      </w:r>
      <w:r>
        <w:rPr>
          <w:rFonts w:ascii="Google Sans Text" w:eastAsia="Google Sans Text" w:hAnsi="Google Sans Text" w:cs="Google Sans Text"/>
          <w:color w:val="575B5F"/>
          <w:sz w:val="24"/>
          <w:szCs w:val="24"/>
          <w:vertAlign w:val="superscript"/>
        </w:rPr>
        <w:t>23</w:t>
      </w:r>
      <w:r>
        <w:rPr>
          <w:rFonts w:ascii="Google Sans Text" w:eastAsia="Google Sans Text" w:hAnsi="Google Sans Text" w:cs="Google Sans Text"/>
          <w:color w:val="1B1C1D"/>
          <w:sz w:val="24"/>
          <w:szCs w:val="24"/>
        </w:rPr>
        <w:t>。</w:t>
      </w:r>
    </w:p>
    <w:p w14:paraId="44982EEF" w14:textId="77777777" w:rsidR="00380A7B"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 xml:space="preserve">模組化和輕量化建築的崛起直接呼應了營造業長期面臨的缺工問題 </w:t>
      </w:r>
      <w:r>
        <w:rPr>
          <w:rFonts w:ascii="Google Sans Text" w:eastAsia="Google Sans Text" w:hAnsi="Google Sans Text" w:cs="Google Sans Text"/>
          <w:color w:val="575B5F"/>
          <w:sz w:val="24"/>
          <w:szCs w:val="24"/>
          <w:vertAlign w:val="superscript"/>
        </w:rPr>
        <w:t>20</w:t>
      </w:r>
      <w:r>
        <w:rPr>
          <w:rFonts w:ascii="Google Sans Text" w:eastAsia="Google Sans Text" w:hAnsi="Google Sans Text" w:cs="Google Sans Text"/>
          <w:color w:val="1B1C1D"/>
          <w:sz w:val="24"/>
          <w:szCs w:val="24"/>
        </w:rPr>
        <w:t xml:space="preserve"> 和對施工效率的追求。將部分施工轉移到工廠預製，可以減少現場勞動力需求，縮短工期，並提高品質控制。營造業者應積極評估並投入模組化建造技術的研發與應用，特別是在社會住宅、商業辦公、工業廠房等標準化程度較高的項目中。這將推動營造業從傳統的現場勞動密集型轉向更具工業化、自動化特徵的生產模式。</w:t>
      </w:r>
    </w:p>
    <w:p w14:paraId="1D4D65E9" w14:textId="77777777" w:rsidR="00380A7B"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 xml:space="preserve">在材料方面，輕質高強材料的發展也日益受到重視。蜂巢式鋁板、纖維強化塑膠（FRP）、高性能混凝土（UHPC）等材料受到青睞，它們具備耐候性強、重量輕、抗震性高等特點，有助於降低施工難度與成本，並創造更大更彈性的空間 </w:t>
      </w:r>
      <w:r>
        <w:rPr>
          <w:rFonts w:ascii="Google Sans Text" w:eastAsia="Google Sans Text" w:hAnsi="Google Sans Text" w:cs="Google Sans Text"/>
          <w:color w:val="575B5F"/>
          <w:sz w:val="24"/>
          <w:szCs w:val="24"/>
          <w:vertAlign w:val="superscript"/>
        </w:rPr>
        <w:t>24</w:t>
      </w:r>
      <w:r>
        <w:rPr>
          <w:rFonts w:ascii="Google Sans Text" w:eastAsia="Google Sans Text" w:hAnsi="Google Sans Text" w:cs="Google Sans Text"/>
          <w:color w:val="1B1C1D"/>
          <w:sz w:val="24"/>
          <w:szCs w:val="24"/>
        </w:rPr>
        <w:t>。</w:t>
      </w:r>
    </w:p>
    <w:p w14:paraId="3D4B6261" w14:textId="77777777" w:rsidR="00380A7B"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 xml:space="preserve">儘管模組化建築的優勢顯著，但現行法規對其主要定位為臨時建築，並有高度限制 </w:t>
      </w:r>
      <w:r>
        <w:rPr>
          <w:rFonts w:ascii="Google Sans Text" w:eastAsia="Google Sans Text" w:hAnsi="Google Sans Text" w:cs="Google Sans Text"/>
          <w:color w:val="575B5F"/>
          <w:sz w:val="24"/>
          <w:szCs w:val="24"/>
          <w:vertAlign w:val="superscript"/>
        </w:rPr>
        <w:t>23</w:t>
      </w:r>
      <w:r>
        <w:rPr>
          <w:rFonts w:ascii="Google Sans Text" w:eastAsia="Google Sans Text" w:hAnsi="Google Sans Text" w:cs="Google Sans Text"/>
          <w:color w:val="1B1C1D"/>
          <w:sz w:val="24"/>
          <w:szCs w:val="24"/>
        </w:rPr>
        <w:t>。這可能阻礙了其在永久性、多層建築中的大規模應用。為了充分釋放模組化建築的潛力，政府需要加速修訂相關建築法規，使其能適應並鼓勵永久性模組化建築的發展。營造業者和相關產業協會應積極參與政策對話，推動法規環境的優化，以匹配技術創新和市場需求。</w:t>
      </w:r>
    </w:p>
    <w:p w14:paraId="1009E8B3" w14:textId="77777777" w:rsidR="00380A7B" w:rsidRDefault="00380A7B">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p>
    <w:p w14:paraId="6730DD1D" w14:textId="77777777" w:rsidR="00380A7B" w:rsidRDefault="00000000">
      <w:pPr>
        <w:pStyle w:val="2"/>
        <w:spacing w:before="0" w:after="120" w:line="275" w:lineRule="auto"/>
        <w:rPr>
          <w:rFonts w:ascii="Google Sans" w:eastAsia="Google Sans" w:hAnsi="Google Sans" w:cs="Google Sans"/>
          <w:color w:val="1B1C1D"/>
          <w:sz w:val="30"/>
          <w:szCs w:val="30"/>
        </w:rPr>
      </w:pPr>
      <w:r>
        <w:rPr>
          <w:rFonts w:ascii="Google Sans" w:eastAsia="Google Sans" w:hAnsi="Google Sans" w:cs="Google Sans"/>
          <w:color w:val="1B1C1D"/>
          <w:sz w:val="30"/>
          <w:szCs w:val="30"/>
        </w:rPr>
        <w:lastRenderedPageBreak/>
        <w:t>VI. 結論與建議</w:t>
      </w:r>
    </w:p>
    <w:p w14:paraId="589F8351" w14:textId="77777777" w:rsidR="00380A7B" w:rsidRDefault="00380A7B">
      <w:pPr>
        <w:pBdr>
          <w:top w:val="nil"/>
          <w:left w:val="nil"/>
          <w:bottom w:val="nil"/>
          <w:right w:val="nil"/>
          <w:between w:val="nil"/>
        </w:pBdr>
        <w:spacing w:after="240" w:line="275" w:lineRule="auto"/>
        <w:rPr>
          <w:rFonts w:ascii="Google Sans" w:eastAsia="Google Sans" w:hAnsi="Google Sans" w:cs="Google Sans"/>
          <w:b/>
          <w:color w:val="1B1C1D"/>
          <w:sz w:val="30"/>
          <w:szCs w:val="30"/>
        </w:rPr>
      </w:pPr>
    </w:p>
    <w:p w14:paraId="7A7D95D6" w14:textId="77777777" w:rsidR="00380A7B" w:rsidRDefault="00380A7B">
      <w:pPr>
        <w:pBdr>
          <w:top w:val="nil"/>
          <w:left w:val="nil"/>
          <w:bottom w:val="nil"/>
          <w:right w:val="nil"/>
          <w:between w:val="nil"/>
        </w:pBdr>
        <w:spacing w:after="240" w:line="275" w:lineRule="auto"/>
        <w:rPr>
          <w:rFonts w:ascii="Google Sans" w:eastAsia="Google Sans" w:hAnsi="Google Sans" w:cs="Google Sans"/>
          <w:b/>
          <w:color w:val="1B1C1D"/>
          <w:sz w:val="30"/>
          <w:szCs w:val="30"/>
        </w:rPr>
      </w:pPr>
    </w:p>
    <w:p w14:paraId="3EEA23A9" w14:textId="77777777" w:rsidR="00380A7B" w:rsidRDefault="00000000">
      <w:pPr>
        <w:pStyle w:val="3"/>
        <w:spacing w:before="0" w:after="120" w:line="275" w:lineRule="auto"/>
        <w:rPr>
          <w:rFonts w:ascii="Google Sans" w:eastAsia="Google Sans" w:hAnsi="Google Sans" w:cs="Google Sans"/>
          <w:color w:val="1B1C1D"/>
          <w:sz w:val="24"/>
          <w:szCs w:val="24"/>
        </w:rPr>
      </w:pPr>
      <w:r>
        <w:rPr>
          <w:rFonts w:ascii="Google Sans" w:eastAsia="Google Sans" w:hAnsi="Google Sans" w:cs="Google Sans"/>
          <w:color w:val="1B1C1D"/>
          <w:sz w:val="24"/>
          <w:szCs w:val="24"/>
        </w:rPr>
        <w:t>總結2025年台灣營造產業的關鍵趨勢與挑戰</w:t>
      </w:r>
    </w:p>
    <w:p w14:paraId="3766DA0B" w14:textId="77777777" w:rsidR="00380A7B" w:rsidRDefault="00380A7B">
      <w:pPr>
        <w:pBdr>
          <w:top w:val="nil"/>
          <w:left w:val="nil"/>
          <w:bottom w:val="nil"/>
          <w:right w:val="nil"/>
          <w:between w:val="nil"/>
        </w:pBdr>
        <w:spacing w:after="240" w:line="275" w:lineRule="auto"/>
        <w:rPr>
          <w:rFonts w:ascii="Google Sans" w:eastAsia="Google Sans" w:hAnsi="Google Sans" w:cs="Google Sans"/>
          <w:b/>
          <w:color w:val="1B1C1D"/>
          <w:sz w:val="24"/>
          <w:szCs w:val="24"/>
        </w:rPr>
      </w:pPr>
    </w:p>
    <w:p w14:paraId="7FC7B50E" w14:textId="77777777" w:rsidR="00380A7B"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2025年台灣營造產業將在總體經濟溫和成長、AI產業帶動工業建廠需求及公共建設預算創新高的多重利好下，維持穩健的案量。其中，高科技廠房與大型交通、海事等公共工程將成為主要成長動能。然而，產業同時面臨嚴峻的勞動力短缺、持續上升的勞務成本以及日益嚴格的淨零建築法規，這些是業者必須面對的結構性挑戰。住宅市場在政策調控下將進入「軟著陸」調整期，自用需求成為主導。為應對這些挑戰並抓住永續發展的機遇，營造產業正加速朝向智慧化、綠色化和模組化轉型。這種轉型不僅是技術層面的升級，更是產業文化與商業模式的重塑。</w:t>
      </w:r>
    </w:p>
    <w:p w14:paraId="2B79CADB" w14:textId="77777777" w:rsidR="00380A7B" w:rsidRDefault="00380A7B">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p>
    <w:p w14:paraId="7A67F544" w14:textId="77777777" w:rsidR="00380A7B" w:rsidRDefault="00000000">
      <w:pPr>
        <w:pStyle w:val="3"/>
        <w:spacing w:before="0" w:after="120" w:line="275" w:lineRule="auto"/>
        <w:rPr>
          <w:rFonts w:ascii="Google Sans" w:eastAsia="Google Sans" w:hAnsi="Google Sans" w:cs="Google Sans"/>
          <w:color w:val="1B1C1D"/>
          <w:sz w:val="24"/>
          <w:szCs w:val="24"/>
        </w:rPr>
      </w:pPr>
      <w:r>
        <w:rPr>
          <w:rFonts w:ascii="Google Sans" w:eastAsia="Google Sans" w:hAnsi="Google Sans" w:cs="Google Sans"/>
          <w:color w:val="1B1C1D"/>
          <w:sz w:val="24"/>
          <w:szCs w:val="24"/>
        </w:rPr>
        <w:t>針對業者、政府和相關利害關係人提出具體建議</w:t>
      </w:r>
    </w:p>
    <w:p w14:paraId="01393D60" w14:textId="77777777" w:rsidR="00380A7B" w:rsidRDefault="00380A7B">
      <w:pPr>
        <w:pBdr>
          <w:top w:val="nil"/>
          <w:left w:val="nil"/>
          <w:bottom w:val="nil"/>
          <w:right w:val="nil"/>
          <w:between w:val="nil"/>
        </w:pBdr>
        <w:spacing w:after="240" w:line="275" w:lineRule="auto"/>
        <w:rPr>
          <w:rFonts w:ascii="Google Sans" w:eastAsia="Google Sans" w:hAnsi="Google Sans" w:cs="Google Sans"/>
          <w:b/>
          <w:color w:val="1B1C1D"/>
          <w:sz w:val="24"/>
          <w:szCs w:val="24"/>
        </w:rPr>
      </w:pPr>
    </w:p>
    <w:p w14:paraId="0BF42F2B" w14:textId="77777777" w:rsidR="00380A7B" w:rsidRDefault="00000000">
      <w:pPr>
        <w:pBdr>
          <w:top w:val="nil"/>
          <w:left w:val="nil"/>
          <w:bottom w:val="nil"/>
          <w:right w:val="nil"/>
          <w:between w:val="nil"/>
        </w:pBdr>
        <w:spacing w:after="120" w:line="275" w:lineRule="auto"/>
        <w:rPr>
          <w:rFonts w:ascii="Google Sans Text" w:eastAsia="Google Sans Text" w:hAnsi="Google Sans Text" w:cs="Google Sans Text"/>
          <w:b/>
          <w:color w:val="1B1C1D"/>
          <w:sz w:val="24"/>
          <w:szCs w:val="24"/>
        </w:rPr>
      </w:pPr>
      <w:r>
        <w:rPr>
          <w:rFonts w:ascii="Google Sans Text" w:eastAsia="Google Sans Text" w:hAnsi="Google Sans Text" w:cs="Google Sans Text"/>
          <w:b/>
          <w:color w:val="1B1C1D"/>
          <w:sz w:val="24"/>
          <w:szCs w:val="24"/>
        </w:rPr>
        <w:t>對營造業者：</w:t>
      </w:r>
    </w:p>
    <w:p w14:paraId="31C24D4E" w14:textId="77777777" w:rsidR="00380A7B" w:rsidRDefault="00000000">
      <w:pPr>
        <w:numPr>
          <w:ilvl w:val="0"/>
          <w:numId w:val="2"/>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戰略性選擇案源：</w:t>
      </w:r>
      <w:r>
        <w:rPr>
          <w:rFonts w:ascii="Google Sans Text" w:eastAsia="Google Sans Text" w:hAnsi="Google Sans Text" w:cs="Google Sans Text"/>
          <w:color w:val="1B1C1D"/>
          <w:sz w:val="24"/>
          <w:szCs w:val="24"/>
        </w:rPr>
        <w:t xml:space="preserve"> 營造業者應優先承攬高毛利的科技廠房、綠色環保工程及大型公共建設，並積極評估參與促參項目，以應對市場競爭和成本壓力，確保營收與獲利同步增長。</w:t>
      </w:r>
    </w:p>
    <w:p w14:paraId="061C6FA9" w14:textId="77777777" w:rsidR="00380A7B" w:rsidRDefault="00000000">
      <w:pPr>
        <w:numPr>
          <w:ilvl w:val="0"/>
          <w:numId w:val="2"/>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加速數位轉型：</w:t>
      </w:r>
      <w:r>
        <w:rPr>
          <w:rFonts w:ascii="Google Sans Text" w:eastAsia="Google Sans Text" w:hAnsi="Google Sans Text" w:cs="Google Sans Text"/>
          <w:color w:val="1B1C1D"/>
          <w:sz w:val="24"/>
          <w:szCs w:val="24"/>
        </w:rPr>
        <w:t xml:space="preserve"> 應大力投資BIM/CIM、AI、IoT等智慧營造技術，以提升施工效率、優化管理流程，並培養具備數位技能的專業人才，從根本上降低對傳統勞動力的依賴。</w:t>
      </w:r>
    </w:p>
    <w:p w14:paraId="0BF458B6" w14:textId="77777777" w:rsidR="00380A7B" w:rsidRDefault="00000000">
      <w:pPr>
        <w:numPr>
          <w:ilvl w:val="0"/>
          <w:numId w:val="2"/>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深化綠色建築能力：</w:t>
      </w:r>
      <w:r>
        <w:rPr>
          <w:rFonts w:ascii="Google Sans Text" w:eastAsia="Google Sans Text" w:hAnsi="Google Sans Text" w:cs="Google Sans Text"/>
          <w:color w:val="1B1C1D"/>
          <w:sz w:val="24"/>
          <w:szCs w:val="24"/>
        </w:rPr>
        <w:t xml:space="preserve"> 必須將淨零建築理念融入企業核心策略，積極取得EEWH認證，並投入綠色建材應用與全生命週期碳排放評估能力，以符合未來法規要求和市場趨勢，提升企業的社會責任與市場競爭力。</w:t>
      </w:r>
    </w:p>
    <w:p w14:paraId="37FC03B0" w14:textId="77777777" w:rsidR="00380A7B" w:rsidRDefault="00000000">
      <w:pPr>
        <w:numPr>
          <w:ilvl w:val="0"/>
          <w:numId w:val="2"/>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推動模組化建造：</w:t>
      </w:r>
      <w:r>
        <w:rPr>
          <w:rFonts w:ascii="Google Sans Text" w:eastAsia="Google Sans Text" w:hAnsi="Google Sans Text" w:cs="Google Sans Text"/>
          <w:color w:val="1B1C1D"/>
          <w:sz w:val="24"/>
          <w:szCs w:val="24"/>
        </w:rPr>
        <w:t xml:space="preserve"> 積極探索並投資模組化與預製化施工技術，這不僅能有效應對勞動力短缺，還能顯著提高施工效率和品質，實現工業化生產模式。</w:t>
      </w:r>
    </w:p>
    <w:p w14:paraId="5A2656A8" w14:textId="77777777" w:rsidR="00380A7B" w:rsidRDefault="00000000">
      <w:pPr>
        <w:numPr>
          <w:ilvl w:val="0"/>
          <w:numId w:val="2"/>
        </w:numPr>
        <w:pBdr>
          <w:top w:val="nil"/>
          <w:left w:val="nil"/>
          <w:bottom w:val="nil"/>
          <w:right w:val="nil"/>
          <w:between w:val="nil"/>
        </w:pBdr>
        <w:spacing w:after="120" w:line="275" w:lineRule="auto"/>
      </w:pPr>
      <w:r>
        <w:rPr>
          <w:rFonts w:ascii="Google Sans Text" w:eastAsia="Google Sans Text" w:hAnsi="Google Sans Text" w:cs="Google Sans Text"/>
          <w:b/>
          <w:color w:val="1B1C1D"/>
          <w:sz w:val="24"/>
          <w:szCs w:val="24"/>
        </w:rPr>
        <w:t>強化人力資源策略：</w:t>
      </w:r>
      <w:r>
        <w:rPr>
          <w:rFonts w:ascii="Google Sans Text" w:eastAsia="Google Sans Text" w:hAnsi="Google Sans Text" w:cs="Google Sans Text"/>
          <w:color w:val="1B1C1D"/>
          <w:sz w:val="24"/>
          <w:szCs w:val="24"/>
        </w:rPr>
        <w:t xml:space="preserve"> 應從根本上改善工作環境、提升福利待遇，並與教育機構合作，培養國內年輕勞動力，同時積極、合規地引進外籍移工，以建立穩定且多元的人力結構。</w:t>
      </w:r>
    </w:p>
    <w:p w14:paraId="0BD759DB" w14:textId="77777777" w:rsidR="00380A7B" w:rsidRDefault="00000000">
      <w:pPr>
        <w:pBdr>
          <w:top w:val="nil"/>
          <w:left w:val="nil"/>
          <w:bottom w:val="nil"/>
          <w:right w:val="nil"/>
          <w:between w:val="nil"/>
        </w:pBdr>
        <w:spacing w:before="240" w:after="120" w:line="275" w:lineRule="auto"/>
        <w:rPr>
          <w:rFonts w:ascii="Google Sans Text" w:eastAsia="Google Sans Text" w:hAnsi="Google Sans Text" w:cs="Google Sans Text"/>
          <w:b/>
          <w:color w:val="1B1C1D"/>
          <w:sz w:val="24"/>
          <w:szCs w:val="24"/>
        </w:rPr>
      </w:pPr>
      <w:r>
        <w:rPr>
          <w:rFonts w:ascii="Google Sans Text" w:eastAsia="Google Sans Text" w:hAnsi="Google Sans Text" w:cs="Google Sans Text"/>
          <w:b/>
          <w:color w:val="1B1C1D"/>
          <w:sz w:val="24"/>
          <w:szCs w:val="24"/>
        </w:rPr>
        <w:lastRenderedPageBreak/>
        <w:t>對政府：</w:t>
      </w:r>
    </w:p>
    <w:p w14:paraId="5F9ECC79" w14:textId="77777777" w:rsidR="00380A7B"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優化移工政策：</w:t>
      </w:r>
      <w:r>
        <w:rPr>
          <w:rFonts w:ascii="Google Sans Text" w:eastAsia="Google Sans Text" w:hAnsi="Google Sans Text" w:cs="Google Sans Text"/>
          <w:color w:val="1B1C1D"/>
          <w:sz w:val="24"/>
          <w:szCs w:val="24"/>
        </w:rPr>
        <w:t xml:space="preserve"> 應簡化移工申請流程，確保名額穩定釋出，並建立更有效的勞工媒合機制，以緩解營造產業的短期缺工壓力。</w:t>
      </w:r>
    </w:p>
    <w:p w14:paraId="6A171459" w14:textId="77777777" w:rsidR="00380A7B"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完善法規環境：</w:t>
      </w:r>
      <w:r>
        <w:rPr>
          <w:rFonts w:ascii="Google Sans Text" w:eastAsia="Google Sans Text" w:hAnsi="Google Sans Text" w:cs="Google Sans Text"/>
          <w:color w:val="1B1C1D"/>
          <w:sz w:val="24"/>
          <w:szCs w:val="24"/>
        </w:rPr>
        <w:t xml:space="preserve"> 應加速修訂與模組化建築、綠色建材碳標籤相關的法規，使其能適應產業技術創新，提供明確的標準和指引，鼓勵新技術的應用。</w:t>
      </w:r>
    </w:p>
    <w:p w14:paraId="127484BC" w14:textId="77777777" w:rsidR="00380A7B"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強化產業輔導：</w:t>
      </w:r>
      <w:r>
        <w:rPr>
          <w:rFonts w:ascii="Google Sans Text" w:eastAsia="Google Sans Text" w:hAnsi="Google Sans Text" w:cs="Google Sans Text"/>
          <w:color w:val="1B1C1D"/>
          <w:sz w:val="24"/>
          <w:szCs w:val="24"/>
        </w:rPr>
        <w:t xml:space="preserve"> 應提供更多針對中小型營造業者的轉型輔導和補助，協助其導入智慧化、綠色化技術，避免產業兩極分化加劇，促進整體產業的均衡發展。</w:t>
      </w:r>
    </w:p>
    <w:p w14:paraId="1B14D114" w14:textId="77777777" w:rsidR="00380A7B" w:rsidRDefault="00000000">
      <w:pPr>
        <w:numPr>
          <w:ilvl w:val="0"/>
          <w:numId w:val="3"/>
        </w:numPr>
        <w:pBdr>
          <w:top w:val="nil"/>
          <w:left w:val="nil"/>
          <w:bottom w:val="nil"/>
          <w:right w:val="nil"/>
          <w:between w:val="nil"/>
        </w:pBdr>
        <w:spacing w:after="120" w:line="275" w:lineRule="auto"/>
      </w:pPr>
      <w:r>
        <w:rPr>
          <w:rFonts w:ascii="Google Sans Text" w:eastAsia="Google Sans Text" w:hAnsi="Google Sans Text" w:cs="Google Sans Text"/>
          <w:b/>
          <w:color w:val="1B1C1D"/>
          <w:sz w:val="24"/>
          <w:szCs w:val="24"/>
        </w:rPr>
        <w:t>推動綠色供應鏈：</w:t>
      </w:r>
      <w:r>
        <w:rPr>
          <w:rFonts w:ascii="Google Sans Text" w:eastAsia="Google Sans Text" w:hAnsi="Google Sans Text" w:cs="Google Sans Text"/>
          <w:color w:val="1B1C1D"/>
          <w:sz w:val="24"/>
          <w:szCs w:val="24"/>
        </w:rPr>
        <w:t xml:space="preserve"> 應建立更透明、標準化的綠色建材認證和供應體系，並完善公共工程碳排放數據庫和計算方法，為營造業者提供清晰的綠色採購指引。</w:t>
      </w:r>
    </w:p>
    <w:p w14:paraId="08A5A943" w14:textId="77777777" w:rsidR="00380A7B" w:rsidRDefault="00000000">
      <w:pPr>
        <w:pBdr>
          <w:top w:val="nil"/>
          <w:left w:val="nil"/>
          <w:bottom w:val="nil"/>
          <w:right w:val="nil"/>
          <w:between w:val="nil"/>
        </w:pBdr>
        <w:spacing w:before="240" w:after="120" w:line="275" w:lineRule="auto"/>
        <w:rPr>
          <w:rFonts w:ascii="Google Sans Text" w:eastAsia="Google Sans Text" w:hAnsi="Google Sans Text" w:cs="Google Sans Text"/>
          <w:b/>
          <w:color w:val="1B1C1D"/>
          <w:sz w:val="24"/>
          <w:szCs w:val="24"/>
        </w:rPr>
      </w:pPr>
      <w:r>
        <w:rPr>
          <w:rFonts w:ascii="Google Sans Text" w:eastAsia="Google Sans Text" w:hAnsi="Google Sans Text" w:cs="Google Sans Text"/>
          <w:b/>
          <w:color w:val="1B1C1D"/>
          <w:sz w:val="24"/>
          <w:szCs w:val="24"/>
        </w:rPr>
        <w:t>對相關利害關係人（如金融機構、學術界）：</w:t>
      </w:r>
    </w:p>
    <w:p w14:paraId="565B1D45" w14:textId="77777777" w:rsidR="00380A7B" w:rsidRDefault="00000000">
      <w:pPr>
        <w:numPr>
          <w:ilvl w:val="0"/>
          <w:numId w:val="4"/>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金融機構：</w:t>
      </w:r>
      <w:r>
        <w:rPr>
          <w:rFonts w:ascii="Google Sans Text" w:eastAsia="Google Sans Text" w:hAnsi="Google Sans Text" w:cs="Google Sans Text"/>
          <w:color w:val="1B1C1D"/>
          <w:sz w:val="24"/>
          <w:szCs w:val="24"/>
        </w:rPr>
        <w:t xml:space="preserve"> 應針對綠色建築、智慧營造及模組化建築項目，提供更具吸引力的綠色金融產品和融資方案，鼓勵業者投入創新與永續發展。</w:t>
      </w:r>
    </w:p>
    <w:p w14:paraId="007EC72C" w14:textId="77777777" w:rsidR="00380A7B" w:rsidRDefault="00000000">
      <w:pPr>
        <w:numPr>
          <w:ilvl w:val="0"/>
          <w:numId w:val="4"/>
        </w:numPr>
        <w:pBdr>
          <w:top w:val="nil"/>
          <w:left w:val="nil"/>
          <w:bottom w:val="nil"/>
          <w:right w:val="nil"/>
          <w:between w:val="nil"/>
        </w:pBdr>
        <w:spacing w:after="120" w:line="275" w:lineRule="auto"/>
      </w:pPr>
      <w:r>
        <w:rPr>
          <w:rFonts w:ascii="Google Sans Text" w:eastAsia="Google Sans Text" w:hAnsi="Google Sans Text" w:cs="Google Sans Text"/>
          <w:b/>
          <w:color w:val="1B1C1D"/>
          <w:sz w:val="24"/>
          <w:szCs w:val="24"/>
        </w:rPr>
        <w:t>學術界與研究機構：</w:t>
      </w:r>
      <w:r>
        <w:rPr>
          <w:rFonts w:ascii="Google Sans Text" w:eastAsia="Google Sans Text" w:hAnsi="Google Sans Text" w:cs="Google Sans Text"/>
          <w:color w:val="1B1C1D"/>
          <w:sz w:val="24"/>
          <w:szCs w:val="24"/>
        </w:rPr>
        <w:t xml:space="preserve"> 應加強與產業的合作，共同研發適用於台灣營造業的智慧建造技術、綠色環保材料，並培養符合產業未來需求的多功能人才，為產業轉型提供堅實的知識和人才基礎。</w:t>
      </w:r>
    </w:p>
    <w:p w14:paraId="1AAB9411" w14:textId="77777777" w:rsidR="00380A7B" w:rsidRDefault="00000000">
      <w:pPr>
        <w:pStyle w:val="4"/>
        <w:rPr>
          <w:rFonts w:ascii="Google Sans" w:eastAsia="Google Sans" w:hAnsi="Google Sans" w:cs="Google Sans"/>
        </w:rPr>
      </w:pPr>
      <w:r>
        <w:rPr>
          <w:rFonts w:ascii="Google Sans" w:eastAsia="Google Sans" w:hAnsi="Google Sans" w:cs="Google Sans"/>
        </w:rPr>
        <w:t>引用的著作</w:t>
      </w:r>
    </w:p>
    <w:p w14:paraId="435C02AE" w14:textId="77777777" w:rsidR="00380A7B"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星展2025年Q1台灣經濟展望GDP成長率估3.0％、房市軟著陸 - Yahoo股市, 檢索日期：7月 23, 2025， </w:t>
      </w:r>
      <w:hyperlink r:id="rId7">
        <w:r>
          <w:rPr>
            <w:rFonts w:ascii="Google Sans" w:eastAsia="Google Sans" w:hAnsi="Google Sans" w:cs="Google Sans"/>
            <w:color w:val="0000EE"/>
            <w:sz w:val="24"/>
            <w:szCs w:val="24"/>
            <w:u w:val="single"/>
          </w:rPr>
          <w:t>https://tw.stock.yahoo.com/news/%E6%98%9F%E5%B1%952025%E5%B9%B4q1%E5%8F%B0%E7%81%A3%E7%B6%93%E6%BF%9F%E5%B1%95%E6%9C%9B-gdp%E6%88%90%E9%95%B7%E7%8E%87%E4%BC%B03-0-%E6%88%BF%E5%B8%82%E8%BB%9F%E8%91%97%E9%99%B8-113856816.html</w:t>
        </w:r>
      </w:hyperlink>
    </w:p>
    <w:p w14:paraId="3BDF9C86" w14:textId="77777777" w:rsidR="00380A7B"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中經院：2025台灣經濟呈「上熱下冷」 全年預估成長3.05% - Yahoo奇摩新聞, 檢索日期：7月 23, 2025， </w:t>
      </w:r>
      <w:hyperlink r:id="rId8">
        <w:r>
          <w:rPr>
            <w:rFonts w:ascii="Google Sans" w:eastAsia="Google Sans" w:hAnsi="Google Sans" w:cs="Google Sans"/>
            <w:color w:val="0000EE"/>
            <w:sz w:val="24"/>
            <w:szCs w:val="24"/>
            <w:u w:val="single"/>
          </w:rPr>
          <w:t>https://tw.news.yahoo.com/%E4%B8%AD%E7%B6%93%E9%99%A2-2025%E5%8F%B0%E7%81%A3%E7%B6%93%E6%BF%9F%E5%91%88-%E4%B8%8A%E7%86%B1%E4%B8%8B%E5%86%B7-%E5%85%A8%E5%B9%B4%E9%A0%90%E4%BC%B0%E6%88%90%E9%95%B73-05-031415495.html</w:t>
        </w:r>
      </w:hyperlink>
    </w:p>
    <w:p w14:paraId="0C84919B" w14:textId="77777777" w:rsidR="00380A7B"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臺灣經濟預測TMF - 中華經濟研究院, 檢索日期：7月 23, 2025， </w:t>
      </w:r>
      <w:hyperlink r:id="rId9">
        <w:r>
          <w:rPr>
            <w:rFonts w:ascii="Google Sans" w:eastAsia="Google Sans" w:hAnsi="Google Sans" w:cs="Google Sans"/>
            <w:color w:val="0000EE"/>
            <w:sz w:val="24"/>
            <w:szCs w:val="24"/>
            <w:u w:val="single"/>
          </w:rPr>
          <w:t>https://www.cier.edu.tw/eco_cat/tmf-ch/</w:t>
        </w:r>
      </w:hyperlink>
    </w:p>
    <w:p w14:paraId="54D2A161" w14:textId="77777777" w:rsidR="00380A7B"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2025 年台灣經濟展望, 檢索日期：7月 23, 2025， </w:t>
      </w:r>
      <w:hyperlink r:id="rId10">
        <w:r>
          <w:rPr>
            <w:rFonts w:ascii="Google Sans" w:eastAsia="Google Sans" w:hAnsi="Google Sans" w:cs="Google Sans"/>
            <w:color w:val="0000EE"/>
            <w:sz w:val="24"/>
            <w:szCs w:val="24"/>
            <w:u w:val="single"/>
          </w:rPr>
          <w:t>https://www.tri.org.tw/include/download.php?dl=MjAyMjAwMTI4X158ZG93bmxvYWRefDAwMDAwMDAxMzE=</w:t>
        </w:r>
      </w:hyperlink>
    </w:p>
    <w:p w14:paraId="2F85D750" w14:textId="77777777" w:rsidR="00380A7B"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央行：2025年GDP成長3.13％ 最大變數是美國經貿政策 - 經濟日報, 檢索日期：7月 23, 2025， </w:t>
      </w:r>
      <w:hyperlink r:id="rId11">
        <w:r>
          <w:rPr>
            <w:rFonts w:ascii="Google Sans" w:eastAsia="Google Sans" w:hAnsi="Google Sans" w:cs="Google Sans"/>
            <w:color w:val="0000EE"/>
            <w:sz w:val="24"/>
            <w:szCs w:val="24"/>
            <w:u w:val="single"/>
          </w:rPr>
          <w:t>https://money.udn.com/money/story/10869/8436494</w:t>
        </w:r>
      </w:hyperlink>
    </w:p>
    <w:p w14:paraId="3CA1E012" w14:textId="77777777" w:rsidR="00380A7B" w:rsidRDefault="00000000">
      <w:pPr>
        <w:numPr>
          <w:ilvl w:val="0"/>
          <w:numId w:val="5"/>
        </w:numPr>
        <w:pBdr>
          <w:top w:val="nil"/>
          <w:left w:val="nil"/>
          <w:bottom w:val="nil"/>
          <w:right w:val="nil"/>
          <w:between w:val="nil"/>
        </w:pBdr>
      </w:pPr>
      <w:r>
        <w:rPr>
          <w:rFonts w:ascii="Google Sans" w:eastAsia="Google Sans" w:hAnsi="Google Sans" w:cs="Google Sans"/>
          <w:sz w:val="24"/>
          <w:szCs w:val="24"/>
        </w:rPr>
        <w:lastRenderedPageBreak/>
        <w:t xml:space="preserve">中研院下修2025年GDP預測至2.93% 示警新台幣升值壓力持續, 檢索日期：7月 23, 2025， </w:t>
      </w:r>
      <w:hyperlink r:id="rId12">
        <w:r>
          <w:rPr>
            <w:rFonts w:ascii="Google Sans" w:eastAsia="Google Sans" w:hAnsi="Google Sans" w:cs="Google Sans"/>
            <w:color w:val="0000EE"/>
            <w:sz w:val="24"/>
            <w:szCs w:val="24"/>
            <w:u w:val="single"/>
          </w:rPr>
          <w:t>https://www.ivendor.com.tw/website/digital_column_detailed/2834</w:t>
        </w:r>
      </w:hyperlink>
    </w:p>
    <w:p w14:paraId="291DDB5F" w14:textId="77777777" w:rsidR="00380A7B"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台灣製造業明年產值續增、半導體可望突破6兆！工研院：AI拉動百工百業就是「Team Taiwan」, 檢索日期：7月 23, 2025， </w:t>
      </w:r>
      <w:hyperlink r:id="rId13">
        <w:r>
          <w:rPr>
            <w:rFonts w:ascii="Google Sans" w:eastAsia="Google Sans" w:hAnsi="Google Sans" w:cs="Google Sans"/>
            <w:color w:val="0000EE"/>
            <w:sz w:val="24"/>
            <w:szCs w:val="24"/>
            <w:u w:val="single"/>
          </w:rPr>
          <w:t>https://www.businesstoday.com.tw/article/category/183015/post/202412040049/</w:t>
        </w:r>
      </w:hyperlink>
    </w:p>
    <w:p w14:paraId="79759444" w14:textId="77777777" w:rsidR="00380A7B"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台灣住宅建設營造業深度分析報告- 最新訊息 - 城市綠材科技股份有限公司, 檢索日期：7月 23, 2025， </w:t>
      </w:r>
      <w:hyperlink r:id="rId14">
        <w:r>
          <w:rPr>
            <w:rFonts w:ascii="Google Sans" w:eastAsia="Google Sans" w:hAnsi="Google Sans" w:cs="Google Sans"/>
            <w:color w:val="0000EE"/>
            <w:sz w:val="24"/>
            <w:szCs w:val="24"/>
            <w:u w:val="single"/>
          </w:rPr>
          <w:t>https://www.ctgreen.com.tw/modules/news/article.php?storyid=511&amp;uid=0</w:t>
        </w:r>
      </w:hyperlink>
    </w:p>
    <w:p w14:paraId="2EC5DCDB" w14:textId="77777777" w:rsidR="00380A7B"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案量充足營造業2025錢景靚- 日報- 工商時報, 檢索日期：7月 23, 2025， </w:t>
      </w:r>
      <w:hyperlink r:id="rId15">
        <w:r>
          <w:rPr>
            <w:rFonts w:ascii="Google Sans" w:eastAsia="Google Sans" w:hAnsi="Google Sans" w:cs="Google Sans"/>
            <w:color w:val="0000EE"/>
            <w:sz w:val="24"/>
            <w:szCs w:val="24"/>
            <w:u w:val="single"/>
          </w:rPr>
          <w:t>https://www.ctee.com.tw/news/20250114700224-439901</w:t>
        </w:r>
      </w:hyperlink>
    </w:p>
    <w:p w14:paraId="77B68377" w14:textId="77777777" w:rsidR="00380A7B"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營造工程物價漲勢趨緩 - 經濟日報- 聯合報, 檢索日期：7月 23, 2025， </w:t>
      </w:r>
      <w:hyperlink r:id="rId16">
        <w:r>
          <w:rPr>
            <w:rFonts w:ascii="Google Sans" w:eastAsia="Google Sans" w:hAnsi="Google Sans" w:cs="Google Sans"/>
            <w:color w:val="0000EE"/>
            <w:sz w:val="24"/>
            <w:szCs w:val="24"/>
            <w:u w:val="single"/>
          </w:rPr>
          <w:t>https://money.udn.com/money/story/10869/8542166</w:t>
        </w:r>
      </w:hyperlink>
    </w:p>
    <w:p w14:paraId="2FDE5821" w14:textId="77777777" w:rsidR="00380A7B"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總體經濟預測 - 台灣經濟研究院全球資訊網, 檢索日期：7月 23, 2025， </w:t>
      </w:r>
      <w:hyperlink r:id="rId17">
        <w:r>
          <w:rPr>
            <w:rFonts w:ascii="Google Sans" w:eastAsia="Google Sans" w:hAnsi="Google Sans" w:cs="Google Sans"/>
            <w:color w:val="0000EE"/>
            <w:sz w:val="24"/>
            <w:szCs w:val="24"/>
            <w:u w:val="single"/>
          </w:rPr>
          <w:t>https://www.tier.org.tw/forecast/macro_trends.aspx</w:t>
        </w:r>
      </w:hyperlink>
    </w:p>
    <w:p w14:paraId="7FE7B30A" w14:textId="77777777" w:rsidR="00380A7B"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【台灣經濟研究院】113年12月景氣動向調查, 檢索日期：7月 23, 2025， </w:t>
      </w:r>
      <w:hyperlink r:id="rId18">
        <w:r>
          <w:rPr>
            <w:rFonts w:ascii="Google Sans" w:eastAsia="Google Sans" w:hAnsi="Google Sans" w:cs="Google Sans"/>
            <w:color w:val="0000EE"/>
            <w:sz w:val="24"/>
            <w:szCs w:val="24"/>
            <w:u w:val="single"/>
          </w:rPr>
          <w:t>https://www.ncscre.nccu.edu.tw/node/8125</w:t>
        </w:r>
      </w:hyperlink>
    </w:p>
    <w:p w14:paraId="76CC8AA7" w14:textId="77777777" w:rsidR="00380A7B"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本月景氣動向調查 - 台灣經濟研究院, 檢索日期：7月 23, 2025， </w:t>
      </w:r>
      <w:hyperlink r:id="rId19">
        <w:r>
          <w:rPr>
            <w:rFonts w:ascii="Google Sans" w:eastAsia="Google Sans" w:hAnsi="Google Sans" w:cs="Google Sans"/>
            <w:color w:val="0000EE"/>
            <w:sz w:val="24"/>
            <w:szCs w:val="24"/>
            <w:u w:val="single"/>
          </w:rPr>
          <w:t>https://www.tier.org.tw/forecast/forecast.aspx</w:t>
        </w:r>
      </w:hyperlink>
    </w:p>
    <w:p w14:paraId="1FF02AD2" w14:textId="77777777" w:rsidR="00380A7B"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行政院再次籲請立法院理性審查114年度中央政府總預算案(行政院 ..., 檢索日期：7月 23, 2025， </w:t>
      </w:r>
      <w:hyperlink r:id="rId20">
        <w:r>
          <w:rPr>
            <w:rFonts w:ascii="Google Sans" w:eastAsia="Google Sans" w:hAnsi="Google Sans" w:cs="Google Sans"/>
            <w:color w:val="0000EE"/>
            <w:sz w:val="24"/>
            <w:szCs w:val="24"/>
            <w:u w:val="single"/>
          </w:rPr>
          <w:t>https://www.ey.gov.tw/Page/9277F759E41CCD91/b8c6737e-e08a-4356-9622-98812cdd5bab</w:t>
        </w:r>
      </w:hyperlink>
    </w:p>
    <w:p w14:paraId="5BA78165" w14:textId="77777777" w:rsidR="00380A7B"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《各報要聞》創20年新高明年公建規模將衝破6千億, 檢索日期：7月 23, 2025， </w:t>
      </w:r>
      <w:hyperlink r:id="rId21">
        <w:r>
          <w:rPr>
            <w:rFonts w:ascii="Google Sans" w:eastAsia="Google Sans" w:hAnsi="Google Sans" w:cs="Google Sans"/>
            <w:color w:val="0000EE"/>
            <w:sz w:val="24"/>
            <w:szCs w:val="24"/>
            <w:u w:val="single"/>
          </w:rPr>
          <w:t>https://tw.stock.yahoo.com/news/%E5%90%84%E5%A0%B1%E8%A6%81%E8%81%9E-%E5%89%B520%E5%B9%B4%E6%96%B0%E9%AB%98-%E6%98%8E%E5%B9%B4%E5%85%AC%E5%BB%BA%E8%A6%8F%E6%A8%A1%E5%B0%87%E8%A1%9D%E7%A0%B46%E5%8D%83%E5%84%84-010553560.html</w:t>
        </w:r>
      </w:hyperlink>
    </w:p>
    <w:p w14:paraId="441BE7FE" w14:textId="77777777" w:rsidR="00380A7B"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2025年修法強制蓋淨零建築內政部估不影響造價與房價 - 奇摩股市, 檢索日期：7月 23, 2025， </w:t>
      </w:r>
      <w:hyperlink r:id="rId22">
        <w:r>
          <w:rPr>
            <w:rFonts w:ascii="Google Sans" w:eastAsia="Google Sans" w:hAnsi="Google Sans" w:cs="Google Sans"/>
            <w:color w:val="0000EE"/>
            <w:sz w:val="24"/>
            <w:szCs w:val="24"/>
            <w:u w:val="single"/>
          </w:rPr>
          <w:t>https://tw.stock.yahoo.com/news/2025%E5%B9%B4%E4%BF%AE%E6%B3%95%E5%BC%B7%E5%88%B6%E8%93%8B%E6%B7%A8%E9%9B%B6%E5%BB%BA%E7%AF%89-%E5%85%A7%E6%94%BF%E9%83%A8%E4%BC%B0%E4%B8%8D%E5%BD%B1%E9%9F%BF%E9%80%A0%E5%83%B9%E8%88%87%E6%88%BF%E5%83%B9-044951860.html</w:t>
        </w:r>
      </w:hyperlink>
    </w:p>
    <w:p w14:paraId="7D9FCF1D" w14:textId="77777777" w:rsidR="00380A7B"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非崩盤式下跌！專家預估房市將走向這趨勢 - 地產天下- 自由時報, 檢索日期：7月 23, 2025， </w:t>
      </w:r>
      <w:hyperlink r:id="rId23">
        <w:r>
          <w:rPr>
            <w:rFonts w:ascii="Google Sans" w:eastAsia="Google Sans" w:hAnsi="Google Sans" w:cs="Google Sans"/>
            <w:color w:val="0000EE"/>
            <w:sz w:val="24"/>
            <w:szCs w:val="24"/>
            <w:u w:val="single"/>
          </w:rPr>
          <w:t>https://estate.ltn.com.tw/article/23168</w:t>
        </w:r>
      </w:hyperlink>
    </w:p>
    <w:p w14:paraId="76D9958D" w14:textId="77777777" w:rsidR="00380A7B"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預售屋禁止換約是什麼？2025年修法重點&amp;注意事項一次看！ - 住商不動產房屋網, 檢索日期：7月 23, 2025， </w:t>
      </w:r>
      <w:hyperlink r:id="rId24">
        <w:r>
          <w:rPr>
            <w:rFonts w:ascii="Google Sans" w:eastAsia="Google Sans" w:hAnsi="Google Sans" w:cs="Google Sans"/>
            <w:color w:val="0000EE"/>
            <w:sz w:val="24"/>
            <w:szCs w:val="24"/>
            <w:u w:val="single"/>
          </w:rPr>
          <w:t>https://www.hbhousing.com.tw/news/detail.aspx?num=5354</w:t>
        </w:r>
      </w:hyperlink>
    </w:p>
    <w:p w14:paraId="144B3265" w14:textId="77777777" w:rsidR="00380A7B" w:rsidRDefault="00000000">
      <w:pPr>
        <w:numPr>
          <w:ilvl w:val="0"/>
          <w:numId w:val="5"/>
        </w:numPr>
        <w:pBdr>
          <w:top w:val="nil"/>
          <w:left w:val="nil"/>
          <w:bottom w:val="nil"/>
          <w:right w:val="nil"/>
          <w:between w:val="nil"/>
        </w:pBdr>
      </w:pPr>
      <w:r>
        <w:rPr>
          <w:rFonts w:ascii="Google Sans" w:eastAsia="Google Sans" w:hAnsi="Google Sans" w:cs="Google Sans"/>
          <w:sz w:val="24"/>
          <w:szCs w:val="24"/>
        </w:rPr>
        <w:t>2025年臺灣製造業成長6.5% AI扮火車頭領跑百工百業| 聯合新聞網, 檢索日期：7</w:t>
      </w:r>
      <w:r>
        <w:rPr>
          <w:rFonts w:ascii="Google Sans" w:eastAsia="Google Sans" w:hAnsi="Google Sans" w:cs="Google Sans"/>
          <w:sz w:val="24"/>
          <w:szCs w:val="24"/>
        </w:rPr>
        <w:lastRenderedPageBreak/>
        <w:t xml:space="preserve">月 23, 2025， </w:t>
      </w:r>
      <w:hyperlink r:id="rId25">
        <w:r>
          <w:rPr>
            <w:rFonts w:ascii="Google Sans" w:eastAsia="Google Sans" w:hAnsi="Google Sans" w:cs="Google Sans"/>
            <w:color w:val="0000EE"/>
            <w:sz w:val="24"/>
            <w:szCs w:val="24"/>
            <w:u w:val="single"/>
          </w:rPr>
          <w:t>https://udn.com/news/story/6905/8582105</w:t>
        </w:r>
      </w:hyperlink>
    </w:p>
    <w:p w14:paraId="23D8FD06" w14:textId="77777777" w:rsidR="00380A7B"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營建工地大缺工！不只2024，2025工地缺工又破新紀錄| 惠群人力外 ..., 檢索日期：7月 23, 2025， </w:t>
      </w:r>
      <w:hyperlink r:id="rId26">
        <w:r>
          <w:rPr>
            <w:rFonts w:ascii="Google Sans" w:eastAsia="Google Sans" w:hAnsi="Google Sans" w:cs="Google Sans"/>
            <w:color w:val="0000EE"/>
            <w:sz w:val="24"/>
            <w:szCs w:val="24"/>
            <w:u w:val="single"/>
          </w:rPr>
          <w:t>https://manpower.tw/shortage-of-workers-in-construction-site/</w:t>
        </w:r>
      </w:hyperlink>
    </w:p>
    <w:p w14:paraId="566F88B9" w14:textId="77777777" w:rsidR="00380A7B"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2025年土木營建產業趨勢前瞻：不可忽視的五大變革 - 方格子, 檢索日期：7月 23, 2025， </w:t>
      </w:r>
      <w:hyperlink r:id="rId27">
        <w:r>
          <w:rPr>
            <w:rFonts w:ascii="Google Sans" w:eastAsia="Google Sans" w:hAnsi="Google Sans" w:cs="Google Sans"/>
            <w:color w:val="0000EE"/>
            <w:sz w:val="24"/>
            <w:szCs w:val="24"/>
            <w:u w:val="single"/>
          </w:rPr>
          <w:t>https://vocus.cc/article/683bcda7fd8978000172bf0a</w:t>
        </w:r>
      </w:hyperlink>
    </w:p>
    <w:p w14:paraId="0FDD0E3B" w14:textId="77777777" w:rsidR="00380A7B"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營造業法－ 2025最新全國法規資料庫 - 法律人, 檢索日期：7月 23, 2025， </w:t>
      </w:r>
      <w:hyperlink r:id="rId28">
        <w:r>
          <w:rPr>
            <w:rFonts w:ascii="Google Sans" w:eastAsia="Google Sans" w:hAnsi="Google Sans" w:cs="Google Sans"/>
            <w:color w:val="0000EE"/>
            <w:sz w:val="24"/>
            <w:szCs w:val="24"/>
            <w:u w:val="single"/>
          </w:rPr>
          <w:t>https://lawplayer.com/act/6437d09be800e5f0b9301ea4</w:t>
        </w:r>
      </w:hyperlink>
    </w:p>
    <w:p w14:paraId="2E77ABED" w14:textId="77777777" w:rsidR="00380A7B"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組合屋合法嗎？2025年組合屋法規與使用規範一次看！, 檢索日期：7月 23, 2025， </w:t>
      </w:r>
      <w:hyperlink r:id="rId29">
        <w:r>
          <w:rPr>
            <w:rFonts w:ascii="Google Sans" w:eastAsia="Google Sans" w:hAnsi="Google Sans" w:cs="Google Sans"/>
            <w:color w:val="0000EE"/>
            <w:sz w:val="24"/>
            <w:szCs w:val="24"/>
            <w:u w:val="single"/>
          </w:rPr>
          <w:t>https://www.mhweideng.com.tw/blog-detail/modula-house-regulations</w:t>
        </w:r>
      </w:hyperlink>
    </w:p>
    <w:p w14:paraId="400B694E" w14:textId="77777777" w:rsidR="00380A7B"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2025最新建材介紹：綠建築與智慧生活的未來選擇 - 室內設計協會, 檢索日期：7月 23, 2025， </w:t>
      </w:r>
      <w:hyperlink r:id="rId30">
        <w:r>
          <w:rPr>
            <w:rFonts w:ascii="Google Sans" w:eastAsia="Google Sans" w:hAnsi="Google Sans" w:cs="Google Sans"/>
            <w:color w:val="0000EE"/>
            <w:sz w:val="24"/>
            <w:szCs w:val="24"/>
            <w:u w:val="single"/>
          </w:rPr>
          <w:t>https://www.acd-design.org.tw/article-info.asp?id=154</w:t>
        </w:r>
      </w:hyperlink>
    </w:p>
    <w:p w14:paraId="10D3B6BF" w14:textId="77777777" w:rsidR="00380A7B"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台灣綠建築九大評估指標全攻略, 檢索日期：7月 23, 2025， </w:t>
      </w:r>
      <w:hyperlink r:id="rId31">
        <w:r>
          <w:rPr>
            <w:rFonts w:ascii="Google Sans" w:eastAsia="Google Sans" w:hAnsi="Google Sans" w:cs="Google Sans"/>
            <w:color w:val="0000EE"/>
            <w:sz w:val="24"/>
            <w:szCs w:val="24"/>
            <w:u w:val="single"/>
          </w:rPr>
          <w:t>https://www.ctgreen.com.tw/modules/news/article.php?storyid=466</w:t>
        </w:r>
      </w:hyperlink>
    </w:p>
    <w:p w14:paraId="251675F6" w14:textId="77777777" w:rsidR="00380A7B"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EEWH是甚麼？綠建築EEWH介紹。 - 專題文章- 新聞訊息, 檢索日期：7月 23, 2025， </w:t>
      </w:r>
      <w:hyperlink r:id="rId32">
        <w:r>
          <w:rPr>
            <w:rFonts w:ascii="Google Sans" w:eastAsia="Google Sans" w:hAnsi="Google Sans" w:cs="Google Sans"/>
            <w:color w:val="0000EE"/>
            <w:sz w:val="24"/>
            <w:szCs w:val="24"/>
            <w:u w:val="single"/>
          </w:rPr>
          <w:t>https://www.ctgreen.com.tw/modules/news/article.php?storyid=98</w:t>
        </w:r>
      </w:hyperlink>
    </w:p>
    <w:sectPr w:rsidR="00380A7B">
      <w:footerReference w:type="even" r:id="rId33"/>
      <w:footerReference w:type="default" r:id="rId34"/>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B46960" w14:textId="77777777" w:rsidR="00B73A7F" w:rsidRDefault="00B73A7F" w:rsidP="002D4D33">
      <w:r>
        <w:separator/>
      </w:r>
    </w:p>
  </w:endnote>
  <w:endnote w:type="continuationSeparator" w:id="0">
    <w:p w14:paraId="446B0C48" w14:textId="77777777" w:rsidR="00B73A7F" w:rsidRDefault="00B73A7F" w:rsidP="002D4D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DAE384E9-9736-0248-ADC0-99B85F5577BC}"/>
    <w:embedBold r:id="rId2" w:fontKey="{D1549C59-4E72-9543-9AB3-6FCE67DFD98D}"/>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embedRegular r:id="rId3" w:fontKey="{E9C3B309-6FDC-7949-A1DA-D03EB1880B40}"/>
  </w:font>
  <w:font w:name="Georgia">
    <w:panose1 w:val="02040502050405020303"/>
    <w:charset w:val="00"/>
    <w:family w:val="roman"/>
    <w:pitch w:val="variable"/>
    <w:sig w:usb0="00000287" w:usb1="00000000" w:usb2="00000000" w:usb3="00000000" w:csb0="0000009F" w:csb1="00000000"/>
    <w:embedRegular r:id="rId4" w:fontKey="{BAC0AC72-FEDC-6F45-AFC5-2624BEEB3C36}"/>
    <w:embedItalic r:id="rId5" w:fontKey="{D5EACA58-D7F3-5C46-B372-0F9DAE165C6C}"/>
  </w:font>
  <w:font w:name="Google Sans">
    <w:charset w:val="00"/>
    <w:family w:val="auto"/>
    <w:pitch w:val="default"/>
    <w:embedRegular r:id="rId6" w:fontKey="{78AEE50E-D6BF-844D-B28E-2C25AB683143}"/>
    <w:embedBold r:id="rId7" w:fontKey="{55EA9F09-FDFB-934A-AF92-BA20E4B6F09C}"/>
  </w:font>
  <w:font w:name="Google Sans Text">
    <w:charset w:val="00"/>
    <w:family w:val="auto"/>
    <w:pitch w:val="default"/>
    <w:embedRegular r:id="rId8" w:fontKey="{D7DBAE6D-572D-214B-A19E-241FA647A1AB}"/>
    <w:embedBold r:id="rId9" w:fontKey="{FFB84CBC-591B-DF4D-BC12-D4D2BD951FB8}"/>
  </w:font>
  <w:font w:name="Calibri">
    <w:panose1 w:val="020F0502020204030204"/>
    <w:charset w:val="00"/>
    <w:family w:val="swiss"/>
    <w:pitch w:val="variable"/>
    <w:sig w:usb0="E0002AFF" w:usb1="C000247B" w:usb2="00000009" w:usb3="00000000" w:csb0="000001FF" w:csb1="00000000"/>
    <w:embedRegular r:id="rId10" w:fontKey="{2F251B78-D26D-6042-AEDA-21F2D681C67E}"/>
  </w:font>
  <w:font w:name="Cambria">
    <w:panose1 w:val="02040503050406030204"/>
    <w:charset w:val="00"/>
    <w:family w:val="roman"/>
    <w:pitch w:val="variable"/>
    <w:sig w:usb0="E00002FF" w:usb1="400004FF" w:usb2="00000000" w:usb3="00000000" w:csb0="0000019F" w:csb1="00000000"/>
    <w:embedRegular r:id="rId11" w:fontKey="{C4D608B1-FFC7-824F-9920-9E367C94DD6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8"/>
      </w:rPr>
      <w:id w:val="-1333986628"/>
      <w:docPartObj>
        <w:docPartGallery w:val="Page Numbers (Bottom of Page)"/>
        <w:docPartUnique/>
      </w:docPartObj>
    </w:sdtPr>
    <w:sdtContent>
      <w:p w14:paraId="27848796" w14:textId="4C76792E" w:rsidR="002D4D33" w:rsidRDefault="002D4D33" w:rsidP="00FB6D72">
        <w:pPr>
          <w:pStyle w:val="a6"/>
          <w:framePr w:wrap="none" w:vAnchor="text" w:hAnchor="margin" w:xAlign="center" w:y="1"/>
          <w:rPr>
            <w:rStyle w:val="a8"/>
          </w:rPr>
        </w:pPr>
        <w:r>
          <w:rPr>
            <w:rStyle w:val="a8"/>
          </w:rPr>
          <w:fldChar w:fldCharType="begin"/>
        </w:r>
        <w:r>
          <w:rPr>
            <w:rStyle w:val="a8"/>
          </w:rPr>
          <w:instrText xml:space="preserve"> PAGE </w:instrText>
        </w:r>
        <w:r>
          <w:rPr>
            <w:rStyle w:val="a8"/>
          </w:rPr>
          <w:fldChar w:fldCharType="separate"/>
        </w:r>
        <w:r>
          <w:rPr>
            <w:rStyle w:val="a8"/>
          </w:rPr>
          <w:fldChar w:fldCharType="end"/>
        </w:r>
      </w:p>
    </w:sdtContent>
  </w:sdt>
  <w:p w14:paraId="3F973978" w14:textId="77777777" w:rsidR="002D4D33" w:rsidRDefault="002D4D33">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8"/>
      </w:rPr>
      <w:id w:val="712235471"/>
      <w:docPartObj>
        <w:docPartGallery w:val="Page Numbers (Bottom of Page)"/>
        <w:docPartUnique/>
      </w:docPartObj>
    </w:sdtPr>
    <w:sdtContent>
      <w:p w14:paraId="552C36FD" w14:textId="21C320DC" w:rsidR="002D4D33" w:rsidRDefault="002D4D33" w:rsidP="00FB6D72">
        <w:pPr>
          <w:pStyle w:val="a6"/>
          <w:framePr w:wrap="none" w:vAnchor="text" w:hAnchor="margin" w:xAlign="center" w:y="1"/>
          <w:rPr>
            <w:rStyle w:val="a8"/>
          </w:rPr>
        </w:pPr>
        <w:r>
          <w:rPr>
            <w:rStyle w:val="a8"/>
          </w:rPr>
          <w:fldChar w:fldCharType="begin"/>
        </w:r>
        <w:r>
          <w:rPr>
            <w:rStyle w:val="a8"/>
          </w:rPr>
          <w:instrText xml:space="preserve"> PAGE </w:instrText>
        </w:r>
        <w:r>
          <w:rPr>
            <w:rStyle w:val="a8"/>
          </w:rPr>
          <w:fldChar w:fldCharType="separate"/>
        </w:r>
        <w:r>
          <w:rPr>
            <w:rStyle w:val="a8"/>
            <w:noProof/>
          </w:rPr>
          <w:t>1</w:t>
        </w:r>
        <w:r>
          <w:rPr>
            <w:rStyle w:val="a8"/>
          </w:rPr>
          <w:fldChar w:fldCharType="end"/>
        </w:r>
      </w:p>
    </w:sdtContent>
  </w:sdt>
  <w:p w14:paraId="29B30DFC" w14:textId="77777777" w:rsidR="002D4D33" w:rsidRDefault="002D4D33">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86A8CD" w14:textId="77777777" w:rsidR="00B73A7F" w:rsidRDefault="00B73A7F" w:rsidP="002D4D33">
      <w:r>
        <w:separator/>
      </w:r>
    </w:p>
  </w:footnote>
  <w:footnote w:type="continuationSeparator" w:id="0">
    <w:p w14:paraId="6BEA7A44" w14:textId="77777777" w:rsidR="00B73A7F" w:rsidRDefault="00B73A7F" w:rsidP="002D4D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E31188"/>
    <w:multiLevelType w:val="multilevel"/>
    <w:tmpl w:val="7D8ABF2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4A1B3C17"/>
    <w:multiLevelType w:val="multilevel"/>
    <w:tmpl w:val="DEB08E4C"/>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51F745FF"/>
    <w:multiLevelType w:val="multilevel"/>
    <w:tmpl w:val="FAE4C4B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60A20138"/>
    <w:multiLevelType w:val="multilevel"/>
    <w:tmpl w:val="E02443A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67FE5795"/>
    <w:multiLevelType w:val="multilevel"/>
    <w:tmpl w:val="675CAF0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1569874827">
    <w:abstractNumId w:val="0"/>
  </w:num>
  <w:num w:numId="2" w16cid:durableId="1222323234">
    <w:abstractNumId w:val="2"/>
  </w:num>
  <w:num w:numId="3" w16cid:durableId="326443620">
    <w:abstractNumId w:val="4"/>
  </w:num>
  <w:num w:numId="4" w16cid:durableId="520166081">
    <w:abstractNumId w:val="3"/>
  </w:num>
  <w:num w:numId="5" w16cid:durableId="3336567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0A7B"/>
    <w:rsid w:val="002D4D33"/>
    <w:rsid w:val="00380A7B"/>
    <w:rsid w:val="00B73A7F"/>
    <w:rsid w:val="00D612F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73E89336"/>
  <w15:docId w15:val="{8FEBC2E8-2226-9044-8954-F120F4521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zh-TW"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spacing w:before="240" w:after="240"/>
      <w:outlineLvl w:val="0"/>
    </w:pPr>
    <w:rPr>
      <w:b/>
      <w:sz w:val="48"/>
      <w:szCs w:val="48"/>
    </w:rPr>
  </w:style>
  <w:style w:type="paragraph" w:styleId="2">
    <w:name w:val="heading 2"/>
    <w:basedOn w:val="a"/>
    <w:next w:val="a"/>
    <w:uiPriority w:val="9"/>
    <w:unhideWhenUsed/>
    <w:qFormat/>
    <w:pPr>
      <w:pBdr>
        <w:top w:val="nil"/>
        <w:left w:val="nil"/>
        <w:bottom w:val="nil"/>
        <w:right w:val="nil"/>
        <w:between w:val="nil"/>
      </w:pBdr>
      <w:spacing w:before="225" w:after="225"/>
      <w:outlineLvl w:val="1"/>
    </w:pPr>
    <w:rPr>
      <w:b/>
      <w:sz w:val="36"/>
      <w:szCs w:val="36"/>
    </w:rPr>
  </w:style>
  <w:style w:type="paragraph" w:styleId="3">
    <w:name w:val="heading 3"/>
    <w:basedOn w:val="a"/>
    <w:next w:val="a"/>
    <w:uiPriority w:val="9"/>
    <w:unhideWhenUsed/>
    <w:qFormat/>
    <w:pPr>
      <w:pBdr>
        <w:top w:val="nil"/>
        <w:left w:val="nil"/>
        <w:bottom w:val="nil"/>
        <w:right w:val="nil"/>
        <w:between w:val="nil"/>
      </w:pBdr>
      <w:spacing w:before="240" w:after="240"/>
      <w:outlineLvl w:val="2"/>
    </w:pPr>
    <w:rPr>
      <w:b/>
      <w:sz w:val="28"/>
      <w:szCs w:val="28"/>
    </w:rPr>
  </w:style>
  <w:style w:type="paragraph" w:styleId="4">
    <w:name w:val="heading 4"/>
    <w:basedOn w:val="a"/>
    <w:next w:val="a"/>
    <w:uiPriority w:val="9"/>
    <w:unhideWhenUsed/>
    <w:qFormat/>
    <w:pPr>
      <w:pBdr>
        <w:top w:val="nil"/>
        <w:left w:val="nil"/>
        <w:bottom w:val="nil"/>
        <w:right w:val="nil"/>
        <w:between w:val="nil"/>
      </w:pBdr>
      <w:spacing w:before="255" w:after="255"/>
      <w:outlineLvl w:val="3"/>
    </w:pPr>
    <w:rPr>
      <w:b/>
      <w:sz w:val="24"/>
      <w:szCs w:val="24"/>
    </w:rPr>
  </w:style>
  <w:style w:type="paragraph" w:styleId="5">
    <w:name w:val="heading 5"/>
    <w:basedOn w:val="a"/>
    <w:next w:val="a"/>
    <w:uiPriority w:val="9"/>
    <w:semiHidden/>
    <w:unhideWhenUsed/>
    <w:qFormat/>
    <w:pPr>
      <w:pBdr>
        <w:top w:val="nil"/>
        <w:left w:val="nil"/>
        <w:bottom w:val="nil"/>
        <w:right w:val="nil"/>
        <w:between w:val="nil"/>
      </w:pBdr>
      <w:spacing w:before="255" w:after="255"/>
      <w:outlineLvl w:val="4"/>
    </w:pPr>
    <w:rPr>
      <w:b/>
      <w:sz w:val="18"/>
      <w:szCs w:val="18"/>
    </w:rPr>
  </w:style>
  <w:style w:type="paragraph" w:styleId="6">
    <w:name w:val="heading 6"/>
    <w:basedOn w:val="a"/>
    <w:next w:val="a"/>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a6">
    <w:name w:val="footer"/>
    <w:basedOn w:val="a"/>
    <w:link w:val="a7"/>
    <w:uiPriority w:val="99"/>
    <w:unhideWhenUsed/>
    <w:rsid w:val="002D4D33"/>
    <w:pPr>
      <w:tabs>
        <w:tab w:val="center" w:pos="4153"/>
        <w:tab w:val="right" w:pos="8306"/>
      </w:tabs>
      <w:snapToGrid w:val="0"/>
    </w:pPr>
    <w:rPr>
      <w:sz w:val="20"/>
      <w:szCs w:val="20"/>
    </w:rPr>
  </w:style>
  <w:style w:type="character" w:customStyle="1" w:styleId="a7">
    <w:name w:val="頁尾 字元"/>
    <w:basedOn w:val="a0"/>
    <w:link w:val="a6"/>
    <w:uiPriority w:val="99"/>
    <w:rsid w:val="002D4D33"/>
    <w:rPr>
      <w:sz w:val="20"/>
      <w:szCs w:val="20"/>
    </w:rPr>
  </w:style>
  <w:style w:type="character" w:styleId="a8">
    <w:name w:val="page number"/>
    <w:basedOn w:val="a0"/>
    <w:uiPriority w:val="99"/>
    <w:semiHidden/>
    <w:unhideWhenUsed/>
    <w:rsid w:val="002D4D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businesstoday.com.tw/article/category/183015/post/202412040049/" TargetMode="External"/><Relationship Id="rId18" Type="http://schemas.openxmlformats.org/officeDocument/2006/relationships/hyperlink" Target="https://www.ncscre.nccu.edu.tw/node/8125" TargetMode="External"/><Relationship Id="rId26" Type="http://schemas.openxmlformats.org/officeDocument/2006/relationships/hyperlink" Target="https://manpower.tw/shortage-of-workers-in-construction-site/" TargetMode="External"/><Relationship Id="rId3" Type="http://schemas.openxmlformats.org/officeDocument/2006/relationships/settings" Target="settings.xml"/><Relationship Id="rId21" Type="http://schemas.openxmlformats.org/officeDocument/2006/relationships/hyperlink" Target="https://tw.stock.yahoo.com/news/%E5%90%84%E5%A0%B1%E8%A6%81%E8%81%9E-%E5%89%B520%E5%B9%B4%E6%96%B0%E9%AB%98-%E6%98%8E%E5%B9%B4%E5%85%AC%E5%BB%BA%E8%A6%8F%E6%A8%A1%E5%B0%87%E8%A1%9D%E7%A0%B46%E5%8D%83%E5%84%84-010553560.html" TargetMode="External"/><Relationship Id="rId34" Type="http://schemas.openxmlformats.org/officeDocument/2006/relationships/footer" Target="footer2.xml"/><Relationship Id="rId7" Type="http://schemas.openxmlformats.org/officeDocument/2006/relationships/hyperlink" Target="https://tw.stock.yahoo.com/news/%E6%98%9F%E5%B1%952025%E5%B9%B4q1%E5%8F%B0%E7%81%A3%E7%B6%93%E6%BF%9F%E5%B1%95%E6%9C%9B-gdp%E6%88%90%E9%95%B7%E7%8E%87%E4%BC%B03-0-%E6%88%BF%E5%B8%82%E8%BB%9F%E8%91%97%E9%99%B8-113856816.html" TargetMode="External"/><Relationship Id="rId12" Type="http://schemas.openxmlformats.org/officeDocument/2006/relationships/hyperlink" Target="https://www.ivendor.com.tw/website/digital_column_detailed/2834" TargetMode="External"/><Relationship Id="rId17" Type="http://schemas.openxmlformats.org/officeDocument/2006/relationships/hyperlink" Target="https://www.tier.org.tw/forecast/macro_trends.aspx" TargetMode="External"/><Relationship Id="rId25" Type="http://schemas.openxmlformats.org/officeDocument/2006/relationships/hyperlink" Target="https://udn.com/news/story/6905/8582105" TargetMode="External"/><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money.udn.com/money/story/10869/8542166" TargetMode="External"/><Relationship Id="rId20" Type="http://schemas.openxmlformats.org/officeDocument/2006/relationships/hyperlink" Target="https://www.ey.gov.tw/Page/9277F759E41CCD91/b8c6737e-e08a-4356-9622-98812cdd5bab" TargetMode="External"/><Relationship Id="rId29" Type="http://schemas.openxmlformats.org/officeDocument/2006/relationships/hyperlink" Target="https://www.mhweideng.com.tw/blog-detail/modula-house-regulation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oney.udn.com/money/story/10869/8436494" TargetMode="External"/><Relationship Id="rId24" Type="http://schemas.openxmlformats.org/officeDocument/2006/relationships/hyperlink" Target="https://www.hbhousing.com.tw/news/detail.aspx?num=5354" TargetMode="External"/><Relationship Id="rId32" Type="http://schemas.openxmlformats.org/officeDocument/2006/relationships/hyperlink" Target="https://www.ctgreen.com.tw/modules/news/article.php?storyid=98" TargetMode="External"/><Relationship Id="rId5" Type="http://schemas.openxmlformats.org/officeDocument/2006/relationships/footnotes" Target="footnotes.xml"/><Relationship Id="rId15" Type="http://schemas.openxmlformats.org/officeDocument/2006/relationships/hyperlink" Target="https://www.ctee.com.tw/news/20250114700224-439901" TargetMode="External"/><Relationship Id="rId23" Type="http://schemas.openxmlformats.org/officeDocument/2006/relationships/hyperlink" Target="https://estate.ltn.com.tw/article/23168" TargetMode="External"/><Relationship Id="rId28" Type="http://schemas.openxmlformats.org/officeDocument/2006/relationships/hyperlink" Target="https://lawplayer.com/act/6437d09be800e5f0b9301ea4" TargetMode="External"/><Relationship Id="rId36" Type="http://schemas.openxmlformats.org/officeDocument/2006/relationships/theme" Target="theme/theme1.xml"/><Relationship Id="rId10" Type="http://schemas.openxmlformats.org/officeDocument/2006/relationships/hyperlink" Target="https://www.tri.org.tw/include/download.php?dl=MjAyMjAwMTI4X158ZG93bmxvYWRefDAwMDAwMDAxMzE%3D" TargetMode="External"/><Relationship Id="rId19" Type="http://schemas.openxmlformats.org/officeDocument/2006/relationships/hyperlink" Target="https://www.tier.org.tw/forecast/forecast.aspx" TargetMode="External"/><Relationship Id="rId31" Type="http://schemas.openxmlformats.org/officeDocument/2006/relationships/hyperlink" Target="https://www.ctgreen.com.tw/modules/news/article.php?storyid=466" TargetMode="External"/><Relationship Id="rId4" Type="http://schemas.openxmlformats.org/officeDocument/2006/relationships/webSettings" Target="webSettings.xml"/><Relationship Id="rId9" Type="http://schemas.openxmlformats.org/officeDocument/2006/relationships/hyperlink" Target="https://www.cier.edu.tw/eco_cat/tmf-ch/" TargetMode="External"/><Relationship Id="rId14" Type="http://schemas.openxmlformats.org/officeDocument/2006/relationships/hyperlink" Target="https://www.ctgreen.com.tw/modules/news/article.php?storyid=511&amp;uid=0" TargetMode="External"/><Relationship Id="rId22" Type="http://schemas.openxmlformats.org/officeDocument/2006/relationships/hyperlink" Target="https://tw.stock.yahoo.com/news/2025%E5%B9%B4%E4%BF%AE%E6%B3%95%E5%BC%B7%E5%88%B6%E8%93%8B%E6%B7%A8%E9%9B%B6%E5%BB%BA%E7%AF%89-%E5%85%A7%E6%94%BF%E9%83%A8%E4%BC%B0%E4%B8%8D%E5%BD%B1%E9%9F%BF%E9%80%A0%E5%83%B9%E8%88%87%E6%88%BF%E5%83%B9-044951860.html" TargetMode="External"/><Relationship Id="rId27" Type="http://schemas.openxmlformats.org/officeDocument/2006/relationships/hyperlink" Target="https://vocus.cc/article/683bcda7fd8978000172bf0a" TargetMode="External"/><Relationship Id="rId30" Type="http://schemas.openxmlformats.org/officeDocument/2006/relationships/hyperlink" Target="https://www.acd-design.org.tw/article-info.asp?id=154" TargetMode="External"/><Relationship Id="rId35" Type="http://schemas.openxmlformats.org/officeDocument/2006/relationships/fontTable" Target="fontTable.xml"/><Relationship Id="rId8" Type="http://schemas.openxmlformats.org/officeDocument/2006/relationships/hyperlink" Target="https://tw.news.yahoo.com/%E4%B8%AD%E7%B6%93%E9%99%A2-2025%E5%8F%B0%E7%81%A3%E7%B6%93%E6%BF%9F%E5%91%88-%E4%B8%8A%E7%86%B1%E4%B8%8B%E5%86%B7-%E5%85%A8%E5%B9%B4%E9%A0%90%E4%BC%B0%E6%88%90%E9%95%B73-05-031415495.html"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2762</Words>
  <Characters>15748</Characters>
  <Application>Microsoft Office Word</Application>
  <DocSecurity>0</DocSecurity>
  <Lines>131</Lines>
  <Paragraphs>36</Paragraphs>
  <ScaleCrop>false</ScaleCrop>
  <Company/>
  <LinksUpToDate>false</LinksUpToDate>
  <CharactersWithSpaces>18474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李依潔</cp:lastModifiedBy>
  <cp:revision>2</cp:revision>
  <dcterms:created xsi:type="dcterms:W3CDTF">2025-08-21T06:58:00Z</dcterms:created>
  <dcterms:modified xsi:type="dcterms:W3CDTF">2025-08-21T06:59:00Z</dcterms:modified>
</cp:coreProperties>
</file>