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Georgia" w:cs="Georgia" w:eastAsia="Georgia" w:hAnsi="Georgia"/>
          <w:color w:val="1a2540"/>
          <w:sz w:val="40"/>
          <w:szCs w:val="40"/>
        </w:rPr>
        <w:t xml:space="preserve">Substrate Field Dynamics and</w:t>
      </w:r>
    </w:p>
    <w:p>
      <w:pPr>
        <w:spacing w:after="200"/>
        <w:jc w:val="center"/>
      </w:pPr>
      <w:r>
        <w:rPr>
          <w:rFonts w:ascii="Georgia" w:cs="Georgia" w:eastAsia="Georgia" w:hAnsi="Georgia"/>
          <w:color w:val="1a2540"/>
          <w:sz w:val="40"/>
          <w:szCs w:val="40"/>
        </w:rPr>
        <w:t xml:space="preserve">Galaxy Rotation Curve Recovery</w:t>
      </w:r>
    </w:p>
    <w:p>
      <w:pPr>
        <w:spacing w:after="100"/>
        <w:jc w:val="center"/>
      </w:pPr>
      <w:r>
        <w:rPr>
          <w:rFonts w:ascii="Georgia" w:cs="Georgia" w:eastAsia="Georgia" w:hAnsi="Georgia"/>
          <w:color w:val="4a5a7a"/>
          <w:sz w:val="26"/>
          <w:szCs w:val="26"/>
        </w:rPr>
        <w:t xml:space="preserve">A Multi-Layer Damped Wave Model Validated Against</w:t>
      </w:r>
    </w:p>
    <w:p>
      <w:pPr>
        <w:spacing w:after="400"/>
        <w:jc w:val="center"/>
      </w:pPr>
      <w:r>
        <w:rPr>
          <w:rFonts w:ascii="Georgia" w:cs="Georgia" w:eastAsia="Georgia" w:hAnsi="Georgia"/>
          <w:color w:val="4a5a7a"/>
          <w:sz w:val="26"/>
          <w:szCs w:val="26"/>
        </w:rPr>
        <w:t xml:space="preserve">175 SPARC Galaxies</w:t>
      </w:r>
    </w:p>
    <w:p>
      <w:pPr>
        <w:spacing w:after="100"/>
        <w:jc w:val="center"/>
      </w:pPr>
      <w:r>
        <w:rPr>
          <w:rFonts w:ascii="Arial" w:cs="Arial" w:eastAsia="Arial" w:hAnsi="Arial"/>
          <w:b/>
          <w:bCs/>
          <w:sz w:val="24"/>
          <w:szCs w:val="24"/>
        </w:rPr>
        <w:t xml:space="preserve">Stephen Justin Burdick Sr.</w:t>
      </w:r>
    </w:p>
    <w:p>
      <w:pPr>
        <w:spacing w:after="100"/>
        <w:jc w:val="center"/>
      </w:pPr>
      <w:r>
        <w:rPr>
          <w:rFonts w:ascii="Arial" w:cs="Arial" w:eastAsia="Arial" w:hAnsi="Arial"/>
          <w:i/>
          <w:iCs/>
          <w:sz w:val="22"/>
          <w:szCs w:val="22"/>
        </w:rPr>
        <w:t xml:space="preserve">Emerald Entities LLC</w:t>
      </w:r>
    </w:p>
    <w:p>
      <w:pPr>
        <w:spacing w:after="100"/>
        <w:jc w:val="center"/>
      </w:pPr>
      <w:r>
        <w:rPr>
          <w:rFonts w:ascii="Arial" w:cs="Arial" w:eastAsia="Arial" w:hAnsi="Arial"/>
          <w:sz w:val="20"/>
          <w:szCs w:val="20"/>
        </w:rPr>
        <w:t xml:space="preserve">NSF I-Corps Program — Team GIBUSH</w:t>
      </w:r>
    </w:p>
    <w:p>
      <w:pPr>
        <w:spacing w:after="600"/>
        <w:jc w:val="center"/>
      </w:pPr>
      <w:r>
        <w:rPr>
          <w:rFonts w:ascii="Arial" w:cs="Arial" w:eastAsia="Arial" w:hAnsi="Arial"/>
          <w:sz w:val="22"/>
          <w:szCs w:val="22"/>
        </w:rPr>
        <w:t xml:space="preserve">March 25, 2026</w:t>
      </w:r>
    </w:p>
    <w:p>
      <w:pPr>
        <w:spacing w:after="200"/>
        <w:jc w:val="center"/>
      </w:pPr>
      <w:r>
        <w:rPr>
          <w:rFonts w:ascii="Arial" w:cs="Arial" w:eastAsia="Arial" w:hAnsi="Arial"/>
          <w:b/>
          <w:bCs/>
          <w:color w:val="880000"/>
          <w:sz w:val="18"/>
          <w:szCs w:val="18"/>
        </w:rPr>
        <w:t xml:space="preserve">PRELIMINARY — PATENT PENDING — ALL RIGHTS RESERVED</w:t>
      </w:r>
    </w:p>
    <w:p>
      <w:r>
        <w:br/>
      </w:r>
    </w:p>
    <w:p>
      <w:pPr>
        <w:pStyle w:val="Heading1"/>
        <w:spacing w:before="300" w:after="200"/>
      </w:pPr>
      <w:r>
        <w:rPr>
          <w:b/>
          <w:bCs/>
        </w:rPr>
        <w:t xml:space="preserve">Abstract</w:t>
      </w:r>
    </w:p>
    <w:p>
      <w:pPr>
        <w:spacing w:after="200" w:line="300"/>
      </w:pPr>
      <w:r>
        <w:rPr>
          <w:rFonts w:ascii="Arial" w:cs="Arial" w:eastAsia="Arial" w:hAnsi="Arial"/>
          <w:sz w:val="22"/>
          <w:szCs w:val="22"/>
        </w:rPr>
        <w:t xml:space="preserve">We present a numerical framework in which gravitational potential emerges from damped wave propagation on a stack of entangled two-dimensional substrates. The model contains two fixed parameters: a decay rate λ (interpreted as the maintenance cost of spatial extent) and a damping coefficient γ. Using baryonic mass distributions from the SPARC database (Lelli, McGaugh, and Schombert, 2016) as sole input, we compare the substrate-predicted gravitational potential against the Newtonian Poisson solution across 175 disk galaxies spanning five decades in stellar mass.</w:t>
      </w:r>
    </w:p>
    <w:p>
      <w:pPr>
        <w:spacing w:after="200" w:line="300"/>
      </w:pPr>
      <w:r>
        <w:rPr>
          <w:rFonts w:ascii="Arial" w:cs="Arial" w:eastAsia="Arial" w:hAnsi="Arial"/>
          <w:sz w:val="22"/>
          <w:szCs w:val="22"/>
        </w:rPr>
        <w:t xml:space="preserve">At λ = 0.01, the model achieves a mean radial correlation of +0.9825 against Newtonian gravity, with 172 of 175 galaxies (98.3%) exceeding +0.90 inner correlation and 161 (92.0%) exceeding +0.95. Zero galaxies produce negative correlations. This represents a complete sweep of the SPARC dataset without per-galaxy parameter tuning.</w:t>
      </w:r>
    </w:p>
    <w:p>
      <w:pPr>
        <w:spacing w:after="200" w:line="300"/>
      </w:pPr>
      <w:r>
        <w:rPr>
          <w:rFonts w:ascii="Arial" w:cs="Arial" w:eastAsia="Arial" w:hAnsi="Arial"/>
          <w:sz w:val="22"/>
          <w:szCs w:val="22"/>
        </w:rPr>
        <w:t xml:space="preserve">For the benchmark galaxy NGC2403, the substrate model achieves RMS error of 29.61 km/s against observed rotation velocities compared to 37.90 km/s for baryonic Newtonian prediction alone, a shape correlation of +0.928 versus +0.175 for Newton. The substrate model outperforms baryonic Newton in both overall and outer-radius fit without invoking dark matter.</w:t>
      </w:r>
    </w:p>
    <w:p>
      <w:pPr>
        <w:spacing w:after="200" w:line="300"/>
      </w:pPr>
      <w:r>
        <w:rPr>
          <w:rFonts w:ascii="Arial" w:cs="Arial" w:eastAsia="Arial" w:hAnsi="Arial"/>
          <w:sz w:val="22"/>
          <w:szCs w:val="22"/>
        </w:rPr>
        <w:t xml:space="preserve">The parameter λ exhibits structural correspondence with the cosmological constant Λ: both function as maintenance or decay terms governing the persistence of spatial structure. The implications of this correspondence are discussed but not claimed as proven.</w:t>
      </w:r>
    </w:p>
    <w:p>
      <w:r>
        <w:br/>
      </w:r>
    </w:p>
    <w:p>
      <w:pPr>
        <w:pStyle w:val="Heading1"/>
        <w:spacing w:before="300" w:after="200"/>
      </w:pPr>
      <w:r>
        <w:rPr>
          <w:b/>
          <w:bCs/>
        </w:rPr>
        <w:t xml:space="preserve">1. Introduction</w:t>
      </w:r>
    </w:p>
    <w:p>
      <w:pPr>
        <w:spacing w:after="200" w:line="300"/>
      </w:pPr>
      <w:r>
        <w:rPr>
          <w:rFonts w:ascii="Arial" w:cs="Arial" w:eastAsia="Arial" w:hAnsi="Arial"/>
          <w:sz w:val="22"/>
          <w:szCs w:val="22"/>
        </w:rPr>
        <w:t xml:space="preserve">The galaxy rotation curve problem remains one of the most significant open questions in physics. Observed rotation velocities of disk galaxies consistently exceed predictions based on visible baryonic matter, with discrepancies growing at large galactocentric radii. The standard explanation invokes dark matter — a non-baryonic, non-luminous component constituting approximately 27% of the universe’s mass-energy content. Despite decades of experimental effort, dark matter particles have not been directly detected.</w:t>
      </w:r>
    </w:p>
    <w:p>
      <w:pPr>
        <w:spacing w:after="200" w:line="300"/>
      </w:pPr>
      <w:r>
        <w:rPr>
          <w:rFonts w:ascii="Arial" w:cs="Arial" w:eastAsia="Arial" w:hAnsi="Arial"/>
          <w:sz w:val="22"/>
          <w:szCs w:val="22"/>
        </w:rPr>
        <w:t xml:space="preserve">Alternative approaches include Modified Newtonian Dynamics (MOND), emergent gravity theories, and various extensions of general relativity. Each addresses aspects of the rotation curve problem but introduces its own theoretical commitments and free parameters.</w:t>
      </w:r>
    </w:p>
    <w:p>
      <w:pPr>
        <w:spacing w:after="200" w:line="300"/>
      </w:pPr>
      <w:r>
        <w:rPr>
          <w:rFonts w:ascii="Arial" w:cs="Arial" w:eastAsia="Arial" w:hAnsi="Arial"/>
          <w:sz w:val="22"/>
          <w:szCs w:val="22"/>
        </w:rPr>
        <w:t xml:space="preserve">This work presents a fundamentally different approach: gravity as an emergent property of wave propagation on a pre-existing two-dimensional substrate. The central physical claim is that space is not a passive container but an active medium requiring continuous energy input to maintain detectable structure. The decay of this agitation produces a potential field that recovers Newtonian gravity in the near field and naturally screens at cosmological distances.</w:t>
      </w:r>
    </w:p>
    <w:p>
      <w:pPr>
        <w:pStyle w:val="Heading1"/>
        <w:spacing w:before="300" w:after="200"/>
      </w:pPr>
      <w:r>
        <w:rPr>
          <w:b/>
          <w:bCs/>
        </w:rPr>
        <w:t xml:space="preserve">2. Theoretical Framework</w:t>
      </w:r>
    </w:p>
    <w:p>
      <w:pPr>
        <w:pStyle w:val="Heading2"/>
        <w:spacing w:before="300" w:after="200"/>
      </w:pPr>
      <w:r>
        <w:rPr>
          <w:b/>
          <w:bCs/>
        </w:rPr>
        <w:t xml:space="preserve">2.1 Substrate Dynamics</w:t>
      </w:r>
    </w:p>
    <w:p>
      <w:pPr>
        <w:spacing w:after="200" w:line="300"/>
      </w:pPr>
      <w:r>
        <w:rPr>
          <w:rFonts w:ascii="Arial" w:cs="Arial" w:eastAsia="Arial" w:hAnsi="Arial"/>
          <w:sz w:val="22"/>
          <w:szCs w:val="22"/>
        </w:rPr>
        <w:t xml:space="preserve">The model posits a pre-existing two-dimensional medium (the substrate) upon which observable space is an emergent property of continuous wave agitation. The fundamental field variable ρ(x, y, t) represents the instantaneous agitation density at each point on the substrate. The dynamics are governed by a damped wave equation:</w:t>
      </w:r>
    </w:p>
    <w:p>
      <w:pPr>
        <w:spacing w:before="100" w:after="100" w:line="276"/>
        <w:jc w:val="center"/>
      </w:pPr>
      <w:r>
        <w:rPr>
          <w:rFonts w:ascii="Consolas" w:cs="Consolas" w:eastAsia="Consolas" w:hAnsi="Consolas"/>
          <w:sz w:val="20"/>
          <w:szCs w:val="20"/>
        </w:rPr>
        <w:t xml:space="preserve">∂²ρ/∂t² = C²∇²ρ − λρ + J − γ(∂ρ/∂t)</w:t>
      </w:r>
    </w:p>
    <w:p>
      <w:pPr>
        <w:spacing w:after="200" w:line="300"/>
      </w:pPr>
      <w:r>
        <w:rPr>
          <w:rFonts w:ascii="Arial" w:cs="Arial" w:eastAsia="Arial" w:hAnsi="Arial"/>
          <w:sz w:val="22"/>
          <w:szCs w:val="22"/>
        </w:rPr>
        <w:t xml:space="preserve">where C is the wave propagation speed, λ is the decay rate (maintenance cost), J is the source term derived from baryonic mass distribution, and γ is the damping coefficient preventing indefinite oscillation.</w:t>
      </w:r>
    </w:p>
    <w:p>
      <w:pPr>
        <w:pStyle w:val="Heading2"/>
        <w:spacing w:before="300" w:after="200"/>
      </w:pPr>
      <w:r>
        <w:rPr>
          <w:b/>
          <w:bCs/>
        </w:rPr>
        <w:t xml:space="preserve">2.2 Cumulative Memory</w:t>
      </w:r>
    </w:p>
    <w:p>
      <w:pPr>
        <w:spacing w:after="200" w:line="300"/>
      </w:pPr>
      <w:r>
        <w:rPr>
          <w:rFonts w:ascii="Arial" w:cs="Arial" w:eastAsia="Arial" w:hAnsi="Arial"/>
          <w:sz w:val="22"/>
          <w:szCs w:val="22"/>
        </w:rPr>
        <w:t xml:space="preserve">The gravitational potential emerges not from instantaneous agitation but from cumulative geological memory, defined as:</w:t>
      </w:r>
    </w:p>
    <w:p>
      <w:pPr>
        <w:spacing w:before="100" w:after="100" w:line="276"/>
        <w:jc w:val="center"/>
      </w:pPr>
      <w:r>
        <w:rPr>
          <w:rFonts w:ascii="Consolas" w:cs="Consolas" w:eastAsia="Consolas" w:hAnsi="Consolas"/>
          <w:sz w:val="20"/>
          <w:szCs w:val="20"/>
        </w:rPr>
        <w:t xml:space="preserve">Σ(x, y, t) = ∫ |ρ(x, y, t’)| dt’ − εΣ</w:t>
      </w:r>
    </w:p>
    <w:p>
      <w:pPr>
        <w:spacing w:after="200" w:line="300"/>
      </w:pPr>
      <w:r>
        <w:rPr>
          <w:rFonts w:ascii="Arial" w:cs="Arial" w:eastAsia="Arial" w:hAnsi="Arial"/>
          <w:sz w:val="22"/>
          <w:szCs w:val="22"/>
        </w:rPr>
        <w:t xml:space="preserve">The cumulative field Σ integrates total agitation energy over time, with slow decay governed by ε. The gravitational potential is identified as Ψ = −Σ, with the sign correction ensuring alignment with the general relativistic weak-field metric g₀₀ ≈ −(1 + 2Φ/c²).</w:t>
      </w:r>
    </w:p>
    <w:p>
      <w:pPr>
        <w:pStyle w:val="Heading2"/>
        <w:spacing w:before="300" w:after="200"/>
      </w:pPr>
      <w:r>
        <w:rPr>
          <w:b/>
          <w:bCs/>
        </w:rPr>
        <w:t xml:space="preserve">2.3 Multi-Layer Architecture</w:t>
      </w:r>
    </w:p>
    <w:p>
      <w:pPr>
        <w:spacing w:after="200" w:line="300"/>
      </w:pPr>
      <w:r>
        <w:rPr>
          <w:rFonts w:ascii="Arial" w:cs="Arial" w:eastAsia="Arial" w:hAnsi="Arial"/>
          <w:sz w:val="22"/>
          <w:szCs w:val="22"/>
        </w:rPr>
        <w:t xml:space="preserve">The substrate is modeled as a stack of N entangled two-dimensional layers. Each layer evolves independently under the wave equation, with nearest-neighbor coupling:</w:t>
      </w:r>
    </w:p>
    <w:p>
      <w:pPr>
        <w:spacing w:before="100" w:after="100" w:line="276"/>
        <w:jc w:val="center"/>
      </w:pPr>
      <w:r>
        <w:rPr>
          <w:rFonts w:ascii="Consolas" w:cs="Consolas" w:eastAsia="Consolas" w:hAnsi="Consolas"/>
          <w:sz w:val="20"/>
          <w:szCs w:val="20"/>
        </w:rPr>
        <w:t xml:space="preserve">Δρ_transfer = α_e (ρ_i − ρ_{i+1})</w:t>
      </w:r>
    </w:p>
    <w:p>
      <w:pPr>
        <w:spacing w:after="200" w:line="300"/>
      </w:pPr>
      <w:r>
        <w:rPr>
          <w:rFonts w:ascii="Arial" w:cs="Arial" w:eastAsia="Arial" w:hAnsi="Arial"/>
          <w:sz w:val="22"/>
          <w:szCs w:val="22"/>
        </w:rPr>
        <w:t xml:space="preserve">where α_e is the entanglement coupling strength. This inter-layer exchange stabilizes the far-field potential and extends the effective range of gravitational influence. The source term J is applied only to layer 0; subsequent layers receive energy solely through entanglement.</w:t>
      </w:r>
    </w:p>
    <w:p>
      <w:pPr>
        <w:pStyle w:val="Heading2"/>
        <w:spacing w:before="300" w:after="200"/>
      </w:pPr>
      <w:r>
        <w:rPr>
          <w:b/>
          <w:bCs/>
        </w:rPr>
        <w:t xml:space="preserve">2.4 Poisson Recovery</w:t>
      </w:r>
    </w:p>
    <w:p>
      <w:pPr>
        <w:spacing w:after="200" w:line="300"/>
      </w:pPr>
      <w:r>
        <w:rPr>
          <w:rFonts w:ascii="Arial" w:cs="Arial" w:eastAsia="Arial" w:hAnsi="Arial"/>
          <w:sz w:val="22"/>
          <w:szCs w:val="22"/>
        </w:rPr>
        <w:t xml:space="preserve">In the limit λ → 0 (zero maintenance cost), the steady-state substrate dynamics reduce to the screened Poisson equation ∇²Ψ ∼ ρ, recovering Newtonian gravity. This provides the bridge between substrate dynamics and classical gravitational theory. The degree of recovery is measured by correlation between the substrate-derived potential Ψ and the Newtonian Poisson solution Φ computed from the same source distribution.</w:t>
      </w:r>
    </w:p>
    <w:p>
      <w:pPr>
        <w:pStyle w:val="Heading2"/>
        <w:spacing w:before="300" w:after="200"/>
      </w:pPr>
      <w:r>
        <w:rPr>
          <w:b/>
          <w:bCs/>
        </w:rPr>
        <w:t xml:space="preserve">2.5 The Maintenance Cost Interpretation</w:t>
      </w:r>
    </w:p>
    <w:p>
      <w:pPr>
        <w:spacing w:after="200" w:line="300"/>
      </w:pPr>
      <w:r>
        <w:rPr>
          <w:rFonts w:ascii="Arial" w:cs="Arial" w:eastAsia="Arial" w:hAnsi="Arial"/>
          <w:sz w:val="22"/>
          <w:szCs w:val="22"/>
        </w:rPr>
        <w:t xml:space="preserve">The parameter λ governs the rate at which substrate agitation decays in the absence of continuous energy input. Regions of the substrate where agitation falls below a detection threshold are not observable as “space.” This interpretation positions λ as the cost of maintaining spatial extent — a concept with structural similarity to the cosmological constant Λ in Einstein’s field equations, which governs the rate of cosmic expansion. Both parameters describe the energy required to sustain spatial structure against decay or dilution.</w:t>
      </w:r>
    </w:p>
    <w:p>
      <w:r>
        <w:br/>
      </w:r>
    </w:p>
    <w:p>
      <w:pPr>
        <w:pStyle w:val="Heading1"/>
        <w:spacing w:before="300" w:after="200"/>
      </w:pPr>
      <w:r>
        <w:rPr>
          <w:b/>
          <w:bCs/>
        </w:rPr>
        <w:t xml:space="preserve">3. Methodology</w:t>
      </w:r>
    </w:p>
    <w:p>
      <w:pPr>
        <w:pStyle w:val="Heading2"/>
        <w:spacing w:before="300" w:after="200"/>
      </w:pPr>
      <w:r>
        <w:rPr>
          <w:b/>
          <w:bCs/>
        </w:rPr>
        <w:t xml:space="preserve">3.1 Data Source</w:t>
      </w:r>
    </w:p>
    <w:p>
      <w:pPr>
        <w:spacing w:after="200" w:line="300"/>
      </w:pPr>
      <w:r>
        <w:rPr>
          <w:rFonts w:ascii="Arial" w:cs="Arial" w:eastAsia="Arial" w:hAnsi="Arial"/>
          <w:sz w:val="22"/>
          <w:szCs w:val="22"/>
        </w:rPr>
        <w:t xml:space="preserve">Rotation curve data are drawn from the SPARC database (Spitzer Photometry and Accurate Rotation Curves; Lelli, McGaugh, and Schombert, 2016). SPARC provides high-quality HI and Hα rotation curves for 175 late-type galaxies spanning morphological types S0 through Irr, with stellar masses covering five decades and surface brightnesses exceeding three decades.</w:t>
      </w:r>
    </w:p>
    <w:p>
      <w:pPr>
        <w:spacing w:after="200" w:line="300"/>
      </w:pPr>
      <w:r>
        <w:rPr>
          <w:rFonts w:ascii="Arial" w:cs="Arial" w:eastAsia="Arial" w:hAnsi="Arial"/>
          <w:sz w:val="22"/>
          <w:szCs w:val="22"/>
        </w:rPr>
        <w:t xml:space="preserve">For each galaxy, SPARC provides radial profiles of observed rotation velocity V_obs along with decomposed baryonic contributions: V_gas (gas), V_disk (stellar disk), and V_bul (bulge). The total baryonic Newtonian prediction is V_newton = sqrt(V_gas² + V_disk² + V_bul²).</w:t>
      </w:r>
    </w:p>
    <w:p>
      <w:pPr>
        <w:pStyle w:val="Heading2"/>
        <w:spacing w:before="300" w:after="200"/>
      </w:pPr>
      <w:r>
        <w:rPr>
          <w:b/>
          <w:bCs/>
        </w:rPr>
        <w:t xml:space="preserve">3.2 Source Field Construction</w:t>
      </w:r>
    </w:p>
    <w:p>
      <w:pPr>
        <w:spacing w:after="200" w:line="300"/>
      </w:pPr>
      <w:r>
        <w:rPr>
          <w:rFonts w:ascii="Arial" w:cs="Arial" w:eastAsia="Arial" w:hAnsi="Arial"/>
          <w:sz w:val="22"/>
          <w:szCs w:val="22"/>
        </w:rPr>
        <w:t xml:space="preserve">The 2D source field J(x, y) for the substrate solver is constructed exclusively from baryonic components. At each radius r, the source amplitude is proportional to the baryonic gravitational field strength:</w:t>
      </w:r>
    </w:p>
    <w:p>
      <w:pPr>
        <w:spacing w:before="100" w:after="100" w:line="276"/>
        <w:jc w:val="center"/>
      </w:pPr>
      <w:r>
        <w:rPr>
          <w:rFonts w:ascii="Consolas" w:cs="Consolas" w:eastAsia="Consolas" w:hAnsi="Consolas"/>
          <w:sz w:val="20"/>
          <w:szCs w:val="20"/>
        </w:rPr>
        <w:t xml:space="preserve">J(r) = (V_gas² + V_disk² + V_bul²) / r</w:t>
      </w:r>
    </w:p>
    <w:p>
      <w:pPr>
        <w:spacing w:after="200" w:line="300"/>
      </w:pPr>
      <w:r>
        <w:rPr>
          <w:rFonts w:ascii="Arial" w:cs="Arial" w:eastAsia="Arial" w:hAnsi="Arial"/>
          <w:sz w:val="22"/>
          <w:szCs w:val="22"/>
        </w:rPr>
        <w:t xml:space="preserve">This is mapped onto a 2D grid assuming azimuthal symmetry. Critically, the observed velocity V_obs is never used as input. The solver receives only the mass distribution that Newtonian gravity already accounts for. Any additional rotational support in the solver output beyond what Newton predicts is a product of the substrate dynamics, not circular input.</w:t>
      </w:r>
    </w:p>
    <w:p>
      <w:pPr>
        <w:pStyle w:val="Heading2"/>
        <w:spacing w:before="300" w:after="200"/>
      </w:pPr>
      <w:r>
        <w:rPr>
          <w:b/>
          <w:bCs/>
        </w:rPr>
        <w:t xml:space="preserve">3.3 Solver Configuration</w:t>
      </w:r>
    </w:p>
    <w:p>
      <w:pPr>
        <w:spacing w:after="200" w:line="300"/>
      </w:pPr>
      <w:r>
        <w:rPr>
          <w:rFonts w:ascii="Arial" w:cs="Arial" w:eastAsia="Arial" w:hAnsi="Arial"/>
          <w:sz w:val="22"/>
          <w:szCs w:val="22"/>
        </w:rPr>
        <w:t xml:space="preserve">All 175 galaxies were run with identical solver parameters, with no per-galaxy tuning:</w:t>
      </w:r>
    </w:p>
    <w:p>
      <w:pPr>
        <w:spacing w:after="160" w:line="300"/>
      </w:pPr>
      <w:r>
        <w:rPr>
          <w:rFonts w:ascii="Arial" w:cs="Arial" w:eastAsia="Arial" w:hAnsi="Arial"/>
          <w:b/>
          <w:bCs/>
          <w:sz w:val="22"/>
          <w:szCs w:val="22"/>
        </w:rPr>
        <w:t xml:space="preserve">Grid: </w:t>
      </w:r>
      <w:r>
        <w:rPr>
          <w:rFonts w:ascii="Arial" w:cs="Arial" w:eastAsia="Arial" w:hAnsi="Arial"/>
          <w:sz w:val="22"/>
          <w:szCs w:val="22"/>
        </w:rPr>
        <w:t xml:space="preserve">64 x 64 spatial resolution</w:t>
      </w:r>
    </w:p>
    <w:p>
      <w:pPr>
        <w:spacing w:after="160" w:line="300"/>
      </w:pPr>
      <w:r>
        <w:rPr>
          <w:rFonts w:ascii="Arial" w:cs="Arial" w:eastAsia="Arial" w:hAnsi="Arial"/>
          <w:b/>
          <w:bCs/>
          <w:sz w:val="22"/>
          <w:szCs w:val="22"/>
        </w:rPr>
        <w:t xml:space="preserve">Layers: </w:t>
      </w:r>
      <w:r>
        <w:rPr>
          <w:rFonts w:ascii="Arial" w:cs="Arial" w:eastAsia="Arial" w:hAnsi="Arial"/>
          <w:sz w:val="22"/>
          <w:szCs w:val="22"/>
        </w:rPr>
        <w:t xml:space="preserve">6 entangled substrate layers</w:t>
      </w:r>
    </w:p>
    <w:p>
      <w:pPr>
        <w:spacing w:after="160" w:line="300"/>
      </w:pPr>
      <w:r>
        <w:rPr>
          <w:rFonts w:ascii="Arial" w:cs="Arial" w:eastAsia="Arial" w:hAnsi="Arial"/>
          <w:b/>
          <w:bCs/>
          <w:sz w:val="22"/>
          <w:szCs w:val="22"/>
        </w:rPr>
        <w:t xml:space="preserve">Wave speed (C): </w:t>
      </w:r>
      <w:r>
        <w:rPr>
          <w:rFonts w:ascii="Arial" w:cs="Arial" w:eastAsia="Arial" w:hAnsi="Arial"/>
          <w:sz w:val="22"/>
          <w:szCs w:val="22"/>
        </w:rPr>
        <w:t xml:space="preserve">1.0</w:t>
      </w:r>
    </w:p>
    <w:p>
      <w:pPr>
        <w:spacing w:after="160" w:line="300"/>
      </w:pPr>
      <w:r>
        <w:rPr>
          <w:rFonts w:ascii="Arial" w:cs="Arial" w:eastAsia="Arial" w:hAnsi="Arial"/>
          <w:b/>
          <w:bCs/>
          <w:sz w:val="22"/>
          <w:szCs w:val="22"/>
        </w:rPr>
        <w:t xml:space="preserve">Damping (γ): </w:t>
      </w:r>
      <w:r>
        <w:rPr>
          <w:rFonts w:ascii="Arial" w:cs="Arial" w:eastAsia="Arial" w:hAnsi="Arial"/>
          <w:sz w:val="22"/>
          <w:szCs w:val="22"/>
        </w:rPr>
        <w:t xml:space="preserve">0.05</w:t>
      </w:r>
    </w:p>
    <w:p>
      <w:pPr>
        <w:spacing w:after="160" w:line="300"/>
      </w:pPr>
      <w:r>
        <w:rPr>
          <w:rFonts w:ascii="Arial" w:cs="Arial" w:eastAsia="Arial" w:hAnsi="Arial"/>
          <w:b/>
          <w:bCs/>
          <w:sz w:val="22"/>
          <w:szCs w:val="22"/>
        </w:rPr>
        <w:t xml:space="preserve">Entanglement (α_e): </w:t>
      </w:r>
      <w:r>
        <w:rPr>
          <w:rFonts w:ascii="Arial" w:cs="Arial" w:eastAsia="Arial" w:hAnsi="Arial"/>
          <w:sz w:val="22"/>
          <w:szCs w:val="22"/>
        </w:rPr>
        <w:t xml:space="preserve">0.02</w:t>
      </w:r>
    </w:p>
    <w:p>
      <w:pPr>
        <w:spacing w:after="160" w:line="300"/>
      </w:pPr>
      <w:r>
        <w:rPr>
          <w:rFonts w:ascii="Arial" w:cs="Arial" w:eastAsia="Arial" w:hAnsi="Arial"/>
          <w:b/>
          <w:bCs/>
          <w:sz w:val="22"/>
          <w:szCs w:val="22"/>
        </w:rPr>
        <w:t xml:space="preserve">Settle steps: </w:t>
      </w:r>
      <w:r>
        <w:rPr>
          <w:rFonts w:ascii="Arial" w:cs="Arial" w:eastAsia="Arial" w:hAnsi="Arial"/>
          <w:sz w:val="22"/>
          <w:szCs w:val="22"/>
        </w:rPr>
        <w:t xml:space="preserve">12,000 (steady-state convergence)</w:t>
      </w:r>
    </w:p>
    <w:p>
      <w:pPr>
        <w:spacing w:after="160" w:line="300"/>
      </w:pPr>
      <w:r>
        <w:rPr>
          <w:rFonts w:ascii="Arial" w:cs="Arial" w:eastAsia="Arial" w:hAnsi="Arial"/>
          <w:b/>
          <w:bCs/>
          <w:sz w:val="22"/>
          <w:szCs w:val="22"/>
        </w:rPr>
        <w:t xml:space="preserve">Measurement window: </w:t>
      </w:r>
      <w:r>
        <w:rPr>
          <w:rFonts w:ascii="Arial" w:cs="Arial" w:eastAsia="Arial" w:hAnsi="Arial"/>
          <w:sz w:val="22"/>
          <w:szCs w:val="22"/>
        </w:rPr>
        <w:t xml:space="preserve">3,000 steps (time-averaged)</w:t>
      </w:r>
    </w:p>
    <w:p>
      <w:pPr>
        <w:spacing w:after="160" w:line="300"/>
      </w:pPr>
      <w:r>
        <w:rPr>
          <w:rFonts w:ascii="Arial" w:cs="Arial" w:eastAsia="Arial" w:hAnsi="Arial"/>
          <w:b/>
          <w:bCs/>
          <w:sz w:val="22"/>
          <w:szCs w:val="22"/>
        </w:rPr>
        <w:t xml:space="preserve">Decay rate (λ): </w:t>
      </w:r>
      <w:r>
        <w:rPr>
          <w:rFonts w:ascii="Arial" w:cs="Arial" w:eastAsia="Arial" w:hAnsi="Arial"/>
          <w:sz w:val="22"/>
          <w:szCs w:val="22"/>
        </w:rPr>
        <w:t xml:space="preserve">Two regimes tested: 0.1 and 0.01</w:t>
      </w:r>
    </w:p>
    <w:p>
      <w:r>
        <w:br/>
      </w:r>
    </w:p>
    <w:p>
      <w:pPr>
        <w:pStyle w:val="Heading1"/>
        <w:spacing w:before="300" w:after="200"/>
      </w:pPr>
      <w:r>
        <w:rPr>
          <w:b/>
          <w:bCs/>
        </w:rPr>
        <w:t xml:space="preserve">4. Results</w:t>
      </w:r>
    </w:p>
    <w:p>
      <w:pPr>
        <w:pStyle w:val="Heading2"/>
        <w:spacing w:before="300" w:after="200"/>
      </w:pPr>
      <w:r>
        <w:rPr>
          <w:b/>
          <w:bCs/>
        </w:rPr>
        <w:t xml:space="preserve">4.1 Aggregate Performance</w:t>
      </w:r>
    </w:p>
    <w:p>
      <w:pPr>
        <w:spacing w:after="200" w:line="300"/>
      </w:pPr>
      <w:r>
        <w:rPr>
          <w:rFonts w:ascii="Arial" w:cs="Arial" w:eastAsia="Arial" w:hAnsi="Arial"/>
          <w:sz w:val="22"/>
          <w:szCs w:val="22"/>
        </w:rPr>
        <w:t xml:space="preserve">Table 1 presents aggregate correlation metrics across all 175 SPARC galaxies for both decay rate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308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λ = 0.1</w:t>
            </w:r>
          </w:p>
        </w:tc>
        <w:tc>
          <w:tcPr>
            <w:tcW w:type="dxa" w:w="308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λ = 0.01</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Mean inner correlation</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+0.7605</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+0.9825</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Median inner correlation</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+0.9533</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+0.9910</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Galaxies &gt; +0.90</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120 / 175 (69%)</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172 / 175 (98%)</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Galaxies &gt; +0.95</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88 / 175 (50%)</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161 / 175 (92%)</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Negative correlations</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19 / 175</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 / 175</w:t>
            </w:r>
          </w:p>
        </w:tc>
      </w:tr>
    </w:tbl>
    <w:p>
      <w:pPr>
        <w:spacing w:after="200" w:line="300"/>
      </w:pPr>
      <w:r>
        <w:rPr>
          <w:rFonts w:ascii="Arial" w:cs="Arial" w:eastAsia="Arial" w:hAnsi="Arial"/>
          <w:i/>
          <w:iCs/>
          <w:sz w:val="22"/>
          <w:szCs w:val="22"/>
        </w:rPr>
        <w:t xml:space="preserve">Table 1: Aggregate correlation metrics for substrate potential versus Newtonian Poisson solution across 175 SPARC galaxies.</w:t>
      </w:r>
    </w:p>
    <w:p>
      <w:pPr>
        <w:pStyle w:val="Heading2"/>
        <w:spacing w:before="300" w:after="200"/>
      </w:pPr>
      <w:r>
        <w:rPr>
          <w:b/>
          <w:bCs/>
        </w:rPr>
        <w:t xml:space="preserve">4.2 Mass-Dependent Performance</w:t>
      </w:r>
    </w:p>
    <w:p>
      <w:pPr>
        <w:spacing w:after="200" w:line="300"/>
      </w:pPr>
      <w:r>
        <w:rPr>
          <w:rFonts w:ascii="Arial" w:cs="Arial" w:eastAsia="Arial" w:hAnsi="Arial"/>
          <w:sz w:val="22"/>
          <w:szCs w:val="22"/>
        </w:rPr>
        <w:t xml:space="preserve">Table 2 shows performance stratified by galaxy mass, using maximum rotation velocity V_max as a mass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500"/>
        <w:gridCol w:w="800"/>
        <w:gridCol w:w="1600"/>
        <w:gridCol w:w="860"/>
      </w:tblGrid>
      <w:tr>
        <w:tc>
          <w:tcPr>
            <w:tcW w:type="dxa" w:w="28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Mass Bracket</w:t>
            </w:r>
          </w:p>
        </w:tc>
        <w:tc>
          <w:tcPr>
            <w:tcW w:type="dxa" w:w="8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w:t>
            </w:r>
          </w:p>
        </w:tc>
        <w:tc>
          <w:tcPr>
            <w:tcW w:type="dxa" w:w="15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λ=0.1 avg</w:t>
            </w:r>
          </w:p>
        </w:tc>
        <w:tc>
          <w:tcPr>
            <w:tcW w:type="dxa" w:w="8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neg</w:t>
            </w:r>
          </w:p>
        </w:tc>
        <w:tc>
          <w:tcPr>
            <w:tcW w:type="dxa" w:w="16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λ=0.01 avg</w:t>
            </w:r>
          </w:p>
        </w:tc>
        <w:tc>
          <w:tcPr>
            <w:tcW w:type="dxa" w:w="86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neg</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V &lt; 50 km/s (dwarf)</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22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+0.2115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11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+0.9640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50-100 km/s (low)</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64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+0.6955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8</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+0.9858</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100-150 km/s (mid)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33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+0.9472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+0.9919</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150-200 km/s (high)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18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+0.9577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+0.9893</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V &gt; 200 km/s (massive)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38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+0.9324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+0.9764</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w:t>
            </w:r>
          </w:p>
        </w:tc>
      </w:tr>
    </w:tbl>
    <w:p>
      <w:pPr>
        <w:spacing w:after="200" w:line="300"/>
      </w:pPr>
      <w:r>
        <w:rPr>
          <w:rFonts w:ascii="Arial" w:cs="Arial" w:eastAsia="Arial" w:hAnsi="Arial"/>
          <w:i/>
          <w:iCs/>
          <w:sz w:val="22"/>
          <w:szCs w:val="22"/>
        </w:rPr>
        <w:t xml:space="preserve">Table 2: Radial inner correlation by mass bracket. At λ = 0.01, all mass brackets achieve mean correlation above +0.96 with zero negative correlations.</w:t>
      </w:r>
    </w:p>
    <w:p>
      <w:pPr>
        <w:spacing w:after="200" w:line="300"/>
      </w:pPr>
      <w:r>
        <w:rPr>
          <w:rFonts w:ascii="Arial" w:cs="Arial" w:eastAsia="Arial" w:hAnsi="Arial"/>
          <w:sz w:val="22"/>
          <w:szCs w:val="22"/>
        </w:rPr>
        <w:t xml:space="preserve">The most significant improvement occurs in the dwarf galaxy bracket (V &lt; 50 km/s), where mean inner correlation increases from +0.2115 to +0.9640 when λ is reduced from 0.1 to 0.01. All 11 negative correlations in this bracket are eliminated.</w:t>
      </w:r>
    </w:p>
    <w:p>
      <w:pPr>
        <w:pStyle w:val="Heading2"/>
        <w:spacing w:before="300" w:after="200"/>
      </w:pPr>
      <w:r>
        <w:rPr>
          <w:b/>
          <w:bCs/>
        </w:rPr>
        <w:t xml:space="preserve">4.3 Rescued Galaxies</w:t>
      </w:r>
    </w:p>
    <w:p>
      <w:pPr>
        <w:spacing w:after="200" w:line="300"/>
      </w:pPr>
      <w:r>
        <w:rPr>
          <w:rFonts w:ascii="Arial" w:cs="Arial" w:eastAsia="Arial" w:hAnsi="Arial"/>
          <w:sz w:val="22"/>
          <w:szCs w:val="22"/>
        </w:rPr>
        <w:t xml:space="preserve">All 19 galaxies that produced negative inner correlations at λ = 0.1 are recovered at λ = 0.01. Table 3 shows a representative subset of these rescued galaxies, including the smallest galaxy in the dataset (UGC07577, V_max = 18 km/s).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100"/>
        <w:gridCol w:w="2100"/>
      </w:tblGrid>
      <w:tr>
        <w:tc>
          <w:tcPr>
            <w:tcW w:type="dxa" w:w="22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Galaxy</w:t>
            </w:r>
          </w:p>
        </w:tc>
        <w:tc>
          <w:tcPr>
            <w:tcW w:type="dxa" w:w="12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V_max</w:t>
            </w:r>
          </w:p>
        </w:tc>
        <w:tc>
          <w:tcPr>
            <w:tcW w:type="dxa" w:w="21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r_inner (λ=0.1)</w:t>
            </w:r>
          </w:p>
        </w:tc>
        <w:tc>
          <w:tcPr>
            <w:tcW w:type="dxa" w:w="21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r_inner (λ=0.01)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NGC2976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89</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-0.9164</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+0.9314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UGC00731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74</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-0.8370</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+0.9715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UGC06667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86</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-0.8262</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+0.8362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KK98-251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35</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-0.7768</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+0.8223</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DDO064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47</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-0.7490</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+0.9354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UGC07577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18</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-0.7314</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+0.9185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F563-V1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30</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-0.5766</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+0.9528</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CamB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20</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-0.2788</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+0.9407</w:t>
            </w:r>
          </w:p>
        </w:tc>
      </w:tr>
    </w:tbl>
    <w:p>
      <w:pPr>
        <w:spacing w:after="200" w:line="300"/>
      </w:pPr>
      <w:r>
        <w:rPr>
          <w:rFonts w:ascii="Arial" w:cs="Arial" w:eastAsia="Arial" w:hAnsi="Arial"/>
          <w:i/>
          <w:iCs/>
          <w:sz w:val="22"/>
          <w:szCs w:val="22"/>
        </w:rPr>
        <w:t xml:space="preserve">Table 3: Representative galaxies rescued from negative to positive correlation by reducing λ from 0.1 to 0.01. Zero galaxies moved in the opposite direction.</w:t>
      </w:r>
    </w:p>
    <w:p>
      <w:pPr>
        <w:spacing w:after="200" w:line="300"/>
      </w:pPr>
      <w:r>
        <w:rPr>
          <w:rFonts w:ascii="Arial" w:cs="Arial" w:eastAsia="Arial" w:hAnsi="Arial"/>
          <w:sz w:val="22"/>
          <w:szCs w:val="22"/>
        </w:rPr>
        <w:t xml:space="preserve">Critically, zero galaxies that were positive at λ = 0.1 became negative at λ = 0.01. The improvement is monotonic and universal across the dataset.</w:t>
      </w:r>
    </w:p>
    <w:p>
      <w:pPr>
        <w:pStyle w:val="Heading2"/>
        <w:spacing w:before="300" w:after="200"/>
      </w:pPr>
      <w:r>
        <w:rPr>
          <w:b/>
          <w:bCs/>
        </w:rPr>
        <w:t xml:space="preserve">4.4 Benchmark: NGC2403</w:t>
      </w:r>
    </w:p>
    <w:p>
      <w:pPr>
        <w:spacing w:after="200" w:line="300"/>
      </w:pPr>
      <w:r>
        <w:rPr>
          <w:rFonts w:ascii="Arial" w:cs="Arial" w:eastAsia="Arial" w:hAnsi="Arial"/>
          <w:sz w:val="22"/>
          <w:szCs w:val="22"/>
        </w:rPr>
        <w:t xml:space="preserve">NGC2403 is a well-studied intermediate-mass spiral galaxy (V_max = 134 km/s, 73 radial data points) frequently used as a benchmark for rotation curve models. Using baryonic-only input at λ = 0.1, the substrate model was compared directly against the Newtonian baryonic prediction:</w:t>
      </w:r>
    </w:p>
    <w:p>
      <w:pPr>
        <w:spacing w:after="160" w:line="300"/>
      </w:pPr>
      <w:r>
        <w:rPr>
          <w:rFonts w:ascii="Arial" w:cs="Arial" w:eastAsia="Arial" w:hAnsi="Arial"/>
          <w:b/>
          <w:bCs/>
          <w:sz w:val="22"/>
          <w:szCs w:val="22"/>
        </w:rPr>
        <w:t xml:space="preserve">Newton RMS error: </w:t>
      </w:r>
      <w:r>
        <w:rPr>
          <w:rFonts w:ascii="Arial" w:cs="Arial" w:eastAsia="Arial" w:hAnsi="Arial"/>
          <w:sz w:val="22"/>
          <w:szCs w:val="22"/>
        </w:rPr>
        <w:t xml:space="preserve">37.90 km/s (shape correlation r = +0.175)</w:t>
      </w:r>
    </w:p>
    <w:p>
      <w:pPr>
        <w:spacing w:after="160" w:line="300"/>
      </w:pPr>
      <w:r>
        <w:rPr>
          <w:rFonts w:ascii="Arial" w:cs="Arial" w:eastAsia="Arial" w:hAnsi="Arial"/>
          <w:b/>
          <w:bCs/>
          <w:sz w:val="22"/>
          <w:szCs w:val="22"/>
        </w:rPr>
        <w:t xml:space="preserve">Substrate RMS error: </w:t>
      </w:r>
      <w:r>
        <w:rPr>
          <w:rFonts w:ascii="Arial" w:cs="Arial" w:eastAsia="Arial" w:hAnsi="Arial"/>
          <w:sz w:val="22"/>
          <w:szCs w:val="22"/>
        </w:rPr>
        <w:t xml:space="preserve">29.61 km/s (shape correlation r = +0.928)</w:t>
      </w:r>
    </w:p>
    <w:p>
      <w:pPr>
        <w:spacing w:after="160" w:line="300"/>
      </w:pPr>
      <w:r>
        <w:rPr>
          <w:rFonts w:ascii="Arial" w:cs="Arial" w:eastAsia="Arial" w:hAnsi="Arial"/>
          <w:b/>
          <w:bCs/>
          <w:sz w:val="22"/>
          <w:szCs w:val="22"/>
        </w:rPr>
        <w:t xml:space="preserve">Improvement: </w:t>
      </w:r>
      <w:r>
        <w:rPr>
          <w:rFonts w:ascii="Arial" w:cs="Arial" w:eastAsia="Arial" w:hAnsi="Arial"/>
          <w:sz w:val="22"/>
          <w:szCs w:val="22"/>
        </w:rPr>
        <w:t xml:space="preserve">8.28 km/s RMS, substrate wins full range and outer radii</w:t>
      </w:r>
    </w:p>
    <w:p>
      <w:pPr>
        <w:spacing w:after="200" w:line="300"/>
      </w:pPr>
      <w:r>
        <w:rPr>
          <w:rFonts w:ascii="Arial" w:cs="Arial" w:eastAsia="Arial" w:hAnsi="Arial"/>
          <w:sz w:val="22"/>
          <w:szCs w:val="22"/>
        </w:rPr>
        <w:t xml:space="preserve">The substrate model captures the shape of the observed rotation curve at +0.93 correlation where baryonic Newton achieves only +0.17. This improvement is concentrated at large radii, precisely where the “dark matter” discrepancy is most pronounced.</w:t>
      </w:r>
    </w:p>
    <w:p>
      <w:r>
        <w:br/>
      </w:r>
    </w:p>
    <w:p>
      <w:pPr>
        <w:pStyle w:val="Heading1"/>
        <w:spacing w:before="300" w:after="200"/>
      </w:pPr>
      <w:r>
        <w:rPr>
          <w:b/>
          <w:bCs/>
        </w:rPr>
        <w:t xml:space="preserve">5. Discussion</w:t>
      </w:r>
    </w:p>
    <w:p>
      <w:pPr>
        <w:pStyle w:val="Heading2"/>
        <w:spacing w:before="300" w:after="200"/>
      </w:pPr>
      <w:r>
        <w:rPr>
          <w:b/>
          <w:bCs/>
        </w:rPr>
        <w:t xml:space="preserve">5.1 Interpretation of Results</w:t>
      </w:r>
    </w:p>
    <w:p>
      <w:pPr>
        <w:spacing w:after="200" w:line="300"/>
      </w:pPr>
      <w:r>
        <w:rPr>
          <w:rFonts w:ascii="Arial" w:cs="Arial" w:eastAsia="Arial" w:hAnsi="Arial"/>
          <w:sz w:val="22"/>
          <w:szCs w:val="22"/>
        </w:rPr>
        <w:t xml:space="preserve">The results demonstrate that a damped wave equation on a multi-layer 2D substrate, with two fixed global parameters and baryonic-only input, produces gravitational potentials that correlate with Newtonian predictions at +0.98 mean across 175 galaxies spanning five decades in mass. This is achieved without invoking dark matter, without per-galaxy fitting, and with a model that has a clear physical interpretation: gravity is the cumulative memory of substrate agitation.</w:t>
      </w:r>
    </w:p>
    <w:p>
      <w:pPr>
        <w:spacing w:after="200" w:line="300"/>
      </w:pPr>
      <w:r>
        <w:rPr>
          <w:rFonts w:ascii="Arial" w:cs="Arial" w:eastAsia="Arial" w:hAnsi="Arial"/>
          <w:sz w:val="22"/>
          <w:szCs w:val="22"/>
        </w:rPr>
        <w:t xml:space="preserve">The model does not claim to replace general relativity or disprove dark matter. It demonstrates that an alternative physical framework can reproduce observed gravitational behavior to high correlation using only known baryonic mass distributions as input. Whether this alignment reflects a genuine physical mechanism or a mathematical coincidence of the wave equation’s Green’s function structure is a question requiring further theoretical investigation.</w:t>
      </w:r>
    </w:p>
    <w:p>
      <w:pPr>
        <w:pStyle w:val="Heading2"/>
        <w:spacing w:before="300" w:after="200"/>
      </w:pPr>
      <w:r>
        <w:rPr>
          <w:b/>
          <w:bCs/>
        </w:rPr>
        <w:t xml:space="preserve">5.2 The Role of λ</w:t>
      </w:r>
    </w:p>
    <w:p>
      <w:pPr>
        <w:spacing w:after="200" w:line="300"/>
      </w:pPr>
      <w:r>
        <w:rPr>
          <w:rFonts w:ascii="Arial" w:cs="Arial" w:eastAsia="Arial" w:hAnsi="Arial"/>
          <w:sz w:val="22"/>
          <w:szCs w:val="22"/>
        </w:rPr>
        <w:t xml:space="preserve">The decay parameter λ is the most physically significant feature of the model. At λ = 0, the model recovers pure Newtonian gravity (Poisson equation). At λ &gt; 0, gravity is screened at distances exceeding the characteristic length scale 1/μ where μ² = λ/C², producing Yukawa-type behavior.</w:t>
      </w:r>
    </w:p>
    <w:p>
      <w:pPr>
        <w:spacing w:after="200" w:line="300"/>
      </w:pPr>
      <w:r>
        <w:rPr>
          <w:rFonts w:ascii="Arial" w:cs="Arial" w:eastAsia="Arial" w:hAnsi="Arial"/>
          <w:sz w:val="22"/>
          <w:szCs w:val="22"/>
        </w:rPr>
        <w:t xml:space="preserve">The observation that λ = 0.01 produces superior results across all mass brackets while λ = 0.1 fails for dwarfs suggests that the true physical value of λ (if this model reflects reality) is small but nonzero. The structural correspondence between λ and the cosmological constant Λ is noted: both govern the rate at which spatial structure decays. However, establishing a quantitative mapping between the dimensionless solver parameter λ and the measured value of Λ (≈ 1.1 × 10⁻⁵⁲ m⁻²) requires dimensional analysis beyond the scope of this preliminary report.</w:t>
      </w:r>
    </w:p>
    <w:p>
      <w:pPr>
        <w:pStyle w:val="Heading2"/>
        <w:spacing w:before="300" w:after="200"/>
      </w:pPr>
      <w:r>
        <w:rPr>
          <w:b/>
          <w:bCs/>
        </w:rPr>
        <w:t xml:space="preserve">5.3 Limitations</w:t>
      </w:r>
    </w:p>
    <w:p>
      <w:pPr>
        <w:spacing w:after="200" w:line="300"/>
      </w:pPr>
      <w:r>
        <w:rPr>
          <w:rFonts w:ascii="Arial" w:cs="Arial" w:eastAsia="Arial" w:hAnsi="Arial"/>
          <w:sz w:val="22"/>
          <w:szCs w:val="22"/>
        </w:rPr>
        <w:t xml:space="preserve">This work has several significant limitations that must be acknowledged:</w:t>
      </w:r>
    </w:p>
    <w:p>
      <w:pPr>
        <w:spacing w:after="200" w:line="300"/>
      </w:pPr>
      <w:r>
        <w:rPr>
          <w:rFonts w:ascii="Arial" w:cs="Arial" w:eastAsia="Arial" w:hAnsi="Arial"/>
          <w:sz w:val="22"/>
          <w:szCs w:val="22"/>
        </w:rPr>
        <w:t xml:space="preserve">First, the solver operates on a 2D grid (64 x 64) with azimuthal symmetry assumed. Real galaxies are three-dimensional systems with non-trivial vertical structure, warps, and asymmetries. The 2D approximation may produce artificially high correlations by smoothing over structure that a 3D model would need to resolve.</w:t>
      </w:r>
    </w:p>
    <w:p>
      <w:pPr>
        <w:spacing w:after="200" w:line="300"/>
      </w:pPr>
      <w:r>
        <w:rPr>
          <w:rFonts w:ascii="Arial" w:cs="Arial" w:eastAsia="Arial" w:hAnsi="Arial"/>
          <w:sz w:val="22"/>
          <w:szCs w:val="22"/>
        </w:rPr>
        <w:t xml:space="preserve">Second, the substrate velocity is amplitude-normalized to match observed peak velocities. This means the model demonstrates shape agreement but does not independently predict absolute velocity scales. A complete theory must derive the normalization from first principles.</w:t>
      </w:r>
    </w:p>
    <w:p>
      <w:pPr>
        <w:spacing w:after="200" w:line="300"/>
      </w:pPr>
      <w:r>
        <w:rPr>
          <w:rFonts w:ascii="Arial" w:cs="Arial" w:eastAsia="Arial" w:hAnsi="Arial"/>
          <w:sz w:val="22"/>
          <w:szCs w:val="22"/>
        </w:rPr>
        <w:t xml:space="preserve">Third, while λ is held fixed across all galaxies, its optimal value (0.01 vs 0.1) was determined empirically. A principled derivation of λ from fundamental constants or galaxy properties would strengthen the theoretical foundation.</w:t>
      </w:r>
    </w:p>
    <w:p>
      <w:pPr>
        <w:spacing w:after="200" w:line="300"/>
      </w:pPr>
      <w:r>
        <w:rPr>
          <w:rFonts w:ascii="Arial" w:cs="Arial" w:eastAsia="Arial" w:hAnsi="Arial"/>
          <w:sz w:val="22"/>
          <w:szCs w:val="22"/>
        </w:rPr>
        <w:t xml:space="preserve">Fourth, the correlation metric (radial inner) measures shape agreement between substrate and Newtonian potentials, not between substrate predictions and observed rotation curves. The NGC2403 rotation curve comparison is the only direct test against observations reported here. Extension to all 175 galaxies is required.</w:t>
      </w:r>
    </w:p>
    <w:p>
      <w:r>
        <w:br/>
      </w:r>
    </w:p>
    <w:p>
      <w:pPr>
        <w:pStyle w:val="Heading1"/>
        <w:spacing w:before="300" w:after="200"/>
      </w:pPr>
      <w:r>
        <w:rPr>
          <w:b/>
          <w:bCs/>
        </w:rPr>
        <w:t xml:space="preserve">6. Conclusions</w:t>
      </w:r>
    </w:p>
    <w:p>
      <w:pPr>
        <w:spacing w:after="200" w:line="300"/>
      </w:pPr>
      <w:r>
        <w:rPr>
          <w:rFonts w:ascii="Arial" w:cs="Arial" w:eastAsia="Arial" w:hAnsi="Arial"/>
          <w:sz w:val="22"/>
          <w:szCs w:val="22"/>
        </w:rPr>
        <w:t xml:space="preserve">A multi-layer damped wave substrate model, using baryonic mass distributions as sole input and two fixed global parameters, achieves +0.9825 mean radial correlation against Newtonian gravity across 175 SPARC galaxies. At the benchmark galaxy NGC2403, the model outperforms baryonic Newtonian prediction by 8.28 km/s RMS in rotation curve fit, capturing the observed rotation shape at +0.928 correlation versus +0.175 for Newton alone.</w:t>
      </w:r>
    </w:p>
    <w:p>
      <w:pPr>
        <w:spacing w:after="200" w:line="300"/>
      </w:pPr>
      <w:r>
        <w:rPr>
          <w:rFonts w:ascii="Arial" w:cs="Arial" w:eastAsia="Arial" w:hAnsi="Arial"/>
          <w:sz w:val="22"/>
          <w:szCs w:val="22"/>
        </w:rPr>
        <w:t xml:space="preserve">The model produces zero negative correlations at λ = 0.01, sweeping the entire SPARC dataset from dwarfs (V = 18 km/s) to massive spirals (V = 321 km/s) without per-galaxy tuning.</w:t>
      </w:r>
    </w:p>
    <w:p>
      <w:pPr>
        <w:spacing w:after="200" w:line="300"/>
      </w:pPr>
      <w:r>
        <w:rPr>
          <w:rFonts w:ascii="Arial" w:cs="Arial" w:eastAsia="Arial" w:hAnsi="Arial"/>
          <w:sz w:val="22"/>
          <w:szCs w:val="22"/>
        </w:rPr>
        <w:t xml:space="preserve">These results are preliminary. They demonstrate structural alignment between substrate wave dynamics and observed gravitational behavior but do not constitute proof that this mechanism is physically operative. Further work is required to extend the rotation curve comparison to all 175 galaxies, derive the normalization from first principles, establish the dimensional mapping between λ and Λ, and test falsifiable predictions against independent datasets.</w:t>
      </w:r>
    </w:p>
    <w:p>
      <w:pPr>
        <w:spacing w:after="200" w:line="300"/>
      </w:pPr>
      <w:r>
        <w:rPr>
          <w:rFonts w:ascii="Arial" w:cs="Arial" w:eastAsia="Arial" w:hAnsi="Arial"/>
          <w:sz w:val="22"/>
          <w:szCs w:val="22"/>
        </w:rPr>
        <w:t xml:space="preserve">The central physical proposition — that space is not a passive container but an active medium with a maintenance cost — produces numerical results consistent with observation. Whether this reflects a deep truth about the nature of space or an artifact of the mathematical structure of damped wave equations remains an open question.</w:t>
      </w:r>
    </w:p>
    <w:p>
      <w:r>
        <w:br/>
      </w:r>
    </w:p>
    <w:p>
      <w:pPr>
        <w:pStyle w:val="Heading1"/>
        <w:spacing w:before="300" w:after="200"/>
      </w:pPr>
      <w:r>
        <w:rPr>
          <w:b/>
          <w:bCs/>
        </w:rPr>
        <w:t xml:space="preserve">7. References</w:t>
      </w:r>
    </w:p>
    <w:p>
      <w:pPr>
        <w:spacing w:after="200" w:line="300"/>
      </w:pPr>
      <w:r>
        <w:rPr>
          <w:rFonts w:ascii="Arial" w:cs="Arial" w:eastAsia="Arial" w:hAnsi="Arial"/>
          <w:sz w:val="22"/>
          <w:szCs w:val="22"/>
        </w:rPr>
        <w:t xml:space="preserve">Lelli, F., McGaugh, S. S., and Schombert, J. M. (2016). SPARC: Mass Models for 175 Disk Galaxies with Spitzer Photometry and Accurate Rotation Curves. The Astronomical Journal, 152(6), 157. DOI: 10.3847/0004-6256/152/6/157</w:t>
      </w:r>
    </w:p>
    <w:p>
      <w:pPr>
        <w:spacing w:after="200" w:line="300"/>
      </w:pPr>
      <w:r>
        <w:rPr>
          <w:rFonts w:ascii="Arial" w:cs="Arial" w:eastAsia="Arial" w:hAnsi="Arial"/>
          <w:sz w:val="22"/>
          <w:szCs w:val="22"/>
        </w:rPr>
        <w:t xml:space="preserve">McGaugh, S. S., Lelli, F., and Schombert, J. M. (2016). Radial Acceleration Relation in Rotationally Supported Galaxies. Physical Review Letters, 117(20), 201101.</w:t>
      </w:r>
    </w:p>
    <w:p>
      <w:pPr>
        <w:spacing w:after="200" w:line="300"/>
      </w:pPr>
      <w:r>
        <w:rPr>
          <w:rFonts w:ascii="Arial" w:cs="Arial" w:eastAsia="Arial" w:hAnsi="Arial"/>
          <w:sz w:val="22"/>
          <w:szCs w:val="22"/>
        </w:rPr>
        <w:t xml:space="preserve">Milgrom, M. (1983). A modification of the Newtonian dynamics as a possible alternative to the hidden mass hypothesis. The Astrophysical Journal, 270, 365-370.</w:t>
      </w:r>
    </w:p>
    <w:p>
      <w:pPr>
        <w:spacing w:after="200" w:line="300"/>
      </w:pPr>
      <w:r>
        <w:rPr>
          <w:rFonts w:ascii="Arial" w:cs="Arial" w:eastAsia="Arial" w:hAnsi="Arial"/>
          <w:sz w:val="22"/>
          <w:szCs w:val="22"/>
        </w:rPr>
        <w:t xml:space="preserve">Rubin, V. C. and Ford, W. K. (1970). Rotation of the Andromeda Nebula from a Spectroscopic Survey of Emission Regions. The Astrophysical Journal, 159, 379.</w:t>
      </w:r>
    </w:p>
    <w:p>
      <w:r>
        <w:br/>
      </w:r>
    </w:p>
    <w:p>
      <w:pPr>
        <w:pStyle w:val="Heading1"/>
        <w:spacing w:before="300" w:after="200"/>
      </w:pPr>
      <w:r>
        <w:rPr>
          <w:b/>
          <w:bCs/>
        </w:rPr>
        <w:t xml:space="preserve">Appendix A: Galaxy Results (Top 20 and Bottom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900"/>
        <w:gridCol w:w="1900"/>
        <w:gridCol w:w="1960"/>
      </w:tblGrid>
      <w:tr>
        <w:tc>
          <w:tcPr>
            <w:tcW w:type="dxa" w:w="20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Galaxy</w:t>
            </w:r>
          </w:p>
        </w:tc>
        <w:tc>
          <w:tcPr>
            <w:tcW w:type="dxa" w:w="16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V_max (km/s)</w:t>
            </w:r>
          </w:p>
        </w:tc>
        <w:tc>
          <w:tcPr>
            <w:tcW w:type="dxa" w:w="19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r_inner (λ=0.1)</w:t>
            </w:r>
          </w:p>
        </w:tc>
        <w:tc>
          <w:tcPr>
            <w:tcW w:type="dxa" w:w="19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r_inner (λ=0.01)</w:t>
            </w:r>
          </w:p>
        </w:tc>
        <w:tc>
          <w:tcPr>
            <w:tcW w:type="dxa" w:w="186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Ψ~Φ full</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ESO563-G021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321</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+1.0000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+0.9545</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NGC0055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87</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+0.9987</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+0.9999</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+0.9592</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UGC00191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84</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+0.9968</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+0.9999</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+0.9585</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UGC09992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34</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+0.9954</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+0.9999</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+0.9589</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UGC06818</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74</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+0.9988</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+0.9999</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+0.9580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NGC7793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116</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+0.9974</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+0.9998</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+0.9547</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UGC11455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291</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+0.9975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+0.9998</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+0.9528</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UGC00634</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108</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+0.9955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+0.9998</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+0.9569</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UGC07603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64</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+0.9969</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+0.9997</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+0.9543</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NGC4100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195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+0.9969</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+0.9997</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+0.9491</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F574-1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100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+0.9892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+0.9997</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+0.9594</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ESO116-G012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112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+0.9937</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+0.9997</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+0.9561</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UGC06628</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42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+0.9919</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+0.9997</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+0.9609</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NGC4088</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182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+0.9954</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+0.9997</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+0.9526</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F568-1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142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+0.9752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+0.9996</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+0.9615</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NGC4183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115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+0.9932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+0.9996</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+0.9553</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DDO170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62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+0.9952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+0.9996</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+0.9606</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NGC4085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136</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+0.9996</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+0.9996</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+0.9598</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F574-2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40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+0.9702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+0.9995</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+0.9616</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UGC12506</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255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+0.9965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+0.9995</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+0.9517</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 (155 additional galaxies)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KK98-251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35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-0.7768</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+0.8223</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+0.9513</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UGC06667</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86</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-0.8262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+0.8362</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+0.9501</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UGCA444</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38</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-0.4615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+0.8725</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+0.9556</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UGC07577</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18</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-0.7314</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+0.9185</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+0.9548</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UGC02023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59</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-0.5141</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+0.9245</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onsolas" w:cs="Consolas" w:eastAsia="Consolas" w:hAnsi="Consolas"/>
                <w:b w:val="false"/>
                <w:bCs w:val="false"/>
                <w:color w:val="000000"/>
                <w:sz w:val="18"/>
                <w:szCs w:val="18"/>
              </w:rPr>
              <w:t xml:space="preserve">+0.9569</w:t>
            </w:r>
          </w:p>
        </w:tc>
      </w:tr>
    </w:tbl>
    <w:p>
      <w:pPr>
        <w:spacing w:after="200" w:line="300"/>
      </w:pPr>
      <w:r>
        <w:rPr>
          <w:rFonts w:ascii="Arial" w:cs="Arial" w:eastAsia="Arial" w:hAnsi="Arial"/>
          <w:i/>
          <w:iCs/>
          <w:sz w:val="22"/>
          <w:szCs w:val="22"/>
        </w:rPr>
        <w:t xml:space="preserve">Table A1: Individual galaxy results sorted by inner correlation at λ = 0.01. Full 175-galaxy dataset available in supplementary materials.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2540"/>
      <w:sz w:val="32"/>
      <w:szCs w:val="32"/>
    </w:rPr>
  </w:style>
  <w:style w:type="paragraph" w:styleId="Heading2">
    <w:name w:val="Heading 2"/>
    <w:basedOn w:val="Normal"/>
    <w:next w:val="Normal"/>
    <w:qFormat/>
    <w:pPr>
      <w:spacing w:before="280" w:after="200"/>
      <w:outlineLvl w:val="1"/>
    </w:pPr>
    <w:rPr>
      <w:rFonts w:ascii="Arial" w:cs="Arial" w:eastAsia="Arial" w:hAnsi="Arial"/>
      <w:b/>
      <w:bCs/>
      <w:color w:val="2a3a5a"/>
      <w:sz w:val="26"/>
      <w:szCs w:val="26"/>
    </w:rPr>
  </w:style>
  <w:style w:type="paragraph" w:styleId="Heading3">
    <w:name w:val="Heading 3"/>
    <w:basedOn w:val="Normal"/>
    <w:next w:val="Normal"/>
    <w:qFormat/>
    <w:pPr>
      <w:spacing w:before="240" w:after="160"/>
      <w:outlineLvl w:val="2"/>
    </w:pPr>
    <w:rPr>
      <w:rFonts w:ascii="Arial" w:cs="Arial" w:eastAsia="Arial" w:hAnsi="Arial"/>
      <w:b/>
      <w:bCs/>
      <w:color w:val="3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2026-03-25T13:43:33.375Z</dcterms:created>
  <dcterms:modified xsi:type="dcterms:W3CDTF">2026-03-25T13:43:33.376Z</dcterms:modified>
</cp:coreProperties>
</file>

<file path=docProps/custom.xml><?xml version="1.0" encoding="utf-8"?>
<Properties xmlns="http://schemas.openxmlformats.org/officeDocument/2006/custom-properties" xmlns:vt="http://schemas.openxmlformats.org/officeDocument/2006/docPropsVTypes"/>
</file>