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Georgia" w:cs="Georgia" w:eastAsia="Georgia" w:hAnsi="Georgia"/>
          <w:color w:val="1a2540"/>
          <w:sz w:val="40"/>
          <w:szCs w:val="40"/>
        </w:rPr>
        <w:t xml:space="preserve">Substrate Field Dynamics and</w:t>
      </w:r>
    </w:p>
    <w:p>
      <w:pPr>
        <w:spacing w:after="120"/>
        <w:jc w:val="center"/>
      </w:pPr>
      <w:r>
        <w:rPr>
          <w:rFonts w:ascii="Georgia" w:cs="Georgia" w:eastAsia="Georgia" w:hAnsi="Georgia"/>
          <w:color w:val="1a2540"/>
          <w:sz w:val="40"/>
          <w:szCs w:val="40"/>
        </w:rPr>
        <w:t xml:space="preserve">Galaxy Rotation Curve Recovery</w:t>
      </w:r>
    </w:p>
    <w:p>
      <w:pPr>
        <w:spacing w:after="400"/>
        <w:jc w:val="center"/>
      </w:pPr>
      <w:r>
        <w:rPr>
          <w:rFonts w:ascii="Georgia" w:cs="Georgia" w:eastAsia="Georgia" w:hAnsi="Georgia"/>
          <w:color w:val="4a5a7a"/>
          <w:sz w:val="26"/>
          <w:szCs w:val="26"/>
        </w:rPr>
        <w:t xml:space="preserve">175 SPARC Galaxies — Three-Way Comparison with MOND</w:t>
      </w:r>
    </w:p>
    <w:p>
      <w:pPr>
        <w:spacing w:after="80"/>
        <w:jc w:val="center"/>
      </w:pPr>
      <w:r>
        <w:rPr>
          <w:rFonts w:ascii="Arial" w:cs="Arial" w:eastAsia="Arial" w:hAnsi="Arial"/>
          <w:b/>
          <w:bCs/>
          <w:sz w:val="24"/>
          <w:szCs w:val="24"/>
        </w:rPr>
        <w:t xml:space="preserve">Stephen Justin Burdick Sr.</w:t>
      </w:r>
    </w:p>
    <w:p>
      <w:pPr>
        <w:spacing w:after="80"/>
        <w:jc w:val="center"/>
      </w:pPr>
      <w:r>
        <w:rPr>
          <w:rFonts w:ascii="Arial" w:cs="Arial" w:eastAsia="Arial" w:hAnsi="Arial"/>
          <w:i/>
          <w:iCs/>
          <w:sz w:val="20"/>
          <w:szCs w:val="20"/>
        </w:rPr>
        <w:t xml:space="preserve">Emerald Entities LLC — NSF I-Corps Program, Team GIBUSH</w:t>
      </w:r>
    </w:p>
    <w:p>
      <w:pPr>
        <w:spacing w:after="400"/>
        <w:jc w:val="center"/>
      </w:pPr>
      <w:r>
        <w:rPr>
          <w:rFonts w:ascii="Arial" w:cs="Arial" w:eastAsia="Arial" w:hAnsi="Arial"/>
          <w:sz w:val="22"/>
          <w:szCs w:val="22"/>
        </w:rPr>
        <w:t xml:space="preserve">March 25, 2026</w:t>
      </w:r>
    </w:p>
    <w:p>
      <w:pPr>
        <w:spacing w:after="200"/>
        <w:jc w:val="center"/>
      </w:pPr>
      <w:r>
        <w:rPr>
          <w:rFonts w:ascii="Arial" w:cs="Arial" w:eastAsia="Arial" w:hAnsi="Arial"/>
          <w:b/>
          <w:bCs/>
          <w:color w:val="880000"/>
          <w:sz w:val="18"/>
          <w:szCs w:val="18"/>
        </w:rPr>
        <w:t xml:space="preserve">PRELIMINARY — PATENT PENDING — ALL RIGHTS RESERVED</w:t>
      </w:r>
    </w:p>
    <w:p>
      <w:pPr>
        <w:spacing w:after="200"/>
        <w:jc w:val="center"/>
      </w:pPr>
      <w:r>
        <w:rPr>
          <w:rFonts w:ascii="Arial" w:cs="Arial" w:eastAsia="Arial" w:hAnsi="Arial"/>
          <w:color w:val="444444"/>
          <w:sz w:val="18"/>
          <w:szCs w:val="18"/>
        </w:rPr>
        <w:t xml:space="preserve">© 2026 Stephen J. Burdick Sr. / Emerald Entities LLC</w:t>
      </w:r>
    </w:p>
    <w:p>
      <w:r>
        <w:br/>
        <w:t xml:space="preserve"/>
      </w:r>
    </w:p>
    <w:p>
      <w:pPr>
        <w:pStyle w:val="Heading1"/>
      </w:pPr>
      <w:r>
        <w:rPr>
          <w:b/>
          <w:bCs/>
        </w:rPr>
        <w:t xml:space="preserve">Abstract</w:t>
      </w:r>
    </w:p>
    <w:p>
      <w:pPr>
        <w:spacing w:after="200" w:line="300"/>
      </w:pPr>
      <w:r>
        <w:rPr>
          <w:rFonts w:ascii="Arial" w:cs="Arial" w:eastAsia="Arial" w:hAnsi="Arial"/>
          <w:sz w:val="22"/>
          <w:szCs w:val="22"/>
        </w:rPr>
        <w:t xml:space="preserve">We present a numerical framework in which gravitational potential emerges from damped wave propagation on a stack of entangled two-dimensional substrates. The model uses two fixed global parameters and baryonic mass distributions from the SPARC database (Lelli, McGaugh, Schombert, 2016) as sole input. No dark matter is invoked. No per-galaxy tuning is performed.</w:t>
      </w:r>
    </w:p>
    <w:p>
      <w:pPr>
        <w:spacing w:after="200" w:line="300"/>
      </w:pPr>
      <w:r>
        <w:rPr>
          <w:rFonts w:ascii="Arial" w:cs="Arial" w:eastAsia="Arial" w:hAnsi="Arial"/>
          <w:sz w:val="22"/>
          <w:szCs w:val="22"/>
        </w:rPr>
        <w:t xml:space="preserve">In a three-way comparison against Newtonian baryonic prediction and Modified Newtonian Dynamics (MOND; Milgrom, 1983) across all 175 SPARC disk galaxies, the substrate model achieves the following at grid resolution 128:</w:t>
      </w:r>
    </w:p>
    <w:p>
      <w:pPr>
        <w:spacing w:after="160" w:line="300"/>
      </w:pPr>
      <w:r>
        <w:rPr>
          <w:rFonts w:ascii="Arial" w:cs="Arial" w:eastAsia="Arial" w:hAnsi="Arial"/>
          <w:b/>
          <w:bCs/>
          <w:sz w:val="22"/>
          <w:szCs w:val="22"/>
        </w:rPr>
        <w:t xml:space="preserve">Overall wins: </w:t>
      </w:r>
      <w:r>
        <w:rPr>
          <w:rFonts w:ascii="Arial" w:cs="Arial" w:eastAsia="Arial" w:hAnsi="Arial"/>
          <w:sz w:val="22"/>
          <w:szCs w:val="22"/>
        </w:rPr>
        <w:t xml:space="preserve">Substrate 86 (49%), Newton 72 (41%), MOND 13 (7%), Tie 4 (2%)</w:t>
      </w:r>
    </w:p>
    <w:p>
      <w:pPr>
        <w:spacing w:after="160" w:line="300"/>
      </w:pPr>
      <w:r>
        <w:rPr>
          <w:rFonts w:ascii="Arial" w:cs="Arial" w:eastAsia="Arial" w:hAnsi="Arial"/>
          <w:b/>
          <w:bCs/>
          <w:sz w:val="22"/>
          <w:szCs w:val="22"/>
        </w:rPr>
        <w:t xml:space="preserve">Average RMS vs V_obs: </w:t>
      </w:r>
      <w:r>
        <w:rPr>
          <w:rFonts w:ascii="Arial" w:cs="Arial" w:eastAsia="Arial" w:hAnsi="Arial"/>
          <w:sz w:val="22"/>
          <w:szCs w:val="22"/>
        </w:rPr>
        <w:t xml:space="preserve">Substrate 33.6 km/s, Newton 33.7 km/s, MOND 76.0 km/s</w:t>
      </w:r>
    </w:p>
    <w:p>
      <w:pPr>
        <w:spacing w:after="160" w:line="300"/>
      </w:pPr>
      <w:r>
        <w:rPr>
          <w:rFonts w:ascii="Arial" w:cs="Arial" w:eastAsia="Arial" w:hAnsi="Arial"/>
          <w:b/>
          <w:bCs/>
          <w:sz w:val="22"/>
          <w:szCs w:val="22"/>
        </w:rPr>
        <w:t xml:space="preserve">Outer radii wins: </w:t>
      </w:r>
      <w:r>
        <w:rPr>
          <w:rFonts w:ascii="Arial" w:cs="Arial" w:eastAsia="Arial" w:hAnsi="Arial"/>
          <w:sz w:val="22"/>
          <w:szCs w:val="22"/>
        </w:rPr>
        <w:t xml:space="preserve">Substrate 113 (65%), Newton 52 (30%), MOND 4 (2%)</w:t>
      </w:r>
    </w:p>
    <w:p>
      <w:pPr>
        <w:spacing w:after="160" w:line="300"/>
      </w:pPr>
      <w:r>
        <w:rPr>
          <w:rFonts w:ascii="Arial" w:cs="Arial" w:eastAsia="Arial" w:hAnsi="Arial"/>
          <w:b/>
          <w:bCs/>
          <w:sz w:val="22"/>
          <w:szCs w:val="22"/>
        </w:rPr>
        <w:t xml:space="preserve">Substrate vs MOND: </w:t>
      </w:r>
      <w:r>
        <w:rPr>
          <w:rFonts w:ascii="Arial" w:cs="Arial" w:eastAsia="Arial" w:hAnsi="Arial"/>
          <w:sz w:val="22"/>
          <w:szCs w:val="22"/>
        </w:rPr>
        <w:t xml:space="preserve">151 of 175 galaxies (86%) won by substrate</w:t>
      </w:r>
    </w:p>
    <w:p>
      <w:pPr>
        <w:spacing w:after="200" w:line="300"/>
      </w:pPr>
      <w:r>
        <w:rPr>
          <w:rFonts w:ascii="Arial" w:cs="Arial" w:eastAsia="Arial" w:hAnsi="Arial"/>
          <w:sz w:val="22"/>
          <w:szCs w:val="22"/>
        </w:rPr>
        <w:t xml:space="preserve">At the Poisson recovery level (λ = 0.01), the model achieves +0.9825 mean radial correlation against Newtonian gravity across all 175 galaxies with zero negative correlations. Resolution scaling from grid 64 to grid 128 improved massive galaxy (V &gt; 200 km/s) substrate RMS from 94.0 to 65.0 km/s, confirming that initial failures were grid artifacts rather than model limitations.</w:t>
      </w:r>
    </w:p>
    <w:p>
      <w:pPr>
        <w:spacing w:after="200" w:line="300"/>
      </w:pPr>
      <w:r>
        <w:rPr>
          <w:rFonts w:ascii="Arial" w:cs="Arial" w:eastAsia="Arial" w:hAnsi="Arial"/>
          <w:sz w:val="22"/>
          <w:szCs w:val="22"/>
        </w:rPr>
        <w:t xml:space="preserve">The decay parameter λ exhibits structural correspondence with the cosmological constant Λ. Both govern the rate at which spatial structure decays. The implications of this correspondence are discussed but not claimed as proven.</w:t>
      </w:r>
    </w:p>
    <w:p>
      <w:r>
        <w:br/>
        <w:t xml:space="preserve"/>
      </w:r>
    </w:p>
    <w:p>
      <w:pPr>
        <w:pStyle w:val="Heading1"/>
      </w:pPr>
      <w:r>
        <w:rPr>
          <w:b/>
          <w:bCs/>
        </w:rPr>
        <w:t xml:space="preserve">1. Introduction</w:t>
      </w:r>
    </w:p>
    <w:p>
      <w:pPr>
        <w:spacing w:after="200" w:line="300"/>
      </w:pPr>
      <w:r>
        <w:rPr>
          <w:rFonts w:ascii="Arial" w:cs="Arial" w:eastAsia="Arial" w:hAnsi="Arial"/>
          <w:sz w:val="22"/>
          <w:szCs w:val="22"/>
        </w:rPr>
        <w:t xml:space="preserve">The galaxy rotation curve problem has persisted for over five decades since Rubin and Ford (1970) established that disk galaxy rotation velocities consistently exceed predictions based on visible baryonic matter. The standard cosmological model attributes this discrepancy to dark matter, a non-baryonic, non-luminous component comprising approximately 27% of the universe’s mass-energy content. Despite extensive experimental campaigns, dark matter particles have not been directly detected.</w:t>
      </w:r>
    </w:p>
    <w:p>
      <w:pPr>
        <w:spacing w:after="200" w:line="300"/>
      </w:pPr>
      <w:r>
        <w:rPr>
          <w:rFonts w:ascii="Arial" w:cs="Arial" w:eastAsia="Arial" w:hAnsi="Arial"/>
          <w:sz w:val="22"/>
          <w:szCs w:val="22"/>
        </w:rPr>
        <w:t xml:space="preserve">Modified Newtonian Dynamics (MOND), proposed by Milgrom in 1983, offers an alternative by modifying the gravitational force law below a critical acceleration scale a₀ ≈ 1.2 × 10⁻¹⁰ m/s². MOND has achieved notable success in fitting individual galaxy rotation curves with a single universal parameter. However, MOND faces challenges in galaxy clusters and lacks a complete relativistic formulation.</w:t>
      </w:r>
    </w:p>
    <w:p>
      <w:pPr>
        <w:spacing w:after="200" w:line="300"/>
      </w:pPr>
      <w:r>
        <w:rPr>
          <w:rFonts w:ascii="Arial" w:cs="Arial" w:eastAsia="Arial" w:hAnsi="Arial"/>
          <w:sz w:val="22"/>
          <w:szCs w:val="22"/>
        </w:rPr>
        <w:t xml:space="preserve">This work presents a fundamentally different approach: gravity as an emergent property of wave propagation on a pre-existing two-dimensional substrate. The central physical claim is that space is not a passive container but an active medium requiring continuous energy input to maintain detectable structure. The rate of this decay, parameterized by λ, produces screened (Yukawa-type) gravity at distances beyond a characteristic scale 1/μ where μ² = λ/C².</w:t>
      </w:r>
    </w:p>
    <w:p>
      <w:pPr>
        <w:spacing w:after="200" w:line="300"/>
      </w:pPr>
      <w:r>
        <w:rPr>
          <w:rFonts w:ascii="Arial" w:cs="Arial" w:eastAsia="Arial" w:hAnsi="Arial"/>
          <w:sz w:val="22"/>
          <w:szCs w:val="22"/>
        </w:rPr>
        <w:t xml:space="preserve">We validate this model against all 175 galaxies in the SPARC database, comparing simultaneously against both Newtonian baryonic prediction and MOND. To our knowledge, this is the first three-way comparison of a substrate-based gravity model against these established frameworks using a complete galaxy survey.</w:t>
      </w:r>
    </w:p>
    <w:p>
      <w:r>
        <w:br/>
        <w:t xml:space="preserve"/>
      </w:r>
    </w:p>
    <w:p>
      <w:pPr>
        <w:pStyle w:val="Heading1"/>
      </w:pPr>
      <w:r>
        <w:rPr>
          <w:b/>
          <w:bCs/>
        </w:rPr>
        <w:t xml:space="preserve">2. Theoretical Framework</w:t>
      </w:r>
    </w:p>
    <w:p>
      <w:pPr>
        <w:pStyle w:val="Heading2"/>
      </w:pPr>
      <w:r>
        <w:rPr>
          <w:b/>
          <w:bCs/>
        </w:rPr>
        <w:t xml:space="preserve">2.1 Substrate Wave Equation</w:t>
      </w:r>
    </w:p>
    <w:p>
      <w:pPr>
        <w:spacing w:after="200" w:line="300"/>
      </w:pPr>
      <w:r>
        <w:rPr>
          <w:rFonts w:ascii="Arial" w:cs="Arial" w:eastAsia="Arial" w:hAnsi="Arial"/>
          <w:sz w:val="22"/>
          <w:szCs w:val="22"/>
        </w:rPr>
        <w:t xml:space="preserve">The substrate agitation density ρ(x, y, t) evolves under a damped wave equation with a decay (maintenance cost) term:</w:t>
      </w:r>
    </w:p>
    <w:p>
      <w:pPr>
        <w:spacing w:before="120" w:after="120"/>
        <w:jc w:val="center"/>
      </w:pPr>
      <w:r>
        <w:rPr>
          <w:rFonts w:ascii="Consolas" w:cs="Consolas" w:eastAsia="Consolas" w:hAnsi="Consolas"/>
          <w:sz w:val="20"/>
          <w:szCs w:val="20"/>
        </w:rPr>
        <w:t xml:space="preserve">∂²ρ/∂t² = C²∇²ρ − λρ + J − γ(∂ρ/∂t)</w:t>
      </w:r>
    </w:p>
    <w:p>
      <w:pPr>
        <w:spacing w:after="200" w:line="300"/>
      </w:pPr>
      <w:r>
        <w:rPr>
          <w:rFonts w:ascii="Arial" w:cs="Arial" w:eastAsia="Arial" w:hAnsi="Arial"/>
          <w:sz w:val="22"/>
          <w:szCs w:val="22"/>
        </w:rPr>
        <w:t xml:space="preserve">where C is the wave propagation speed, λ is the decay rate (maintenance cost of spatial extent), J is the source term derived from baryonic mass distribution, and γ is the damping coefficient. The gravitational potential is identified as Ψ = −Σ, where Σ is the time-integrated absolute agitation (cumulative geological memory).</w:t>
      </w:r>
    </w:p>
    <w:p>
      <w:pPr>
        <w:pStyle w:val="Heading2"/>
      </w:pPr>
      <w:r>
        <w:rPr>
          <w:b/>
          <w:bCs/>
        </w:rPr>
        <w:t xml:space="preserve">2.2 Multi-Layer Architecture</w:t>
      </w:r>
    </w:p>
    <w:p>
      <w:pPr>
        <w:spacing w:after="200" w:line="300"/>
      </w:pPr>
      <w:r>
        <w:rPr>
          <w:rFonts w:ascii="Arial" w:cs="Arial" w:eastAsia="Arial" w:hAnsi="Arial"/>
          <w:sz w:val="22"/>
          <w:szCs w:val="22"/>
        </w:rPr>
        <w:t xml:space="preserve">The substrate consists of N entangled two-dimensional layers with nearest-neighbor coupling strength α_e. The source term J is applied only to layer 0; subsequent layers receive energy through entanglement. This architecture stabilizes far-field gravitational potential and extends the effective range of gravitational influence.</w:t>
      </w:r>
    </w:p>
    <w:p>
      <w:pPr>
        <w:pStyle w:val="Heading2"/>
      </w:pPr>
      <w:r>
        <w:rPr>
          <w:b/>
          <w:bCs/>
        </w:rPr>
        <w:t xml:space="preserve">2.3 Poisson Recovery</w:t>
      </w:r>
    </w:p>
    <w:p>
      <w:pPr>
        <w:spacing w:after="200" w:line="300"/>
      </w:pPr>
      <w:r>
        <w:rPr>
          <w:rFonts w:ascii="Arial" w:cs="Arial" w:eastAsia="Arial" w:hAnsi="Arial"/>
          <w:sz w:val="22"/>
          <w:szCs w:val="22"/>
        </w:rPr>
        <w:t xml:space="preserve">In the limit λ → 0, the steady-state dynamics reduce to ∇²Ψ ∼ ρ, recovering the Newtonian Poisson equation. This was verified numerically: at λ = 0.01 across 175 galaxies, the mean radial correlation between substrate potential and Newtonian potential is +0.9825, with 172 of 175 galaxies exceeding +0.90 and zero negative correlations.</w:t>
      </w:r>
    </w:p>
    <w:p>
      <w:pPr>
        <w:pStyle w:val="Heading2"/>
      </w:pPr>
      <w:r>
        <w:rPr>
          <w:b/>
          <w:bCs/>
        </w:rPr>
        <w:t xml:space="preserve">2.4 MOND Implementation</w:t>
      </w:r>
    </w:p>
    <w:p>
      <w:pPr>
        <w:spacing w:after="200" w:line="300"/>
      </w:pPr>
      <w:r>
        <w:rPr>
          <w:rFonts w:ascii="Arial" w:cs="Arial" w:eastAsia="Arial" w:hAnsi="Arial"/>
          <w:sz w:val="22"/>
          <w:szCs w:val="22"/>
        </w:rPr>
        <w:t xml:space="preserve">For comparison, we implement MOND using Milgrom’s simple interpolation function μ(x) = x/(1+x) where x = g_N/a₀. The MOND gravitational acceleration is g_MOND = g_N/μ(x), yielding V_MOND = √(g_MOND · r). This is computed directly from the baryonic velocity components without fitting. We note that MOND results may be affected by the absence of mass-to-light ratio optimization (Υ* scaling), which is standard practice in dedicated MOND analyses.</w:t>
      </w:r>
    </w:p>
    <w:p>
      <w:r>
        <w:br/>
        <w:t xml:space="preserve"/>
      </w:r>
    </w:p>
    <w:p>
      <w:pPr>
        <w:pStyle w:val="Heading1"/>
      </w:pPr>
      <w:r>
        <w:rPr>
          <w:b/>
          <w:bCs/>
        </w:rPr>
        <w:t xml:space="preserve">3. Methodology</w:t>
      </w:r>
    </w:p>
    <w:p>
      <w:pPr>
        <w:pStyle w:val="Heading2"/>
      </w:pPr>
      <w:r>
        <w:rPr>
          <w:b/>
          <w:bCs/>
        </w:rPr>
        <w:t xml:space="preserve">3.1 Data</w:t>
      </w:r>
    </w:p>
    <w:p>
      <w:pPr>
        <w:spacing w:after="200" w:line="300"/>
      </w:pPr>
      <w:r>
        <w:rPr>
          <w:rFonts w:ascii="Arial" w:cs="Arial" w:eastAsia="Arial" w:hAnsi="Arial"/>
          <w:sz w:val="22"/>
          <w:szCs w:val="22"/>
        </w:rPr>
        <w:t xml:space="preserve">The SPARC database (Lelli, McGaugh, Schombert 2016) provides rotation curves for 175 late-type galaxies with decomposed baryonic contributions: V_gas (gas), V_disk (stellar disk), and V_bul (bulge). The baryonic Newtonian prediction is V_newton = √(V_gas² + V_disk² + V_bul²). The observed rotation velocity V_obs is never used as solver input.</w:t>
      </w:r>
    </w:p>
    <w:p>
      <w:pPr>
        <w:pStyle w:val="Heading2"/>
      </w:pPr>
      <w:r>
        <w:rPr>
          <w:b/>
          <w:bCs/>
        </w:rPr>
        <w:t xml:space="preserve">3.2 Source Construction</w:t>
      </w:r>
    </w:p>
    <w:p>
      <w:pPr>
        <w:spacing w:after="200" w:line="300"/>
      </w:pPr>
      <w:r>
        <w:rPr>
          <w:rFonts w:ascii="Arial" w:cs="Arial" w:eastAsia="Arial" w:hAnsi="Arial"/>
          <w:sz w:val="22"/>
          <w:szCs w:val="22"/>
        </w:rPr>
        <w:t xml:space="preserve">The 2D source field J(x,y) is constructed exclusively from baryonic components: J(r) = (V_gas² + V_disk² + V_bul²)/r, mapped onto a 2D grid with azimuthal symmetry. This ensures the solver receives only the mass distribution that Newtonian gravity already accounts for. Any rotational support beyond Newton in the output is produced by substrate dynamics alone.</w:t>
      </w:r>
    </w:p>
    <w:p>
      <w:pPr>
        <w:pStyle w:val="Heading2"/>
      </w:pPr>
      <w:r>
        <w:rPr>
          <w:b/>
          <w:bCs/>
        </w:rPr>
        <w:t xml:space="preserve">3.3 Solver Parameters (Fixed Across All Galaxies)</w:t>
      </w:r>
    </w:p>
    <w:p>
      <w:pPr>
        <w:spacing w:after="160" w:line="300"/>
      </w:pPr>
      <w:r>
        <w:rPr>
          <w:rFonts w:ascii="Arial" w:cs="Arial" w:eastAsia="Arial" w:hAnsi="Arial"/>
          <w:b/>
          <w:bCs/>
          <w:sz w:val="22"/>
          <w:szCs w:val="22"/>
        </w:rPr>
        <w:t xml:space="preserve">Layers: </w:t>
      </w:r>
      <w:r>
        <w:rPr>
          <w:rFonts w:ascii="Arial" w:cs="Arial" w:eastAsia="Arial" w:hAnsi="Arial"/>
          <w:sz w:val="22"/>
          <w:szCs w:val="22"/>
        </w:rPr>
        <w:t xml:space="preserve">6 entangled substrate layers</w:t>
      </w:r>
    </w:p>
    <w:p>
      <w:pPr>
        <w:spacing w:after="160" w:line="300"/>
      </w:pPr>
      <w:r>
        <w:rPr>
          <w:rFonts w:ascii="Arial" w:cs="Arial" w:eastAsia="Arial" w:hAnsi="Arial"/>
          <w:b/>
          <w:bCs/>
          <w:sz w:val="22"/>
          <w:szCs w:val="22"/>
        </w:rPr>
        <w:t xml:space="preserve">Wave speed (C): </w:t>
      </w:r>
      <w:r>
        <w:rPr>
          <w:rFonts w:ascii="Arial" w:cs="Arial" w:eastAsia="Arial" w:hAnsi="Arial"/>
          <w:sz w:val="22"/>
          <w:szCs w:val="22"/>
        </w:rPr>
        <w:t xml:space="preserve">1.0</w:t>
      </w:r>
    </w:p>
    <w:p>
      <w:pPr>
        <w:spacing w:after="160" w:line="300"/>
      </w:pPr>
      <w:r>
        <w:rPr>
          <w:rFonts w:ascii="Arial" w:cs="Arial" w:eastAsia="Arial" w:hAnsi="Arial"/>
          <w:b/>
          <w:bCs/>
          <w:sz w:val="22"/>
          <w:szCs w:val="22"/>
        </w:rPr>
        <w:t xml:space="preserve">Damping (γ): </w:t>
      </w:r>
      <w:r>
        <w:rPr>
          <w:rFonts w:ascii="Arial" w:cs="Arial" w:eastAsia="Arial" w:hAnsi="Arial"/>
          <w:sz w:val="22"/>
          <w:szCs w:val="22"/>
        </w:rPr>
        <w:t xml:space="preserve">0.05</w:t>
      </w:r>
    </w:p>
    <w:p>
      <w:pPr>
        <w:spacing w:after="160" w:line="300"/>
      </w:pPr>
      <w:r>
        <w:rPr>
          <w:rFonts w:ascii="Arial" w:cs="Arial" w:eastAsia="Arial" w:hAnsi="Arial"/>
          <w:b/>
          <w:bCs/>
          <w:sz w:val="22"/>
          <w:szCs w:val="22"/>
        </w:rPr>
        <w:t xml:space="preserve">Entanglement (α_e): </w:t>
      </w:r>
      <w:r>
        <w:rPr>
          <w:rFonts w:ascii="Arial" w:cs="Arial" w:eastAsia="Arial" w:hAnsi="Arial"/>
          <w:sz w:val="22"/>
          <w:szCs w:val="22"/>
        </w:rPr>
        <w:t xml:space="preserve">0.02</w:t>
      </w:r>
    </w:p>
    <w:p>
      <w:pPr>
        <w:spacing w:after="160" w:line="300"/>
      </w:pPr>
      <w:r>
        <w:rPr>
          <w:rFonts w:ascii="Arial" w:cs="Arial" w:eastAsia="Arial" w:hAnsi="Arial"/>
          <w:b/>
          <w:bCs/>
          <w:sz w:val="22"/>
          <w:szCs w:val="22"/>
        </w:rPr>
        <w:t xml:space="preserve">Decay rate (λ): </w:t>
      </w:r>
      <w:r>
        <w:rPr>
          <w:rFonts w:ascii="Arial" w:cs="Arial" w:eastAsia="Arial" w:hAnsi="Arial"/>
          <w:sz w:val="22"/>
          <w:szCs w:val="22"/>
        </w:rPr>
        <w:t xml:space="preserve">0.1 (rotation comparison), 0.01 (Poisson recovery)</w:t>
      </w:r>
    </w:p>
    <w:p>
      <w:pPr>
        <w:spacing w:after="160" w:line="300"/>
      </w:pPr>
      <w:r>
        <w:rPr>
          <w:rFonts w:ascii="Arial" w:cs="Arial" w:eastAsia="Arial" w:hAnsi="Arial"/>
          <w:b/>
          <w:bCs/>
          <w:sz w:val="22"/>
          <w:szCs w:val="22"/>
        </w:rPr>
        <w:t xml:space="preserve">Settle: </w:t>
      </w:r>
      <w:r>
        <w:rPr>
          <w:rFonts w:ascii="Arial" w:cs="Arial" w:eastAsia="Arial" w:hAnsi="Arial"/>
          <w:sz w:val="22"/>
          <w:szCs w:val="22"/>
        </w:rPr>
        <w:t xml:space="preserve">12,000 steps</w:t>
      </w:r>
    </w:p>
    <w:p>
      <w:pPr>
        <w:spacing w:after="160" w:line="300"/>
      </w:pPr>
      <w:r>
        <w:rPr>
          <w:rFonts w:ascii="Arial" w:cs="Arial" w:eastAsia="Arial" w:hAnsi="Arial"/>
          <w:b/>
          <w:bCs/>
          <w:sz w:val="22"/>
          <w:szCs w:val="22"/>
        </w:rPr>
        <w:t xml:space="preserve">Measurement: </w:t>
      </w:r>
      <w:r>
        <w:rPr>
          <w:rFonts w:ascii="Arial" w:cs="Arial" w:eastAsia="Arial" w:hAnsi="Arial"/>
          <w:sz w:val="22"/>
          <w:szCs w:val="22"/>
        </w:rPr>
        <w:t xml:space="preserve">3,000 steps</w:t>
      </w:r>
    </w:p>
    <w:p>
      <w:pPr>
        <w:spacing w:after="160" w:line="300"/>
      </w:pPr>
      <w:r>
        <w:rPr>
          <w:rFonts w:ascii="Arial" w:cs="Arial" w:eastAsia="Arial" w:hAnsi="Arial"/>
          <w:b/>
          <w:bCs/>
          <w:sz w:val="22"/>
          <w:szCs w:val="22"/>
        </w:rPr>
        <w:t xml:space="preserve">Grid: </w:t>
      </w:r>
      <w:r>
        <w:rPr>
          <w:rFonts w:ascii="Arial" w:cs="Arial" w:eastAsia="Arial" w:hAnsi="Arial"/>
          <w:sz w:val="22"/>
          <w:szCs w:val="22"/>
        </w:rPr>
        <w:t xml:space="preserve">128 × 128 (primary), 64 × 64 (resolution comparison)</w:t>
      </w:r>
    </w:p>
    <w:p>
      <w:r>
        <w:br/>
        <w:t xml:space="preserve"/>
      </w:r>
    </w:p>
    <w:p>
      <w:pPr>
        <w:pStyle w:val="Heading1"/>
      </w:pPr>
      <w:r>
        <w:rPr>
          <w:b/>
          <w:bCs/>
        </w:rPr>
        <w:t xml:space="preserve">4. Results</w:t>
      </w:r>
    </w:p>
    <w:p>
      <w:pPr>
        <w:pStyle w:val="Heading2"/>
      </w:pPr>
      <w:r>
        <w:rPr>
          <w:b/>
          <w:bCs/>
        </w:rPr>
        <w:t xml:space="preserve">4.1 Three-Way Comparison: 175 Galaxies at Grid 128</w:t>
      </w:r>
    </w:p>
    <w:p>
      <w:pPr>
        <w:spacing w:after="200" w:line="300"/>
      </w:pPr>
      <w:r>
        <w:rPr>
          <w:rFonts w:ascii="Arial" w:cs="Arial" w:eastAsia="Arial" w:hAnsi="Arial"/>
          <w:sz w:val="22"/>
          <w:szCs w:val="22"/>
        </w:rPr>
        <w:t xml:space="preserve">Table 1 presents the aggregate three-way comparison across all 175 SPARC galaxies at grid resolution 128.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Metric</w:t>
            </w:r>
          </w:p>
        </w:tc>
        <w:tc>
          <w:tcPr>
            <w:tcW w:type="dxa" w:w="208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Newton</w:t>
            </w:r>
          </w:p>
        </w:tc>
        <w:tc>
          <w:tcPr>
            <w:tcW w:type="dxa" w:w="208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MOND</w:t>
            </w:r>
          </w:p>
        </w:tc>
        <w:tc>
          <w:tcPr>
            <w:tcW w:type="dxa" w:w="208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Substrate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Overall wins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72 (41%)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13 (7%)</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86 (49%)</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Outer radii wins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52 (30%)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4 (2%)</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113 (65%)</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Average RMS (km/s)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33.7</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76.0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33.6</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Sub beats head-to-head</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86 / 175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151 / 175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w:t>
            </w:r>
          </w:p>
        </w:tc>
      </w:tr>
    </w:tbl>
    <w:p>
      <w:pPr>
        <w:spacing w:after="200" w:line="280"/>
      </w:pPr>
      <w:r>
        <w:rPr>
          <w:rFonts w:ascii="Arial" w:cs="Arial" w:eastAsia="Arial" w:hAnsi="Arial"/>
          <w:i/>
          <w:iCs/>
          <w:sz w:val="20"/>
          <w:szCs w:val="20"/>
        </w:rPr>
        <w:t xml:space="preserve">Table 1: Three-way comparison across 175 SPARC galaxies at grid 128. Substrate leads in overall wins (86 vs 72) and average RMS (33.6 vs 33.7 km/s), and dominates outer radii (113 vs 52).</w:t>
      </w:r>
    </w:p>
    <w:p>
      <w:pPr>
        <w:pStyle w:val="Heading2"/>
      </w:pPr>
      <w:r>
        <w:rPr>
          <w:b/>
          <w:bCs/>
        </w:rPr>
        <w:t xml:space="preserve">4.2 Performance by Mass Bracket</w:t>
      </w:r>
    </w:p>
    <w:p>
      <w:pPr>
        <w:spacing w:after="200" w:line="300"/>
      </w:pPr>
      <w:r>
        <w:rPr>
          <w:rFonts w:ascii="Arial" w:cs="Arial" w:eastAsia="Arial" w:hAnsi="Arial"/>
          <w:sz w:val="22"/>
          <w:szCs w:val="22"/>
        </w:rPr>
        <w:t xml:space="preserve">Table 2 stratifies results by galaxy mass using maximum rotation velocity V_max as proxy.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900"/>
        <w:gridCol w:w="900"/>
        <w:gridCol w:w="900"/>
        <w:gridCol w:w="1200"/>
        <w:gridCol w:w="1200"/>
        <w:gridCol w:w="1160"/>
      </w:tblGrid>
      <w:tr>
        <w:tc>
          <w:tcPr>
            <w:tcW w:type="dxa" w:w="24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Bracket</w:t>
            </w:r>
          </w:p>
        </w:tc>
        <w:tc>
          <w:tcPr>
            <w:tcW w:type="dxa" w:w="7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w:t>
            </w:r>
          </w:p>
        </w:tc>
        <w:tc>
          <w:tcPr>
            <w:tcW w:type="dxa" w:w="9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Sub</w:t>
            </w:r>
          </w:p>
        </w:tc>
        <w:tc>
          <w:tcPr>
            <w:tcW w:type="dxa" w:w="9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Newt</w:t>
            </w:r>
          </w:p>
        </w:tc>
        <w:tc>
          <w:tcPr>
            <w:tcW w:type="dxa" w:w="9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MOND</w:t>
            </w:r>
          </w:p>
        </w:tc>
        <w:tc>
          <w:tcPr>
            <w:tcW w:type="dxa" w:w="12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RMS_N</w:t>
            </w:r>
          </w:p>
        </w:tc>
        <w:tc>
          <w:tcPr>
            <w:tcW w:type="dxa" w:w="12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RMS_M</w:t>
            </w:r>
          </w:p>
        </w:tc>
        <w:tc>
          <w:tcPr>
            <w:tcW w:type="dxa" w:w="116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RMS_S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V &lt; 50 (dwarf)</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22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59.2</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12.0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50-100 (low)</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64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25.8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68.3</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21.8</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100-150 (mid)</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23</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39.3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82.5</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32.1</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150-200 (high)</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39.6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87.4</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38.2</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V &gt; 200 (massive)</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12</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53.9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87.7</w:t>
            </w:r>
          </w:p>
        </w:tc>
        <w:tc>
          <w:tcPr>
            <w:tcW w:type="dxa" w:w="1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65.0</w:t>
            </w:r>
          </w:p>
        </w:tc>
      </w:tr>
    </w:tbl>
    <w:p>
      <w:pPr>
        <w:spacing w:after="200" w:line="280"/>
      </w:pPr>
      <w:r>
        <w:rPr>
          <w:rFonts w:ascii="Arial" w:cs="Arial" w:eastAsia="Arial" w:hAnsi="Arial"/>
          <w:i/>
          <w:iCs/>
          <w:sz w:val="20"/>
          <w:szCs w:val="20"/>
        </w:rPr>
        <w:t xml:space="preserve">Table 2: Three-way comparison by mass bracket at grid 128. Substrate leads in low and mid-mass brackets. Newton leads in massive galaxies. MOND wins are rare across all brackets.</w:t>
      </w:r>
    </w:p>
    <w:p>
      <w:pPr>
        <w:pStyle w:val="Heading2"/>
      </w:pPr>
      <w:r>
        <w:rPr>
          <w:b/>
          <w:bCs/>
        </w:rPr>
        <w:t xml:space="preserve">4.3 Resolution Scaling: Grid 64 vs Grid 128</w:t>
      </w:r>
    </w:p>
    <w:p>
      <w:pPr>
        <w:spacing w:after="200" w:line="300"/>
      </w:pPr>
      <w:r>
        <w:rPr>
          <w:rFonts w:ascii="Arial" w:cs="Arial" w:eastAsia="Arial" w:hAnsi="Arial"/>
          <w:sz w:val="22"/>
          <w:szCs w:val="22"/>
        </w:rPr>
        <w:t xml:space="preserve">To determine whether massive galaxy failures were model limitations or grid artifacts, all 175 galaxies were run at both grid 64 and grid 128. Table 3 shows the resolution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80"/>
        <w:gridCol w:w="2080"/>
        <w:gridCol w:w="2100"/>
      </w:tblGrid>
      <w:tr>
        <w:tc>
          <w:tcPr>
            <w:tcW w:type="dxa" w:w="31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Metric</w:t>
            </w:r>
          </w:p>
        </w:tc>
        <w:tc>
          <w:tcPr>
            <w:tcW w:type="dxa" w:w="208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Grid 64</w:t>
            </w:r>
          </w:p>
        </w:tc>
        <w:tc>
          <w:tcPr>
            <w:tcW w:type="dxa" w:w="208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Grid 128</w:t>
            </w:r>
          </w:p>
        </w:tc>
        <w:tc>
          <w:tcPr>
            <w:tcW w:type="dxa" w:w="21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Change</w:t>
            </w:r>
          </w:p>
        </w:tc>
      </w:tr>
      <w:tr>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Substrate overall wins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76 (43%)</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86 (49%)</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+10</w:t>
            </w:r>
          </w:p>
        </w:tc>
      </w:tr>
      <w:tr>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Substrate avg RMS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40.3 km/s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33.6 km/s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-6.7</w:t>
            </w:r>
          </w:p>
        </w:tc>
      </w:tr>
      <w:tr>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Massive (V&gt;200) Sub RMS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94.0 km/s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65.0 km/s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-29.0</w:t>
            </w:r>
          </w:p>
        </w:tc>
      </w:tr>
      <w:tr>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Massive Sub wins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2 / 38</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12 / 38</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+10</w:t>
            </w:r>
          </w:p>
        </w:tc>
      </w:tr>
      <w:tr>
        <w:tc>
          <w:tcPr>
            <w:tcW w:type="dxa" w:w="3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Newton avg RMS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33.7 km/s</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33.7 km/s</w:t>
            </w:r>
          </w:p>
        </w:tc>
        <w:tc>
          <w:tcPr>
            <w:tcW w:type="dxa" w:w="2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0.0</w:t>
            </w:r>
          </w:p>
        </w:tc>
      </w:tr>
    </w:tbl>
    <w:p>
      <w:pPr>
        <w:spacing w:after="200" w:line="280"/>
      </w:pPr>
      <w:r>
        <w:rPr>
          <w:rFonts w:ascii="Arial" w:cs="Arial" w:eastAsia="Arial" w:hAnsi="Arial"/>
          <w:i/>
          <w:iCs/>
          <w:sz w:val="20"/>
          <w:szCs w:val="20"/>
        </w:rPr>
        <w:t xml:space="preserve">Table 3: Resolution scaling. Substrate improves monotonically with resolution while Newton is resolution-independent. Massive galaxy RMS dropped 29 km/s, confirming grid artifacts as the primary source of massive galaxy failures.</w:t>
      </w:r>
    </w:p>
    <w:p>
      <w:pPr>
        <w:pStyle w:val="Heading2"/>
      </w:pPr>
      <w:r>
        <w:rPr>
          <w:b/>
          <w:bCs/>
        </w:rPr>
        <w:t xml:space="preserve">4.4 Poisson Recovery: λ = 0.01 Across 175 Galaxies</w:t>
      </w:r>
    </w:p>
    <w:p>
      <w:pPr>
        <w:spacing w:after="200" w:line="300"/>
      </w:pPr>
      <w:r>
        <w:rPr>
          <w:rFonts w:ascii="Arial" w:cs="Arial" w:eastAsia="Arial" w:hAnsi="Arial"/>
          <w:sz w:val="22"/>
          <w:szCs w:val="22"/>
        </w:rPr>
        <w:t xml:space="preserve">To validate the bridge between substrate dynamics and Newtonian gravity, all 175 galaxies were run at λ = 0.01 (near-zero maintenance cost). Table 4 shows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Metric</w:t>
            </w:r>
          </w:p>
        </w:tc>
        <w:tc>
          <w:tcPr>
            <w:tcW w:type="dxa" w:w="288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λ = 0.1</w:t>
            </w:r>
          </w:p>
        </w:tc>
        <w:tc>
          <w:tcPr>
            <w:tcW w:type="dxa" w:w="2880"/>
            <w:tcBorders>
              <w:top w:val="single" w:color="999999" w:sz="1"/>
              <w:left w:val="single" w:color="999999" w:sz="1"/>
              <w:bottom w:val="single" w:color="999999" w:sz="1"/>
              <w:right w:val="single" w:color="999999" w:sz="1"/>
            </w:tcBorders>
            <w:shd w:fill="1a2540"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λ = 0.01</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Mean inner correlation</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+0.7605</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+0.9825</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Galaxies &gt; +0.90</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120 / 175 (69%)</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172 / 175 (98%)</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Galaxies &gt; +0.95</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88 / 175 (50%)</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161 / 175 (92%)</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Negative correlations</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19</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0</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nsolas" w:cs="Consolas" w:eastAsia="Consolas" w:hAnsi="Consolas"/>
                <w:b w:val="false"/>
                <w:bCs w:val="false"/>
                <w:color w:val="000000"/>
                <w:sz w:val="18"/>
                <w:szCs w:val="18"/>
              </w:rPr>
              <w:t xml:space="preserve">Dwarf avg (V&lt;50)</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+0.2115</w:t>
            </w:r>
          </w:p>
        </w:tc>
        <w:tc>
          <w:tcPr>
            <w:tcW w:type="dxa" w:w="28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Consolas" w:cs="Consolas" w:eastAsia="Consolas" w:hAnsi="Consolas"/>
                <w:b w:val="false"/>
                <w:bCs w:val="false"/>
                <w:color w:val="000000"/>
                <w:sz w:val="18"/>
                <w:szCs w:val="18"/>
              </w:rPr>
              <w:t xml:space="preserve">+0.9640</w:t>
            </w:r>
          </w:p>
        </w:tc>
      </w:tr>
    </w:tbl>
    <w:p>
      <w:pPr>
        <w:spacing w:after="200" w:line="280"/>
      </w:pPr>
      <w:r>
        <w:rPr>
          <w:rFonts w:ascii="Arial" w:cs="Arial" w:eastAsia="Arial" w:hAnsi="Arial"/>
          <w:i/>
          <w:iCs/>
          <w:sz w:val="20"/>
          <w:szCs w:val="20"/>
        </w:rPr>
        <w:t xml:space="preserve">Table 4: Poisson recovery. At λ = 0.01, the substrate recovers Newtonian gravity with +0.9825 mean correlation and zero failures across all 175 galaxies including dwarfs.</w:t>
      </w:r>
    </w:p>
    <w:p>
      <w:pPr>
        <w:pStyle w:val="Heading2"/>
      </w:pPr>
      <w:r>
        <w:rPr>
          <w:b/>
          <w:bCs/>
        </w:rPr>
        <w:t xml:space="preserve">4.5 Benchmark: NGC2403</w:t>
      </w:r>
    </w:p>
    <w:p>
      <w:pPr>
        <w:spacing w:after="200" w:line="300"/>
      </w:pPr>
      <w:r>
        <w:rPr>
          <w:rFonts w:ascii="Arial" w:cs="Arial" w:eastAsia="Arial" w:hAnsi="Arial"/>
          <w:sz w:val="22"/>
          <w:szCs w:val="22"/>
        </w:rPr>
        <w:t xml:space="preserve">NGC2403 is a well-studied intermediate-mass spiral (V_max = 134 km/s, 73 data points). Using baryonic-only input at λ = 0.1:</w:t>
      </w:r>
    </w:p>
    <w:p>
      <w:pPr>
        <w:spacing w:after="160" w:line="300"/>
      </w:pPr>
      <w:r>
        <w:rPr>
          <w:rFonts w:ascii="Arial" w:cs="Arial" w:eastAsia="Arial" w:hAnsi="Arial"/>
          <w:b/>
          <w:bCs/>
          <w:sz w:val="22"/>
          <w:szCs w:val="22"/>
        </w:rPr>
        <w:t xml:space="preserve">Newton: </w:t>
      </w:r>
      <w:r>
        <w:rPr>
          <w:rFonts w:ascii="Arial" w:cs="Arial" w:eastAsia="Arial" w:hAnsi="Arial"/>
          <w:sz w:val="22"/>
          <w:szCs w:val="22"/>
        </w:rPr>
        <w:t xml:space="preserve">RMS 37.90 km/s, shape correlation +0.175</w:t>
      </w:r>
    </w:p>
    <w:p>
      <w:pPr>
        <w:spacing w:after="160" w:line="300"/>
      </w:pPr>
      <w:r>
        <w:rPr>
          <w:rFonts w:ascii="Arial" w:cs="Arial" w:eastAsia="Arial" w:hAnsi="Arial"/>
          <w:b/>
          <w:bCs/>
          <w:sz w:val="22"/>
          <w:szCs w:val="22"/>
        </w:rPr>
        <w:t xml:space="preserve">MOND: </w:t>
      </w:r>
      <w:r>
        <w:rPr>
          <w:rFonts w:ascii="Arial" w:cs="Arial" w:eastAsia="Arial" w:hAnsi="Arial"/>
          <w:sz w:val="22"/>
          <w:szCs w:val="22"/>
        </w:rPr>
        <w:t xml:space="preserve">RMS 68.54 km/s, shape correlation +0.914</w:t>
      </w:r>
    </w:p>
    <w:p>
      <w:pPr>
        <w:spacing w:after="160" w:line="300"/>
      </w:pPr>
      <w:r>
        <w:rPr>
          <w:rFonts w:ascii="Arial" w:cs="Arial" w:eastAsia="Arial" w:hAnsi="Arial"/>
          <w:b/>
          <w:bCs/>
          <w:sz w:val="22"/>
          <w:szCs w:val="22"/>
        </w:rPr>
        <w:t xml:space="preserve">Substrate: </w:t>
      </w:r>
      <w:r>
        <w:rPr>
          <w:rFonts w:ascii="Arial" w:cs="Arial" w:eastAsia="Arial" w:hAnsi="Arial"/>
          <w:sz w:val="22"/>
          <w:szCs w:val="22"/>
        </w:rPr>
        <w:t xml:space="preserve">RMS 29.61 km/s, shape correlation +0.928</w:t>
      </w:r>
    </w:p>
    <w:p>
      <w:pPr>
        <w:spacing w:after="160" w:line="300"/>
      </w:pPr>
      <w:r>
        <w:rPr>
          <w:rFonts w:ascii="Arial" w:cs="Arial" w:eastAsia="Arial" w:hAnsi="Arial"/>
          <w:b/>
          <w:bCs/>
          <w:sz w:val="22"/>
          <w:szCs w:val="22"/>
        </w:rPr>
        <w:t xml:space="preserve">Winner: </w:t>
      </w:r>
      <w:r>
        <w:rPr>
          <w:rFonts w:ascii="Arial" w:cs="Arial" w:eastAsia="Arial" w:hAnsi="Arial"/>
          <w:sz w:val="22"/>
          <w:szCs w:val="22"/>
        </w:rPr>
        <w:t xml:space="preserve">SUBSTRATE — beats Newton by 8.28 km/s, beats MOND by 38.93 km/s</w:t>
      </w:r>
    </w:p>
    <w:p>
      <w:pPr>
        <w:spacing w:after="200" w:line="300"/>
      </w:pPr>
      <w:r>
        <w:rPr>
          <w:rFonts w:ascii="Arial" w:cs="Arial" w:eastAsia="Arial" w:hAnsi="Arial"/>
          <w:sz w:val="22"/>
          <w:szCs w:val="22"/>
        </w:rPr>
        <w:t xml:space="preserve">The substrate model captures the rotation curve shape at +0.928 where Newton achieves +0.175. The improvement is concentrated at large radii where the dark matter discrepancy is most pronounced. The substrate model wins both full-range and outer-radii comparisons.</w:t>
      </w:r>
    </w:p>
    <w:p>
      <w:r>
        <w:br/>
        <w:t xml:space="preserve"/>
      </w:r>
    </w:p>
    <w:p>
      <w:pPr>
        <w:pStyle w:val="Heading1"/>
      </w:pPr>
      <w:r>
        <w:rPr>
          <w:b/>
          <w:bCs/>
        </w:rPr>
        <w:t xml:space="preserve">5. Discussion</w:t>
      </w:r>
    </w:p>
    <w:p>
      <w:pPr>
        <w:pStyle w:val="Heading2"/>
      </w:pPr>
      <w:r>
        <w:rPr>
          <w:b/>
          <w:bCs/>
        </w:rPr>
        <w:t xml:space="preserve">5.1 Interpretation</w:t>
      </w:r>
    </w:p>
    <w:p>
      <w:pPr>
        <w:spacing w:after="200" w:line="300"/>
      </w:pPr>
      <w:r>
        <w:rPr>
          <w:rFonts w:ascii="Arial" w:cs="Arial" w:eastAsia="Arial" w:hAnsi="Arial"/>
          <w:sz w:val="22"/>
          <w:szCs w:val="22"/>
        </w:rPr>
        <w:t xml:space="preserve">The three-way comparison demonstrates that a damped wave on entangled 2D substrates, with two fixed global parameters and baryonic-only input, achieves competitive performance against Newtonian gravity across 175 galaxies while substantially outperforming both at outer radii (65% win rate). The model does not invoke dark matter, does not perform per-galaxy fitting, and uses a physical framework with a clear interpretation: gravity is the cumulative memory of substrate agitation, and spatial extent has a maintenance cost.</w:t>
      </w:r>
    </w:p>
    <w:p>
      <w:pPr>
        <w:spacing w:after="200" w:line="300"/>
      </w:pPr>
      <w:r>
        <w:rPr>
          <w:rFonts w:ascii="Arial" w:cs="Arial" w:eastAsia="Arial" w:hAnsi="Arial"/>
          <w:sz w:val="22"/>
          <w:szCs w:val="22"/>
        </w:rPr>
        <w:t xml:space="preserve">The model’s strength lies in the 50–150 km/s range where it dominates Newton (60 wins vs 25). At massive galaxies (V &gt; 200), Newton retains an advantage, though resolution scaling demonstrates this gap narrows with increased grid resolution (substrate RMS 94 → 65 km/s from grid 64 to 128).</w:t>
      </w:r>
    </w:p>
    <w:p>
      <w:pPr>
        <w:pStyle w:val="Heading2"/>
      </w:pPr>
      <w:r>
        <w:rPr>
          <w:b/>
          <w:bCs/>
        </w:rPr>
        <w:t xml:space="preserve">5.2 The λ–Λ Correspondence</w:t>
      </w:r>
    </w:p>
    <w:p>
      <w:pPr>
        <w:spacing w:after="200" w:line="300"/>
      </w:pPr>
      <w:r>
        <w:rPr>
          <w:rFonts w:ascii="Arial" w:cs="Arial" w:eastAsia="Arial" w:hAnsi="Arial"/>
          <w:sz w:val="22"/>
          <w:szCs w:val="22"/>
        </w:rPr>
        <w:t xml:space="preserve">The decay parameter λ governs the rate at which substrate agitation decays without continuous energy input. At λ = 0, gravity is infinite-range (pure Poisson). At λ &gt; 0, gravity screens at characteristic length 1/μ. This is structurally identical to the role of the cosmological constant Λ in Einstein’s field equations: both describe the energy cost of maintaining spatial structure. The quantitative mapping between the dimensionless solver parameter and the measured Λ (≈ 1.1 × 10⁻⁵² m⁻²) requires dimensional analysis beyond the scope of this report, but the structural correspondence is noted as a direction for future theoretical work.</w:t>
      </w:r>
    </w:p>
    <w:p>
      <w:pPr>
        <w:pStyle w:val="Heading2"/>
      </w:pPr>
      <w:r>
        <w:rPr>
          <w:b/>
          <w:bCs/>
        </w:rPr>
        <w:t xml:space="preserve">5.3 Comparison with MOND</w:t>
      </w:r>
    </w:p>
    <w:p>
      <w:pPr>
        <w:spacing w:after="200" w:line="300"/>
      </w:pPr>
      <w:r>
        <w:rPr>
          <w:rFonts w:ascii="Arial" w:cs="Arial" w:eastAsia="Arial" w:hAnsi="Arial"/>
          <w:sz w:val="22"/>
          <w:szCs w:val="22"/>
        </w:rPr>
        <w:t xml:space="preserve">MOND achieves only 13 overall wins (7%) and average RMS of 76.0 km/s. This underperformance relative to MOND’s published track record is likely attributable to the absence of mass-to-light ratio optimization (Υ*) in our implementation. Standard MOND analyses fit Υ* per galaxy or use Υ* ≈ 0.5 M⊙/L⊙ at 3.6 μm. Our implementation applies the raw SPARC velocity components without this scaling, which may systematically overestimate MOND velocities.</w:t>
      </w:r>
    </w:p>
    <w:p>
      <w:pPr>
        <w:spacing w:after="200" w:line="300"/>
      </w:pPr>
      <w:r>
        <w:rPr>
          <w:rFonts w:ascii="Arial" w:cs="Arial" w:eastAsia="Arial" w:hAnsi="Arial"/>
          <w:sz w:val="22"/>
          <w:szCs w:val="22"/>
        </w:rPr>
        <w:t xml:space="preserve">This caveat applies equally to all three models in our comparison: none uses optimized Υ*. The substrate model’s amplitude normalization partially compensates for this, while Newton and MOND do not have this normalization. A fair comparison with optimized MOND is required before definitive claims about relative performance can be made.</w:t>
      </w:r>
    </w:p>
    <w:p>
      <w:pPr>
        <w:spacing w:after="200" w:line="300"/>
      </w:pPr>
      <w:r>
        <w:rPr>
          <w:rFonts w:ascii="Arial" w:cs="Arial" w:eastAsia="Arial" w:hAnsi="Arial"/>
          <w:sz w:val="22"/>
          <w:szCs w:val="22"/>
        </w:rPr>
        <w:t xml:space="preserve">Despite this caveat, the substrate model beats MOND in 151 of 175 head-to-head comparisons (86%). Even accounting for Υ* handicapping, this margin suggests the substrate model is at minimum competitive with MOND.</w:t>
      </w:r>
    </w:p>
    <w:p>
      <w:pPr>
        <w:pStyle w:val="Heading2"/>
      </w:pPr>
      <w:r>
        <w:rPr>
          <w:b/>
          <w:bCs/>
        </w:rPr>
        <w:t xml:space="preserve">5.4 Limitations</w:t>
      </w:r>
    </w:p>
    <w:p>
      <w:pPr>
        <w:spacing w:after="200" w:line="300"/>
      </w:pPr>
      <w:r>
        <w:rPr>
          <w:rFonts w:ascii="Arial" w:cs="Arial" w:eastAsia="Arial" w:hAnsi="Arial"/>
          <w:sz w:val="22"/>
          <w:szCs w:val="22"/>
        </w:rPr>
        <w:t xml:space="preserve">1. The substrate velocity is amplitude-normalized to observed peak velocity. The model demonstrates shape agreement but does not independently predict absolute velocity scales.</w:t>
      </w:r>
    </w:p>
    <w:p>
      <w:pPr>
        <w:spacing w:after="200" w:line="300"/>
      </w:pPr>
      <w:r>
        <w:rPr>
          <w:rFonts w:ascii="Arial" w:cs="Arial" w:eastAsia="Arial" w:hAnsi="Arial"/>
          <w:sz w:val="22"/>
          <w:szCs w:val="22"/>
        </w:rPr>
        <w:t xml:space="preserve">2. The solver operates on a 2D grid with azimuthal symmetry. Real galaxies have three-dimensional structure, warps, and asymmetries not captured by the current model.</w:t>
      </w:r>
    </w:p>
    <w:p>
      <w:pPr>
        <w:spacing w:after="200" w:line="300"/>
      </w:pPr>
      <w:r>
        <w:rPr>
          <w:rFonts w:ascii="Arial" w:cs="Arial" w:eastAsia="Arial" w:hAnsi="Arial"/>
          <w:sz w:val="22"/>
          <w:szCs w:val="22"/>
        </w:rPr>
        <w:t xml:space="preserve">3. The MOND comparison lacks Υ* optimization, potentially handicapping MOND’s performance. A dedicated comparison with optimized MOND parameters is needed.</w:t>
      </w:r>
    </w:p>
    <w:p>
      <w:pPr>
        <w:spacing w:after="200" w:line="300"/>
      </w:pPr>
      <w:r>
        <w:rPr>
          <w:rFonts w:ascii="Arial" w:cs="Arial" w:eastAsia="Arial" w:hAnsi="Arial"/>
          <w:sz w:val="22"/>
          <w:szCs w:val="22"/>
        </w:rPr>
        <w:t xml:space="preserve">4. While λ is held fixed across all galaxies, its value (0.1) was determined empirically. A derivation from first principles would strengthen the theoretical foundation.</w:t>
      </w:r>
    </w:p>
    <w:p>
      <w:pPr>
        <w:spacing w:after="200" w:line="300"/>
      </w:pPr>
      <w:r>
        <w:rPr>
          <w:rFonts w:ascii="Arial" w:cs="Arial" w:eastAsia="Arial" w:hAnsi="Arial"/>
          <w:sz w:val="22"/>
          <w:szCs w:val="22"/>
        </w:rPr>
        <w:t xml:space="preserve">5. Grid resolution affects massive galaxy results. Higher resolution runs (256, 512) may further improve performance but have not been completed.</w:t>
      </w:r>
    </w:p>
    <w:p>
      <w:r>
        <w:br/>
        <w:t xml:space="preserve"/>
      </w:r>
    </w:p>
    <w:p>
      <w:pPr>
        <w:pStyle w:val="Heading1"/>
      </w:pPr>
      <w:r>
        <w:rPr>
          <w:b/>
          <w:bCs/>
        </w:rPr>
        <w:t xml:space="preserve">6. Conclusions</w:t>
      </w:r>
    </w:p>
    <w:p>
      <w:pPr>
        <w:spacing w:after="200" w:line="300"/>
      </w:pPr>
      <w:r>
        <w:rPr>
          <w:rFonts w:ascii="Arial" w:cs="Arial" w:eastAsia="Arial" w:hAnsi="Arial"/>
          <w:sz w:val="22"/>
          <w:szCs w:val="22"/>
        </w:rPr>
        <w:t xml:space="preserve">A multi-layer damped wave substrate model, using baryonic mass distributions as sole input and two fixed global parameters, achieves:</w:t>
      </w:r>
    </w:p>
    <w:p>
      <w:pPr>
        <w:spacing w:after="160" w:line="300"/>
      </w:pPr>
      <w:r>
        <w:rPr>
          <w:rFonts w:ascii="Arial" w:cs="Arial" w:eastAsia="Arial" w:hAnsi="Arial"/>
          <w:b/>
          <w:bCs/>
          <w:sz w:val="22"/>
          <w:szCs w:val="22"/>
        </w:rPr>
        <w:t xml:space="preserve"/>
      </w:r>
      <w:r>
        <w:rPr>
          <w:rFonts w:ascii="Arial" w:cs="Arial" w:eastAsia="Arial" w:hAnsi="Arial"/>
          <w:sz w:val="22"/>
          <w:szCs w:val="22"/>
        </w:rPr>
        <w:t xml:space="preserve">86 of 175 overall wins (49%) against Newtonian gravity, with average RMS of 33.6 vs 33.7 km/s.</w:t>
      </w:r>
    </w:p>
    <w:p>
      <w:pPr>
        <w:spacing w:after="160" w:line="300"/>
      </w:pPr>
      <w:r>
        <w:rPr>
          <w:rFonts w:ascii="Arial" w:cs="Arial" w:eastAsia="Arial" w:hAnsi="Arial"/>
          <w:b/>
          <w:bCs/>
          <w:sz w:val="22"/>
          <w:szCs w:val="22"/>
        </w:rPr>
        <w:t xml:space="preserve"/>
      </w:r>
      <w:r>
        <w:rPr>
          <w:rFonts w:ascii="Arial" w:cs="Arial" w:eastAsia="Arial" w:hAnsi="Arial"/>
          <w:sz w:val="22"/>
          <w:szCs w:val="22"/>
        </w:rPr>
        <w:t xml:space="preserve">113 of 175 outer-radii wins (65%), dominating in the region where dark matter effects are strongest.</w:t>
      </w:r>
    </w:p>
    <w:p>
      <w:pPr>
        <w:spacing w:after="160" w:line="300"/>
      </w:pPr>
      <w:r>
        <w:rPr>
          <w:rFonts w:ascii="Arial" w:cs="Arial" w:eastAsia="Arial" w:hAnsi="Arial"/>
          <w:b/>
          <w:bCs/>
          <w:sz w:val="22"/>
          <w:szCs w:val="22"/>
        </w:rPr>
        <w:t xml:space="preserve"/>
      </w:r>
      <w:r>
        <w:rPr>
          <w:rFonts w:ascii="Arial" w:cs="Arial" w:eastAsia="Arial" w:hAnsi="Arial"/>
          <w:sz w:val="22"/>
          <w:szCs w:val="22"/>
        </w:rPr>
        <w:t xml:space="preserve">151 of 175 head-to-head wins against MOND (86%).</w:t>
      </w:r>
    </w:p>
    <w:p>
      <w:pPr>
        <w:spacing w:after="160" w:line="300"/>
      </w:pPr>
      <w:r>
        <w:rPr>
          <w:rFonts w:ascii="Arial" w:cs="Arial" w:eastAsia="Arial" w:hAnsi="Arial"/>
          <w:b/>
          <w:bCs/>
          <w:sz w:val="22"/>
          <w:szCs w:val="22"/>
        </w:rPr>
        <w:t xml:space="preserve"/>
      </w:r>
      <w:r>
        <w:rPr>
          <w:rFonts w:ascii="Arial" w:cs="Arial" w:eastAsia="Arial" w:hAnsi="Arial"/>
          <w:sz w:val="22"/>
          <w:szCs w:val="22"/>
        </w:rPr>
        <w:t xml:space="preserve">+0.9825 mean Poisson recovery correlation across all 175 galaxies at λ = 0.01.</w:t>
      </w:r>
    </w:p>
    <w:p>
      <w:pPr>
        <w:spacing w:after="160" w:line="300"/>
      </w:pPr>
      <w:r>
        <w:rPr>
          <w:rFonts w:ascii="Arial" w:cs="Arial" w:eastAsia="Arial" w:hAnsi="Arial"/>
          <w:b/>
          <w:bCs/>
          <w:sz w:val="22"/>
          <w:szCs w:val="22"/>
        </w:rPr>
        <w:t xml:space="preserve"/>
      </w:r>
      <w:r>
        <w:rPr>
          <w:rFonts w:ascii="Arial" w:cs="Arial" w:eastAsia="Arial" w:hAnsi="Arial"/>
          <w:sz w:val="22"/>
          <w:szCs w:val="22"/>
        </w:rPr>
        <w:t xml:space="preserve">Monotonic improvement with grid resolution, confirming massive galaxy losses are grid artifacts.</w:t>
      </w:r>
    </w:p>
    <w:p>
      <w:pPr>
        <w:spacing w:after="200" w:line="300"/>
      </w:pPr>
      <w:r>
        <w:rPr>
          <w:rFonts w:ascii="Arial" w:cs="Arial" w:eastAsia="Arial" w:hAnsi="Arial"/>
          <w:sz w:val="22"/>
          <w:szCs w:val="22"/>
        </w:rPr>
        <w:t xml:space="preserve">The model produces these results without invoking dark matter, without per-galaxy tuning, and with a clear physical interpretation: space is not a passive container but an active medium with a maintenance cost. Whether this framework reflects a deep truth about the nature of space or an artifact of damped wave equation mathematics remains an open question requiring further theoretical investigation.</w:t>
      </w:r>
    </w:p>
    <w:p>
      <w:pPr>
        <w:spacing w:after="200" w:line="300"/>
      </w:pPr>
      <w:r>
        <w:rPr>
          <w:rFonts w:ascii="Arial" w:cs="Arial" w:eastAsia="Arial" w:hAnsi="Arial"/>
          <w:sz w:val="22"/>
          <w:szCs w:val="22"/>
        </w:rPr>
        <w:t xml:space="preserve">The central claim of this report is empirical: a substrate wave model is competitive with Newtonian gravity and substantially outperforms it at outer galactic radii across a complete galaxy survey. This result warrants further investigation, including higher-resolution runs, optimized MOND comparison, derivation of the λ–Λ mapping, and identification of falsifiable predictions that distinguish the substrate model from existing alternatives.</w:t>
      </w:r>
    </w:p>
    <w:p>
      <w:r>
        <w:br/>
        <w:t xml:space="preserve"/>
      </w:r>
    </w:p>
    <w:p>
      <w:pPr>
        <w:pStyle w:val="Heading1"/>
      </w:pPr>
      <w:r>
        <w:rPr>
          <w:b/>
          <w:bCs/>
        </w:rPr>
        <w:t xml:space="preserve">7. References</w:t>
      </w:r>
    </w:p>
    <w:p>
      <w:pPr>
        <w:spacing w:after="200" w:line="300"/>
      </w:pPr>
      <w:r>
        <w:rPr>
          <w:rFonts w:ascii="Arial" w:cs="Arial" w:eastAsia="Arial" w:hAnsi="Arial"/>
          <w:sz w:val="22"/>
          <w:szCs w:val="22"/>
        </w:rPr>
        <w:t xml:space="preserve">Lelli, F., McGaugh, S. S., and Schombert, J. M. (2016). SPARC: Mass Models for 175 Disk Galaxies with Spitzer Photometry and Accurate Rotation Curves. AJ 152(6), 157.</w:t>
      </w:r>
    </w:p>
    <w:p>
      <w:pPr>
        <w:spacing w:after="200" w:line="300"/>
      </w:pPr>
      <w:r>
        <w:rPr>
          <w:rFonts w:ascii="Arial" w:cs="Arial" w:eastAsia="Arial" w:hAnsi="Arial"/>
          <w:sz w:val="22"/>
          <w:szCs w:val="22"/>
        </w:rPr>
        <w:t xml:space="preserve">McGaugh, S. S., Lelli, F., and Schombert, J. M. (2016). Radial Acceleration Relation in Rotationally Supported Galaxies. PRL 117(20), 201101.</w:t>
      </w:r>
    </w:p>
    <w:p>
      <w:pPr>
        <w:spacing w:after="200" w:line="300"/>
      </w:pPr>
      <w:r>
        <w:rPr>
          <w:rFonts w:ascii="Arial" w:cs="Arial" w:eastAsia="Arial" w:hAnsi="Arial"/>
          <w:sz w:val="22"/>
          <w:szCs w:val="22"/>
        </w:rPr>
        <w:t xml:space="preserve">Milgrom, M. (1983). A modification of the Newtonian dynamics as a possible alternative to the hidden mass hypothesis. ApJ 270, 365-370.</w:t>
      </w:r>
    </w:p>
    <w:p>
      <w:pPr>
        <w:spacing w:after="200" w:line="300"/>
      </w:pPr>
      <w:r>
        <w:rPr>
          <w:rFonts w:ascii="Arial" w:cs="Arial" w:eastAsia="Arial" w:hAnsi="Arial"/>
          <w:sz w:val="22"/>
          <w:szCs w:val="22"/>
        </w:rPr>
        <w:t xml:space="preserve">Rubin, V. C. and Ford, W. K. (1970). Rotation of the Andromeda Nebula from a Spectroscopic Survey of Emission Regions. ApJ 159, 379.</w:t>
      </w:r>
    </w:p>
    <w:p>
      <w:pPr>
        <w:spacing w:after="200" w:line="300"/>
      </w:pPr>
      <w:r>
        <w:rPr>
          <w:rFonts w:ascii="Arial" w:cs="Arial" w:eastAsia="Arial" w:hAnsi="Arial"/>
          <w:sz w:val="22"/>
          <w:szCs w:val="22"/>
        </w:rPr>
        <w:t xml:space="preserve">Li, P., Lelli, F., McGaugh, S. S., and Schombert, J. M. (2018). Fitting the Radial Acceleration Relation to Individual SPARC Galaxies. A&amp;A 615, A3.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 2026 Burdick / Emerald Entities LLC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PRELIMINARY — PATENT PENDING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2540"/>
      <w:sz w:val="30"/>
      <w:szCs w:val="30"/>
    </w:rPr>
  </w:style>
  <w:style w:type="paragraph" w:styleId="Heading2">
    <w:name w:val="Heading 2"/>
    <w:basedOn w:val="Normal"/>
    <w:next w:val="Normal"/>
    <w:qFormat/>
    <w:pPr>
      <w:spacing w:before="280" w:after="200"/>
      <w:outlineLvl w:val="1"/>
    </w:pPr>
    <w:rPr>
      <w:rFonts w:ascii="Arial" w:cs="Arial" w:eastAsia="Arial" w:hAnsi="Arial"/>
      <w:b/>
      <w:bCs/>
      <w:color w:val="2a3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2026-03-25T16:31:30.022Z</dcterms:created>
  <dcterms:modified xsi:type="dcterms:W3CDTF">2026-03-25T16:31:30.022Z</dcterms:modified>
</cp:coreProperties>
</file>

<file path=docProps/custom.xml><?xml version="1.0" encoding="utf-8"?>
<Properties xmlns="http://schemas.openxmlformats.org/officeDocument/2006/custom-properties" xmlns:vt="http://schemas.openxmlformats.org/officeDocument/2006/docPropsVTypes"/>
</file>