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A0" w:rsidRDefault="00DC4EA0" w:rsidP="00DC4EA0">
      <w:pPr>
        <w:rPr>
          <w:rFonts w:ascii="Arial" w:hAnsi="Arial" w:cs="Arial"/>
        </w:rPr>
      </w:pPr>
      <w:r>
        <w:rPr>
          <w:rFonts w:ascii="Arial" w:hAnsi="Arial" w:cs="Arial"/>
        </w:rPr>
        <w:t>Table 1. Activities and topics covered in Katz-ADL, La</w:t>
      </w:r>
      <w:bookmarkStart w:id="0" w:name="_GoBack"/>
      <w:bookmarkEnd w:id="0"/>
      <w:r>
        <w:rPr>
          <w:rFonts w:ascii="Arial" w:hAnsi="Arial" w:cs="Arial"/>
        </w:rPr>
        <w:t xml:space="preserve">wton-IADL, and </w:t>
      </w:r>
      <w:r w:rsidRPr="00871A7B">
        <w:rPr>
          <w:rFonts w:ascii="Arial" w:hAnsi="Arial" w:cs="Arial"/>
        </w:rPr>
        <w:t>alz.org</w:t>
      </w:r>
      <w:r w:rsidR="00FD754F">
        <w:rPr>
          <w:rFonts w:ascii="Arial" w:hAnsi="Arial" w:cs="Arial"/>
        </w:rPr>
        <w:t xml:space="preserve"> (</w:t>
      </w:r>
      <w:hyperlink r:id="rId5" w:history="1">
        <w:r w:rsidR="00FD754F" w:rsidRPr="00BC0513">
          <w:rPr>
            <w:rStyle w:val="Hyperlink"/>
            <w:rFonts w:ascii="Arial" w:hAnsi="Arial" w:cs="Arial"/>
          </w:rPr>
          <w:t>https://www.alz.org/help-support/caregiving/daily-care</w:t>
        </w:r>
      </w:hyperlink>
      <w:r w:rsidR="00FD754F">
        <w:rPr>
          <w:rFonts w:ascii="Arial" w:hAnsi="Arial" w:cs="Arial"/>
        </w:rPr>
        <w:t>),</w:t>
      </w:r>
      <w:r w:rsidR="00647A45">
        <w:rPr>
          <w:rFonts w:ascii="Arial" w:hAnsi="Arial" w:cs="Arial"/>
        </w:rPr>
        <w:t xml:space="preserve"> </w:t>
      </w:r>
      <w:r w:rsidR="00FD754F">
        <w:rPr>
          <w:rFonts w:ascii="Arial" w:hAnsi="Arial" w:cs="Arial"/>
        </w:rPr>
        <w:t>totaling 22 non-duplicates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6"/>
        <w:gridCol w:w="1158"/>
        <w:gridCol w:w="1488"/>
        <w:gridCol w:w="877"/>
      </w:tblGrid>
      <w:tr w:rsidR="00DC4EA0" w:rsidTr="003B79A0">
        <w:tc>
          <w:tcPr>
            <w:tcW w:w="0" w:type="auto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Activity/Topic</w:t>
            </w:r>
          </w:p>
        </w:tc>
        <w:tc>
          <w:tcPr>
            <w:tcW w:w="0" w:type="auto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Katz-ADL</w:t>
            </w:r>
          </w:p>
        </w:tc>
        <w:tc>
          <w:tcPr>
            <w:tcW w:w="0" w:type="auto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Lawton-IADL</w:t>
            </w:r>
          </w:p>
        </w:tc>
        <w:tc>
          <w:tcPr>
            <w:tcW w:w="0" w:type="auto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alz.org</w:t>
            </w:r>
          </w:p>
        </w:tc>
      </w:tr>
      <w:tr w:rsidR="00DC4EA0" w:rsidTr="003B79A0"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Bathing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Dressing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Toileting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  <w:tr w:rsidR="00DC4EA0" w:rsidTr="003B79A0"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Transferring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  <w:tr w:rsidR="00DC4EA0" w:rsidTr="003B79A0"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  <w:tr w:rsidR="00DC4EA0" w:rsidTr="003B79A0"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use telephone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  <w:tr w:rsidR="00DC4EA0" w:rsidTr="003B79A0"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  <w:tr w:rsidR="00DC4EA0" w:rsidTr="003B79A0"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preparation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  <w:tr w:rsidR="00DC4EA0" w:rsidTr="003B79A0"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Housekeeping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  <w:tr w:rsidR="00DC4EA0" w:rsidTr="003B79A0"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Laundry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  <w:tr w:rsidR="00DC4EA0" w:rsidTr="003B79A0"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 of transportation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  <w:tr w:rsidR="00DC4EA0" w:rsidTr="003B79A0"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Responsibility for own medications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1E67EB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handle finances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  <w:tr w:rsidR="00DC4EA0" w:rsidTr="003B79A0"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care planning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Activities (choosing and administering)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 w:rsidRPr="00B73BDC">
              <w:rPr>
                <w:rFonts w:ascii="Arial" w:hAnsi="Arial" w:cs="Arial"/>
              </w:rPr>
              <w:t>Communication with a person with Alzheimer's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and eating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 and music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Dental care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Treatments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with the doctor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C4EA0" w:rsidTr="003B79A0">
        <w:tc>
          <w:tcPr>
            <w:tcW w:w="0" w:type="auto"/>
            <w:shd w:val="clear" w:color="auto" w:fill="00B0F0"/>
          </w:tcPr>
          <w:p w:rsidR="00DC4EA0" w:rsidRDefault="00DC4EA0" w:rsidP="003B7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others might we find in caregivers’ posts?</w:t>
            </w:r>
          </w:p>
        </w:tc>
        <w:tc>
          <w:tcPr>
            <w:tcW w:w="0" w:type="auto"/>
            <w:shd w:val="clear" w:color="auto" w:fill="00B0F0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00B0F0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00B0F0"/>
          </w:tcPr>
          <w:p w:rsidR="00DC4EA0" w:rsidRDefault="00DC4EA0" w:rsidP="003B79A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9248B" w:rsidRDefault="00C9248B"/>
    <w:p w:rsidR="00DC4EA0" w:rsidRDefault="00DC4EA0">
      <w:r>
        <w:t>NOTES:</w:t>
      </w:r>
    </w:p>
    <w:p w:rsidR="00DC4EA0" w:rsidRDefault="00DC4EA0" w:rsidP="00DC4EA0">
      <w:pPr>
        <w:pStyle w:val="ListParagraph"/>
        <w:numPr>
          <w:ilvl w:val="0"/>
          <w:numId w:val="1"/>
        </w:numPr>
      </w:pPr>
      <w:r>
        <w:t>Make sure to review the Katz-ADL and Lawton-IADL instruments to capture how each is defined;</w:t>
      </w:r>
    </w:p>
    <w:p w:rsidR="00DC4EA0" w:rsidRDefault="00DC4EA0" w:rsidP="00DC4EA0">
      <w:pPr>
        <w:pStyle w:val="ListParagraph"/>
        <w:numPr>
          <w:ilvl w:val="0"/>
          <w:numId w:val="1"/>
        </w:numPr>
      </w:pPr>
      <w:r>
        <w:t>Review the alz.org website’s Daily Care category to capture how each item is defined;</w:t>
      </w:r>
    </w:p>
    <w:p w:rsidR="00503510" w:rsidRDefault="00503510" w:rsidP="00DC4EA0">
      <w:pPr>
        <w:pStyle w:val="ListParagraph"/>
        <w:numPr>
          <w:ilvl w:val="0"/>
          <w:numId w:val="1"/>
        </w:numPr>
      </w:pPr>
      <w:r>
        <w:t>It is important to know exactly how each item is defined in each because some of them may look similar but when look</w:t>
      </w:r>
      <w:r w:rsidR="006861E6">
        <w:t>ing</w:t>
      </w:r>
      <w:r>
        <w:t xml:space="preserve"> at their definitions you’ll know that they are very different;</w:t>
      </w:r>
    </w:p>
    <w:p w:rsidR="006861E6" w:rsidRDefault="001116D1" w:rsidP="00DC4EA0">
      <w:pPr>
        <w:pStyle w:val="ListParagraph"/>
        <w:numPr>
          <w:ilvl w:val="0"/>
          <w:numId w:val="1"/>
        </w:numPr>
      </w:pPr>
      <w:r>
        <w:t>It is useful to</w:t>
      </w:r>
      <w:r w:rsidR="006861E6">
        <w:t xml:space="preserve"> load all </w:t>
      </w:r>
      <w:r w:rsidR="00CE3AAC">
        <w:t xml:space="preserve">of </w:t>
      </w:r>
      <w:r w:rsidR="006861E6">
        <w:t xml:space="preserve">the definitions in the Katz-ADL and Lawton-IADL instruments </w:t>
      </w:r>
      <w:r w:rsidR="00CE3AAC">
        <w:t xml:space="preserve">for the items </w:t>
      </w:r>
      <w:r w:rsidR="006861E6">
        <w:t xml:space="preserve">and the pieces of information under each Daily Care topic on alz.org into the machine </w:t>
      </w:r>
      <w:r w:rsidR="001236B7">
        <w:t>as part of</w:t>
      </w:r>
      <w:r w:rsidR="006861E6">
        <w:t xml:space="preserve"> the algorithms;</w:t>
      </w:r>
    </w:p>
    <w:p w:rsidR="00503510" w:rsidRDefault="00197EBB" w:rsidP="00DC4EA0">
      <w:pPr>
        <w:pStyle w:val="ListParagraph"/>
        <w:numPr>
          <w:ilvl w:val="0"/>
          <w:numId w:val="1"/>
        </w:numPr>
      </w:pPr>
      <w:r>
        <w:t>Granted, these 3 things are designed for different purposes: t</w:t>
      </w:r>
      <w:r w:rsidR="00503510">
        <w:t xml:space="preserve">he Katz-ADL and Lawton-IADL instruments are designed to identify individuals who experience difficulties with these </w:t>
      </w:r>
      <w:r w:rsidR="00A56D00">
        <w:t xml:space="preserve">activities of daily living, while the alz.org website’s information is for caregivers assisting with those individuals; </w:t>
      </w:r>
      <w:r>
        <w:t>still, if someone is experiencing difficulties with some of the activities as identified in the Katz-ADL or Lawton-IADL instruments, wouldn’t it make sense to provide information on such</w:t>
      </w:r>
      <w:r w:rsidR="001E67EB">
        <w:t xml:space="preserve"> to aid the caregiver</w:t>
      </w:r>
      <w:r w:rsidR="00643ECA">
        <w:t>?</w:t>
      </w:r>
    </w:p>
    <w:p w:rsidR="00DC4EA0" w:rsidRDefault="00643ECA" w:rsidP="00DC4EA0">
      <w:pPr>
        <w:pStyle w:val="ListParagraph"/>
        <w:numPr>
          <w:ilvl w:val="0"/>
          <w:numId w:val="1"/>
        </w:numPr>
      </w:pPr>
      <w:r>
        <w:t xml:space="preserve">Use this table as a starting point—not ending point—to code the </w:t>
      </w:r>
      <w:proofErr w:type="spellStart"/>
      <w:r>
        <w:t>Reddit</w:t>
      </w:r>
      <w:proofErr w:type="spellEnd"/>
      <w:r>
        <w:t xml:space="preserve"> posts; many posts will likely not fall into any of these categories, which is expected; our HIW framework is designed to capture a broader range of information wants not captured by professional sources like alz.or</w:t>
      </w:r>
      <w:r w:rsidR="002D5401">
        <w:t>g; after these “broader” wants are identified, I’ll review and code them—and enrich our HIW framework.</w:t>
      </w:r>
    </w:p>
    <w:sectPr w:rsidR="00DC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F20B8"/>
    <w:multiLevelType w:val="hybridMultilevel"/>
    <w:tmpl w:val="F10AC7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58"/>
    <w:rsid w:val="001116D1"/>
    <w:rsid w:val="001236B7"/>
    <w:rsid w:val="00197EBB"/>
    <w:rsid w:val="001E67EB"/>
    <w:rsid w:val="002D5401"/>
    <w:rsid w:val="00503510"/>
    <w:rsid w:val="00643ECA"/>
    <w:rsid w:val="00647A45"/>
    <w:rsid w:val="006861E6"/>
    <w:rsid w:val="007646E7"/>
    <w:rsid w:val="007A74D3"/>
    <w:rsid w:val="00A56D00"/>
    <w:rsid w:val="00B73AD7"/>
    <w:rsid w:val="00C9248B"/>
    <w:rsid w:val="00CE3AAC"/>
    <w:rsid w:val="00D06358"/>
    <w:rsid w:val="00DC4EA0"/>
    <w:rsid w:val="00F50D28"/>
    <w:rsid w:val="00FD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8373"/>
  <w15:chartTrackingRefBased/>
  <w15:docId w15:val="{0D821CCA-50F7-4807-960E-D1D0D76A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z.org/help-support/caregiving/daily-c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Bo</dc:creator>
  <cp:keywords/>
  <dc:description/>
  <cp:lastModifiedBy>Xie, Bo</cp:lastModifiedBy>
  <cp:revision>12</cp:revision>
  <dcterms:created xsi:type="dcterms:W3CDTF">2022-06-27T16:39:00Z</dcterms:created>
  <dcterms:modified xsi:type="dcterms:W3CDTF">2022-06-27T17:27:00Z</dcterms:modified>
</cp:coreProperties>
</file>