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Look w:val="04A0" w:firstRow="1" w:lastRow="0" w:firstColumn="1" w:lastColumn="0" w:noHBand="0" w:noVBand="1"/>
      </w:tblPr>
      <w:tblGrid>
        <w:gridCol w:w="451"/>
        <w:gridCol w:w="392"/>
        <w:gridCol w:w="548"/>
        <w:gridCol w:w="548"/>
        <w:gridCol w:w="767"/>
        <w:gridCol w:w="2313"/>
        <w:gridCol w:w="1754"/>
        <w:gridCol w:w="1078"/>
        <w:gridCol w:w="1175"/>
      </w:tblGrid>
      <w:tr w:rsidR="00F50467" w:rsidRPr="00F50467" w14:paraId="5257D9FA" w14:textId="77777777" w:rsidTr="00F50467">
        <w:trPr>
          <w:trHeight w:val="380"/>
        </w:trPr>
        <w:tc>
          <w:tcPr>
            <w:tcW w:w="456" w:type="dxa"/>
            <w:tcBorders>
              <w:top w:val="nil"/>
              <w:left w:val="nil"/>
              <w:bottom w:val="nil"/>
              <w:right w:val="nil"/>
            </w:tcBorders>
            <w:shd w:val="clear" w:color="auto" w:fill="auto"/>
            <w:noWrap/>
            <w:vAlign w:val="bottom"/>
            <w:hideMark/>
          </w:tcPr>
          <w:p w14:paraId="0A4B16D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hint="eastAsia"/>
                <w:color w:val="0F1115"/>
                <w:sz w:val="18"/>
                <w:szCs w:val="18"/>
              </w:rPr>
              <w:t>角</w:t>
            </w:r>
            <w:r w:rsidRPr="00F50467">
              <w:rPr>
                <w:rFonts w:ascii="PingFang TC" w:eastAsia="PingFang TC" w:hAnsi="PingFang TC" w:cs="PingFang TC"/>
                <w:color w:val="0F1115"/>
                <w:sz w:val="18"/>
                <w:szCs w:val="18"/>
              </w:rPr>
              <w:t>色</w:t>
            </w:r>
          </w:p>
        </w:tc>
        <w:tc>
          <w:tcPr>
            <w:tcW w:w="241" w:type="dxa"/>
            <w:tcBorders>
              <w:top w:val="nil"/>
              <w:left w:val="nil"/>
              <w:bottom w:val="nil"/>
              <w:right w:val="nil"/>
            </w:tcBorders>
            <w:shd w:val="clear" w:color="auto" w:fill="auto"/>
            <w:noWrap/>
            <w:vAlign w:val="bottom"/>
            <w:hideMark/>
          </w:tcPr>
          <w:p w14:paraId="7DB80B5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动物形象</w:t>
            </w:r>
          </w:p>
        </w:tc>
        <w:tc>
          <w:tcPr>
            <w:tcW w:w="555" w:type="dxa"/>
            <w:tcBorders>
              <w:top w:val="nil"/>
              <w:left w:val="nil"/>
              <w:bottom w:val="nil"/>
              <w:right w:val="nil"/>
            </w:tcBorders>
            <w:shd w:val="clear" w:color="auto" w:fill="auto"/>
            <w:noWrap/>
            <w:vAlign w:val="bottom"/>
            <w:hideMark/>
          </w:tcPr>
          <w:p w14:paraId="1899307A"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形象概念</w:t>
            </w:r>
          </w:p>
        </w:tc>
        <w:tc>
          <w:tcPr>
            <w:tcW w:w="555" w:type="dxa"/>
            <w:tcBorders>
              <w:top w:val="nil"/>
              <w:left w:val="nil"/>
              <w:bottom w:val="nil"/>
              <w:right w:val="nil"/>
            </w:tcBorders>
            <w:shd w:val="clear" w:color="auto" w:fill="auto"/>
            <w:noWrap/>
            <w:vAlign w:val="bottom"/>
            <w:hideMark/>
          </w:tcPr>
          <w:p w14:paraId="47E580A0"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鲜活昵称</w:t>
            </w:r>
          </w:p>
        </w:tc>
        <w:tc>
          <w:tcPr>
            <w:tcW w:w="779" w:type="dxa"/>
            <w:tcBorders>
              <w:top w:val="nil"/>
              <w:left w:val="nil"/>
              <w:bottom w:val="nil"/>
              <w:right w:val="nil"/>
            </w:tcBorders>
            <w:shd w:val="clear" w:color="auto" w:fill="auto"/>
            <w:noWrap/>
            <w:vAlign w:val="bottom"/>
            <w:hideMark/>
          </w:tcPr>
          <w:p w14:paraId="4A845ED4"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一句定位</w:t>
            </w:r>
          </w:p>
        </w:tc>
        <w:tc>
          <w:tcPr>
            <w:tcW w:w="2359" w:type="dxa"/>
            <w:tcBorders>
              <w:top w:val="nil"/>
              <w:left w:val="nil"/>
              <w:bottom w:val="nil"/>
              <w:right w:val="nil"/>
            </w:tcBorders>
            <w:shd w:val="clear" w:color="auto" w:fill="auto"/>
            <w:noWrap/>
            <w:vAlign w:val="bottom"/>
            <w:hideMark/>
          </w:tcPr>
          <w:p w14:paraId="5336C9A6"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角色史诗描述</w:t>
            </w:r>
          </w:p>
        </w:tc>
        <w:tc>
          <w:tcPr>
            <w:tcW w:w="1788" w:type="dxa"/>
            <w:tcBorders>
              <w:top w:val="nil"/>
              <w:left w:val="nil"/>
              <w:bottom w:val="nil"/>
              <w:right w:val="nil"/>
            </w:tcBorders>
            <w:shd w:val="clear" w:color="auto" w:fill="auto"/>
            <w:noWrap/>
            <w:vAlign w:val="bottom"/>
            <w:hideMark/>
          </w:tcPr>
          <w:p w14:paraId="77E2CEF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独特风格描述</w:t>
            </w:r>
          </w:p>
        </w:tc>
        <w:tc>
          <w:tcPr>
            <w:tcW w:w="1097" w:type="dxa"/>
            <w:tcBorders>
              <w:top w:val="nil"/>
              <w:left w:val="nil"/>
              <w:bottom w:val="nil"/>
              <w:right w:val="nil"/>
            </w:tcBorders>
            <w:shd w:val="clear" w:color="auto" w:fill="auto"/>
            <w:noWrap/>
            <w:vAlign w:val="bottom"/>
            <w:hideMark/>
          </w:tcPr>
          <w:p w14:paraId="532A44D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核心贡献</w:t>
            </w:r>
          </w:p>
        </w:tc>
        <w:tc>
          <w:tcPr>
            <w:tcW w:w="1196" w:type="dxa"/>
            <w:tcBorders>
              <w:top w:val="nil"/>
              <w:left w:val="nil"/>
              <w:bottom w:val="nil"/>
              <w:right w:val="nil"/>
            </w:tcBorders>
            <w:shd w:val="clear" w:color="auto" w:fill="auto"/>
            <w:noWrap/>
            <w:vAlign w:val="bottom"/>
            <w:hideMark/>
          </w:tcPr>
          <w:p w14:paraId="179F38E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关键特点</w:t>
            </w:r>
          </w:p>
        </w:tc>
      </w:tr>
      <w:tr w:rsidR="00F50467" w:rsidRPr="00F50467" w14:paraId="25BC6E87" w14:textId="77777777" w:rsidTr="00F50467">
        <w:trPr>
          <w:trHeight w:val="1800"/>
        </w:trPr>
        <w:tc>
          <w:tcPr>
            <w:tcW w:w="456" w:type="dxa"/>
            <w:tcBorders>
              <w:top w:val="nil"/>
              <w:left w:val="nil"/>
              <w:bottom w:val="nil"/>
              <w:right w:val="nil"/>
            </w:tcBorders>
            <w:shd w:val="clear" w:color="auto" w:fill="auto"/>
            <w:noWrap/>
            <w:vAlign w:val="center"/>
            <w:hideMark/>
          </w:tcPr>
          <w:p w14:paraId="0F522BA8"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开心柯基</w:t>
            </w:r>
          </w:p>
        </w:tc>
        <w:tc>
          <w:tcPr>
            <w:tcW w:w="241" w:type="dxa"/>
            <w:tcBorders>
              <w:top w:val="nil"/>
              <w:left w:val="nil"/>
              <w:bottom w:val="nil"/>
              <w:right w:val="nil"/>
            </w:tcBorders>
            <w:shd w:val="clear" w:color="auto" w:fill="auto"/>
            <w:noWrap/>
            <w:vAlign w:val="center"/>
            <w:hideMark/>
          </w:tcPr>
          <w:p w14:paraId="5E618BB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5F39FAD1" w14:textId="200E47A1"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4E58101F"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摇尾点火官</w:t>
            </w:r>
          </w:p>
        </w:tc>
        <w:tc>
          <w:tcPr>
            <w:tcW w:w="779" w:type="dxa"/>
            <w:tcBorders>
              <w:top w:val="nil"/>
              <w:left w:val="nil"/>
              <w:bottom w:val="nil"/>
              <w:right w:val="nil"/>
            </w:tcBorders>
            <w:shd w:val="clear" w:color="auto" w:fill="auto"/>
            <w:noWrap/>
            <w:vAlign w:val="center"/>
            <w:hideMark/>
          </w:tcPr>
          <w:p w14:paraId="236F5A31"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瞬间破冰的气氛点火手</w:t>
            </w:r>
          </w:p>
        </w:tc>
        <w:tc>
          <w:tcPr>
            <w:tcW w:w="2359" w:type="dxa"/>
            <w:tcBorders>
              <w:top w:val="nil"/>
              <w:left w:val="nil"/>
              <w:bottom w:val="nil"/>
              <w:right w:val="nil"/>
            </w:tcBorders>
            <w:shd w:val="clear" w:color="auto" w:fill="auto"/>
            <w:vAlign w:val="center"/>
            <w:hideMark/>
          </w:tcPr>
          <w:p w14:paraId="01E3D6FB"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场域中不可或缺的活力源泉，如同一位技艺高超的引火者，总能以极具感染力的开朗与热情迅速点燃全场。当对话陷入僵局或空气突然安静时，他们一个恰到好处的提问、一个应景的幽默玩笑，便能瞬间打破坚冰，将原本可能尴尬的沉默巧妙转化为所有人参与其中的、热火朝天的欢乐讨论。</w:t>
            </w:r>
          </w:p>
        </w:tc>
        <w:tc>
          <w:tcPr>
            <w:tcW w:w="1788" w:type="dxa"/>
            <w:tcBorders>
              <w:top w:val="nil"/>
              <w:left w:val="nil"/>
              <w:bottom w:val="nil"/>
              <w:right w:val="nil"/>
            </w:tcBorders>
            <w:shd w:val="clear" w:color="auto" w:fill="auto"/>
            <w:noWrap/>
            <w:vAlign w:val="center"/>
            <w:hideMark/>
          </w:tcPr>
          <w:p w14:paraId="1CBB121C"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团队永动机，尾巴摇一摇，冷场焦</w:t>
            </w:r>
            <w:r w:rsidRPr="00F50467">
              <w:rPr>
                <w:rFonts w:ascii="Heiti TC" w:eastAsia="Heiti TC" w:hAnsi="Heiti TC" w:cs="Heiti TC"/>
                <w:color w:val="0F1115"/>
                <w:sz w:val="18"/>
                <w:szCs w:val="18"/>
              </w:rPr>
              <w:t>虑</w:t>
            </w:r>
            <w:r w:rsidRPr="00F50467">
              <w:rPr>
                <w:rFonts w:ascii="PingFang TC" w:eastAsia="PingFang TC" w:hAnsi="PingFang TC" w:cs="PingFang TC"/>
                <w:color w:val="0F1115"/>
                <w:sz w:val="18"/>
                <w:szCs w:val="18"/>
              </w:rPr>
              <w:t>全赶跑</w:t>
            </w:r>
          </w:p>
        </w:tc>
        <w:tc>
          <w:tcPr>
            <w:tcW w:w="1097" w:type="dxa"/>
            <w:tcBorders>
              <w:top w:val="nil"/>
              <w:left w:val="nil"/>
              <w:bottom w:val="nil"/>
              <w:right w:val="nil"/>
            </w:tcBorders>
            <w:shd w:val="clear" w:color="auto" w:fill="auto"/>
            <w:noWrap/>
            <w:vAlign w:val="center"/>
            <w:hideMark/>
          </w:tcPr>
          <w:p w14:paraId="4FB2751E"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破冰启动，创造欢乐氛围</w:t>
            </w:r>
          </w:p>
        </w:tc>
        <w:tc>
          <w:tcPr>
            <w:tcW w:w="1196" w:type="dxa"/>
            <w:tcBorders>
              <w:top w:val="nil"/>
              <w:left w:val="nil"/>
              <w:bottom w:val="nil"/>
              <w:right w:val="nil"/>
            </w:tcBorders>
            <w:shd w:val="clear" w:color="auto" w:fill="auto"/>
            <w:noWrap/>
            <w:vAlign w:val="center"/>
            <w:hideMark/>
          </w:tcPr>
          <w:p w14:paraId="0C43F28B"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能量充沛、幽默感强、善于调动气氛</w:t>
            </w:r>
          </w:p>
        </w:tc>
      </w:tr>
      <w:tr w:rsidR="00F50467" w:rsidRPr="00F50467" w14:paraId="56BE468D" w14:textId="77777777" w:rsidTr="00F50467">
        <w:trPr>
          <w:trHeight w:val="1800"/>
        </w:trPr>
        <w:tc>
          <w:tcPr>
            <w:tcW w:w="456" w:type="dxa"/>
            <w:tcBorders>
              <w:top w:val="nil"/>
              <w:left w:val="nil"/>
              <w:bottom w:val="nil"/>
              <w:right w:val="nil"/>
            </w:tcBorders>
            <w:shd w:val="clear" w:color="auto" w:fill="auto"/>
            <w:noWrap/>
            <w:vAlign w:val="center"/>
            <w:hideMark/>
          </w:tcPr>
          <w:p w14:paraId="48E8F514"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机智狐</w:t>
            </w:r>
          </w:p>
        </w:tc>
        <w:tc>
          <w:tcPr>
            <w:tcW w:w="241" w:type="dxa"/>
            <w:tcBorders>
              <w:top w:val="nil"/>
              <w:left w:val="nil"/>
              <w:bottom w:val="nil"/>
              <w:right w:val="nil"/>
            </w:tcBorders>
            <w:shd w:val="clear" w:color="auto" w:fill="auto"/>
            <w:noWrap/>
            <w:vAlign w:val="center"/>
            <w:hideMark/>
          </w:tcPr>
          <w:p w14:paraId="2C0ED76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506A9423" w14:textId="5EDE9C44"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23C1D703"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巷口密探</w:t>
            </w:r>
          </w:p>
        </w:tc>
        <w:tc>
          <w:tcPr>
            <w:tcW w:w="779" w:type="dxa"/>
            <w:tcBorders>
              <w:top w:val="nil"/>
              <w:left w:val="nil"/>
              <w:bottom w:val="nil"/>
              <w:right w:val="nil"/>
            </w:tcBorders>
            <w:shd w:val="clear" w:color="auto" w:fill="auto"/>
            <w:noWrap/>
            <w:vAlign w:val="center"/>
            <w:hideMark/>
          </w:tcPr>
          <w:p w14:paraId="5E624ED4"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带来新鲜玩法与地点的发现官</w:t>
            </w:r>
          </w:p>
        </w:tc>
        <w:tc>
          <w:tcPr>
            <w:tcW w:w="2359" w:type="dxa"/>
            <w:tcBorders>
              <w:top w:val="nil"/>
              <w:left w:val="nil"/>
              <w:bottom w:val="nil"/>
              <w:right w:val="nil"/>
            </w:tcBorders>
            <w:shd w:val="clear" w:color="auto" w:fill="auto"/>
            <w:vAlign w:val="center"/>
            <w:hideMark/>
          </w:tcPr>
          <w:p w14:paraId="7C76F274"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城市里行走的惊奇发现官，仿佛拥有一张旁人无法窥见的秘密地图。当聚会流于寻常套路时，他们总能如数家珍地抛出藏匿于小巷深处的特色小店，或是一个别出心裁的活动点子，轻易将一次平凡的相聚升级为一场令人回味无穷的、充满发现感的共同冒险。</w:t>
            </w:r>
          </w:p>
        </w:tc>
        <w:tc>
          <w:tcPr>
            <w:tcW w:w="1788" w:type="dxa"/>
            <w:tcBorders>
              <w:top w:val="nil"/>
              <w:left w:val="nil"/>
              <w:bottom w:val="nil"/>
              <w:right w:val="nil"/>
            </w:tcBorders>
            <w:shd w:val="clear" w:color="auto" w:fill="auto"/>
            <w:noWrap/>
            <w:vAlign w:val="center"/>
            <w:hideMark/>
          </w:tcPr>
          <w:p w14:paraId="7A404B5E"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城市探险家，鼻子嗅一嗅，新奇玩法全都有</w:t>
            </w:r>
          </w:p>
        </w:tc>
        <w:tc>
          <w:tcPr>
            <w:tcW w:w="1097" w:type="dxa"/>
            <w:tcBorders>
              <w:top w:val="nil"/>
              <w:left w:val="nil"/>
              <w:bottom w:val="nil"/>
              <w:right w:val="nil"/>
            </w:tcBorders>
            <w:shd w:val="clear" w:color="auto" w:fill="auto"/>
            <w:noWrap/>
            <w:vAlign w:val="center"/>
            <w:hideMark/>
          </w:tcPr>
          <w:p w14:paraId="0F983F5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引入新鲜体验，拓展活动边界</w:t>
            </w:r>
          </w:p>
        </w:tc>
        <w:tc>
          <w:tcPr>
            <w:tcW w:w="1196" w:type="dxa"/>
            <w:tcBorders>
              <w:top w:val="nil"/>
              <w:left w:val="nil"/>
              <w:bottom w:val="nil"/>
              <w:right w:val="nil"/>
            </w:tcBorders>
            <w:shd w:val="clear" w:color="auto" w:fill="auto"/>
            <w:noWrap/>
            <w:vAlign w:val="center"/>
            <w:hideMark/>
          </w:tcPr>
          <w:p w14:paraId="5EC21576"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好奇心强、信息灵通、勇于尝试</w:t>
            </w:r>
          </w:p>
        </w:tc>
      </w:tr>
      <w:tr w:rsidR="00F50467" w:rsidRPr="00F50467" w14:paraId="51FBE451" w14:textId="77777777" w:rsidTr="00F50467">
        <w:trPr>
          <w:trHeight w:val="1800"/>
        </w:trPr>
        <w:tc>
          <w:tcPr>
            <w:tcW w:w="456" w:type="dxa"/>
            <w:tcBorders>
              <w:top w:val="nil"/>
              <w:left w:val="nil"/>
              <w:bottom w:val="nil"/>
              <w:right w:val="nil"/>
            </w:tcBorders>
            <w:shd w:val="clear" w:color="auto" w:fill="auto"/>
            <w:noWrap/>
            <w:vAlign w:val="center"/>
            <w:hideMark/>
          </w:tcPr>
          <w:p w14:paraId="5CA584A2"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暖心熊</w:t>
            </w:r>
          </w:p>
        </w:tc>
        <w:tc>
          <w:tcPr>
            <w:tcW w:w="241" w:type="dxa"/>
            <w:tcBorders>
              <w:top w:val="nil"/>
              <w:left w:val="nil"/>
              <w:bottom w:val="nil"/>
              <w:right w:val="nil"/>
            </w:tcBorders>
            <w:shd w:val="clear" w:color="auto" w:fill="auto"/>
            <w:noWrap/>
            <w:vAlign w:val="center"/>
            <w:hideMark/>
          </w:tcPr>
          <w:p w14:paraId="54DE2CE4"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6A6D1233" w14:textId="1D1DC00F"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75601387"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怀抱故事熊</w:t>
            </w:r>
          </w:p>
        </w:tc>
        <w:tc>
          <w:tcPr>
            <w:tcW w:w="779" w:type="dxa"/>
            <w:tcBorders>
              <w:top w:val="nil"/>
              <w:left w:val="nil"/>
              <w:bottom w:val="nil"/>
              <w:right w:val="nil"/>
            </w:tcBorders>
            <w:shd w:val="clear" w:color="auto" w:fill="auto"/>
            <w:noWrap/>
            <w:vAlign w:val="center"/>
            <w:hideMark/>
          </w:tcPr>
          <w:p w14:paraId="01DA1C8E"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把片段变故事的情感黏合剂</w:t>
            </w:r>
          </w:p>
        </w:tc>
        <w:tc>
          <w:tcPr>
            <w:tcW w:w="2359" w:type="dxa"/>
            <w:tcBorders>
              <w:top w:val="nil"/>
              <w:left w:val="nil"/>
              <w:bottom w:val="nil"/>
              <w:right w:val="nil"/>
            </w:tcBorders>
            <w:shd w:val="clear" w:color="auto" w:fill="auto"/>
            <w:vAlign w:val="center"/>
            <w:hideMark/>
          </w:tcPr>
          <w:p w14:paraId="27862677"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群体中温暖的情感联结者，如同一个承载着无数珍贵片段的活体博物馆。他们不仅善于将平凡的日常编织成引人入胜的故事，更拥有一双能听见心跳的耳朵，让每个人的分享都得到最深情的回响。经由他们的讲述与倾听，陌生的个体之间得以建立起坚实的情感纽带，让整个场域因这份深层的懂得而变得格外紧密。</w:t>
            </w:r>
          </w:p>
        </w:tc>
        <w:tc>
          <w:tcPr>
            <w:tcW w:w="1788" w:type="dxa"/>
            <w:tcBorders>
              <w:top w:val="nil"/>
              <w:left w:val="nil"/>
              <w:bottom w:val="nil"/>
              <w:right w:val="nil"/>
            </w:tcBorders>
            <w:shd w:val="clear" w:color="auto" w:fill="auto"/>
            <w:noWrap/>
            <w:vAlign w:val="center"/>
            <w:hideMark/>
          </w:tcPr>
          <w:p w14:paraId="607E6385"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故事收藏家，怀抱暖一暖，心事烦恼全消散</w:t>
            </w:r>
          </w:p>
        </w:tc>
        <w:tc>
          <w:tcPr>
            <w:tcW w:w="1097" w:type="dxa"/>
            <w:tcBorders>
              <w:top w:val="nil"/>
              <w:left w:val="nil"/>
              <w:bottom w:val="nil"/>
              <w:right w:val="nil"/>
            </w:tcBorders>
            <w:shd w:val="clear" w:color="auto" w:fill="auto"/>
            <w:noWrap/>
            <w:vAlign w:val="center"/>
            <w:hideMark/>
          </w:tcPr>
          <w:p w14:paraId="6BBCD050"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建立情感连接，营造深度交流</w:t>
            </w:r>
          </w:p>
        </w:tc>
        <w:tc>
          <w:tcPr>
            <w:tcW w:w="1196" w:type="dxa"/>
            <w:tcBorders>
              <w:top w:val="nil"/>
              <w:left w:val="nil"/>
              <w:bottom w:val="nil"/>
              <w:right w:val="nil"/>
            </w:tcBorders>
            <w:shd w:val="clear" w:color="auto" w:fill="auto"/>
            <w:noWrap/>
            <w:vAlign w:val="center"/>
            <w:hideMark/>
          </w:tcPr>
          <w:p w14:paraId="45907596"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善于倾听、共情力强、故事力丰富</w:t>
            </w:r>
          </w:p>
        </w:tc>
      </w:tr>
      <w:tr w:rsidR="00F50467" w:rsidRPr="00F50467" w14:paraId="160302EE" w14:textId="77777777" w:rsidTr="00F50467">
        <w:trPr>
          <w:trHeight w:val="1800"/>
        </w:trPr>
        <w:tc>
          <w:tcPr>
            <w:tcW w:w="456" w:type="dxa"/>
            <w:tcBorders>
              <w:top w:val="nil"/>
              <w:left w:val="nil"/>
              <w:bottom w:val="nil"/>
              <w:right w:val="nil"/>
            </w:tcBorders>
            <w:shd w:val="clear" w:color="auto" w:fill="auto"/>
            <w:noWrap/>
            <w:vAlign w:val="center"/>
            <w:hideMark/>
          </w:tcPr>
          <w:p w14:paraId="4772D5AF"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lastRenderedPageBreak/>
              <w:t>沉思猫头鹰</w:t>
            </w:r>
          </w:p>
        </w:tc>
        <w:tc>
          <w:tcPr>
            <w:tcW w:w="241" w:type="dxa"/>
            <w:tcBorders>
              <w:top w:val="nil"/>
              <w:left w:val="nil"/>
              <w:bottom w:val="nil"/>
              <w:right w:val="nil"/>
            </w:tcBorders>
            <w:shd w:val="clear" w:color="auto" w:fill="auto"/>
            <w:noWrap/>
            <w:vAlign w:val="center"/>
            <w:hideMark/>
          </w:tcPr>
          <w:p w14:paraId="1B7C87B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137076D1" w14:textId="195DD3BF"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5C8AEDE4"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推镜思考官</w:t>
            </w:r>
          </w:p>
        </w:tc>
        <w:tc>
          <w:tcPr>
            <w:tcW w:w="779" w:type="dxa"/>
            <w:tcBorders>
              <w:top w:val="nil"/>
              <w:left w:val="nil"/>
              <w:bottom w:val="nil"/>
              <w:right w:val="nil"/>
            </w:tcBorders>
            <w:shd w:val="clear" w:color="auto" w:fill="auto"/>
            <w:noWrap/>
            <w:vAlign w:val="center"/>
            <w:hideMark/>
          </w:tcPr>
          <w:p w14:paraId="58D525FC"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把闲聊引向本质的深潜引导者</w:t>
            </w:r>
          </w:p>
        </w:tc>
        <w:tc>
          <w:tcPr>
            <w:tcW w:w="2359" w:type="dxa"/>
            <w:tcBorders>
              <w:top w:val="nil"/>
              <w:left w:val="nil"/>
              <w:bottom w:val="nil"/>
              <w:right w:val="nil"/>
            </w:tcBorders>
            <w:shd w:val="clear" w:color="auto" w:fill="auto"/>
            <w:vAlign w:val="center"/>
            <w:hideMark/>
          </w:tcPr>
          <w:p w14:paraId="041F0C71"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在习惯于寒暄的社交浅水区，他们是一位温和而坚定的思想深潜教练。不满足于停留在</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今天天气真好</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的表面，他们会用充满智慧的追问，巧妙地挑战成见，引导大家潜入思维的海底，去探讨现象背后的本质，从而将轻松的闲聊催生为营养丰富、更具启发性的高质量思想交锋。</w:t>
            </w:r>
          </w:p>
        </w:tc>
        <w:tc>
          <w:tcPr>
            <w:tcW w:w="1788" w:type="dxa"/>
            <w:tcBorders>
              <w:top w:val="nil"/>
              <w:left w:val="nil"/>
              <w:bottom w:val="nil"/>
              <w:right w:val="nil"/>
            </w:tcBorders>
            <w:shd w:val="clear" w:color="auto" w:fill="auto"/>
            <w:noWrap/>
            <w:vAlign w:val="center"/>
            <w:hideMark/>
          </w:tcPr>
          <w:p w14:paraId="362D0100"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哲学带师，镜框推一推，聊天深度往上飞</w:t>
            </w:r>
          </w:p>
        </w:tc>
        <w:tc>
          <w:tcPr>
            <w:tcW w:w="1097" w:type="dxa"/>
            <w:tcBorders>
              <w:top w:val="nil"/>
              <w:left w:val="nil"/>
              <w:bottom w:val="nil"/>
              <w:right w:val="nil"/>
            </w:tcBorders>
            <w:shd w:val="clear" w:color="auto" w:fill="auto"/>
            <w:noWrap/>
            <w:vAlign w:val="center"/>
            <w:hideMark/>
          </w:tcPr>
          <w:p w14:paraId="778C2E72"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提升对话质量，激发深度思考</w:t>
            </w:r>
          </w:p>
        </w:tc>
        <w:tc>
          <w:tcPr>
            <w:tcW w:w="1196" w:type="dxa"/>
            <w:tcBorders>
              <w:top w:val="nil"/>
              <w:left w:val="nil"/>
              <w:bottom w:val="nil"/>
              <w:right w:val="nil"/>
            </w:tcBorders>
            <w:shd w:val="clear" w:color="auto" w:fill="auto"/>
            <w:noWrap/>
            <w:vAlign w:val="center"/>
            <w:hideMark/>
          </w:tcPr>
          <w:p w14:paraId="57DEB64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逻辑性强、善于提问、追求真理</w:t>
            </w:r>
          </w:p>
        </w:tc>
      </w:tr>
      <w:tr w:rsidR="00F50467" w:rsidRPr="00F50467" w14:paraId="778EA3F7" w14:textId="77777777" w:rsidTr="00F50467">
        <w:trPr>
          <w:trHeight w:val="1800"/>
        </w:trPr>
        <w:tc>
          <w:tcPr>
            <w:tcW w:w="456" w:type="dxa"/>
            <w:tcBorders>
              <w:top w:val="nil"/>
              <w:left w:val="nil"/>
              <w:bottom w:val="nil"/>
              <w:right w:val="nil"/>
            </w:tcBorders>
            <w:shd w:val="clear" w:color="auto" w:fill="auto"/>
            <w:noWrap/>
            <w:vAlign w:val="center"/>
            <w:hideMark/>
          </w:tcPr>
          <w:p w14:paraId="0C942F18"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织网蛛</w:t>
            </w:r>
          </w:p>
        </w:tc>
        <w:tc>
          <w:tcPr>
            <w:tcW w:w="241" w:type="dxa"/>
            <w:tcBorders>
              <w:top w:val="nil"/>
              <w:left w:val="nil"/>
              <w:bottom w:val="nil"/>
              <w:right w:val="nil"/>
            </w:tcBorders>
            <w:shd w:val="clear" w:color="auto" w:fill="auto"/>
            <w:noWrap/>
            <w:vAlign w:val="center"/>
            <w:hideMark/>
          </w:tcPr>
          <w:p w14:paraId="2BDF5BE6"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32D55887" w14:textId="3F910720"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3DB201F1"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关系织网师</w:t>
            </w:r>
          </w:p>
        </w:tc>
        <w:tc>
          <w:tcPr>
            <w:tcW w:w="779" w:type="dxa"/>
            <w:tcBorders>
              <w:top w:val="nil"/>
              <w:left w:val="nil"/>
              <w:bottom w:val="nil"/>
              <w:right w:val="nil"/>
            </w:tcBorders>
            <w:shd w:val="clear" w:color="auto" w:fill="auto"/>
            <w:noWrap/>
            <w:vAlign w:val="center"/>
            <w:hideMark/>
          </w:tcPr>
          <w:p w14:paraId="71015EA7"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发现共同点并撮合交流的连接器</w:t>
            </w:r>
          </w:p>
        </w:tc>
        <w:tc>
          <w:tcPr>
            <w:tcW w:w="2359" w:type="dxa"/>
            <w:tcBorders>
              <w:top w:val="nil"/>
              <w:left w:val="nil"/>
              <w:bottom w:val="nil"/>
              <w:right w:val="nil"/>
            </w:tcBorders>
            <w:shd w:val="clear" w:color="auto" w:fill="auto"/>
            <w:vAlign w:val="center"/>
            <w:hideMark/>
          </w:tcPr>
          <w:p w14:paraId="5C99204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人群中天生的关系建筑师，拥有如蜘蛛侠般的敏锐直觉。他们能精准感知到人与人之间那些尚未被发现的共同兴趣或潜在关联，并乐于扮演那个关键的连接点，用巧妙的话语作丝线，编织出一张让所有人惊叹的社交网络，确保没有任何一个人在这场集体对话中成为孤岛。</w:t>
            </w:r>
          </w:p>
        </w:tc>
        <w:tc>
          <w:tcPr>
            <w:tcW w:w="1788" w:type="dxa"/>
            <w:tcBorders>
              <w:top w:val="nil"/>
              <w:left w:val="nil"/>
              <w:bottom w:val="nil"/>
              <w:right w:val="nil"/>
            </w:tcBorders>
            <w:shd w:val="clear" w:color="auto" w:fill="auto"/>
            <w:noWrap/>
            <w:vAlign w:val="center"/>
            <w:hideMark/>
          </w:tcPr>
          <w:p w14:paraId="79784E7B"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社交黏合剂，网络织一织，陌生朋友变知己</w:t>
            </w:r>
          </w:p>
        </w:tc>
        <w:tc>
          <w:tcPr>
            <w:tcW w:w="1097" w:type="dxa"/>
            <w:tcBorders>
              <w:top w:val="nil"/>
              <w:left w:val="nil"/>
              <w:bottom w:val="nil"/>
              <w:right w:val="nil"/>
            </w:tcBorders>
            <w:shd w:val="clear" w:color="auto" w:fill="auto"/>
            <w:noWrap/>
            <w:vAlign w:val="center"/>
            <w:hideMark/>
          </w:tcPr>
          <w:p w14:paraId="1767CD35"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连接不同人群，构建社交网络</w:t>
            </w:r>
          </w:p>
        </w:tc>
        <w:tc>
          <w:tcPr>
            <w:tcW w:w="1196" w:type="dxa"/>
            <w:tcBorders>
              <w:top w:val="nil"/>
              <w:left w:val="nil"/>
              <w:bottom w:val="nil"/>
              <w:right w:val="nil"/>
            </w:tcBorders>
            <w:shd w:val="clear" w:color="auto" w:fill="auto"/>
            <w:noWrap/>
            <w:vAlign w:val="center"/>
            <w:hideMark/>
          </w:tcPr>
          <w:p w14:paraId="04381BC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观察敏锐、善于发现共同点、人脉广泛</w:t>
            </w:r>
          </w:p>
        </w:tc>
      </w:tr>
      <w:tr w:rsidR="00F50467" w:rsidRPr="00F50467" w14:paraId="1BD273EE" w14:textId="77777777" w:rsidTr="00F50467">
        <w:trPr>
          <w:trHeight w:val="1800"/>
        </w:trPr>
        <w:tc>
          <w:tcPr>
            <w:tcW w:w="456" w:type="dxa"/>
            <w:tcBorders>
              <w:top w:val="nil"/>
              <w:left w:val="nil"/>
              <w:bottom w:val="nil"/>
              <w:right w:val="nil"/>
            </w:tcBorders>
            <w:shd w:val="clear" w:color="auto" w:fill="auto"/>
            <w:noWrap/>
            <w:vAlign w:val="center"/>
            <w:hideMark/>
          </w:tcPr>
          <w:p w14:paraId="3635328B"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淡定海豚</w:t>
            </w:r>
          </w:p>
        </w:tc>
        <w:tc>
          <w:tcPr>
            <w:tcW w:w="241" w:type="dxa"/>
            <w:tcBorders>
              <w:top w:val="nil"/>
              <w:left w:val="nil"/>
              <w:bottom w:val="nil"/>
              <w:right w:val="nil"/>
            </w:tcBorders>
            <w:shd w:val="clear" w:color="auto" w:fill="auto"/>
            <w:noWrap/>
            <w:vAlign w:val="center"/>
            <w:hideMark/>
          </w:tcPr>
          <w:p w14:paraId="31E0C30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16A7D1A5" w14:textId="39CB2E11"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3F226D73"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气氛冲浪手</w:t>
            </w:r>
          </w:p>
        </w:tc>
        <w:tc>
          <w:tcPr>
            <w:tcW w:w="779" w:type="dxa"/>
            <w:tcBorders>
              <w:top w:val="nil"/>
              <w:left w:val="nil"/>
              <w:bottom w:val="nil"/>
              <w:right w:val="nil"/>
            </w:tcBorders>
            <w:shd w:val="clear" w:color="auto" w:fill="auto"/>
            <w:noWrap/>
            <w:vAlign w:val="center"/>
            <w:hideMark/>
          </w:tcPr>
          <w:p w14:paraId="26CDABB2"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在情绪波动时的气氛调频手</w:t>
            </w:r>
          </w:p>
        </w:tc>
        <w:tc>
          <w:tcPr>
            <w:tcW w:w="2359" w:type="dxa"/>
            <w:tcBorders>
              <w:top w:val="nil"/>
              <w:left w:val="nil"/>
              <w:bottom w:val="nil"/>
              <w:right w:val="nil"/>
            </w:tcBorders>
            <w:shd w:val="clear" w:color="auto" w:fill="auto"/>
            <w:vAlign w:val="center"/>
            <w:hideMark/>
          </w:tcPr>
          <w:p w14:paraId="3B409A1D"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他们如同一位在社交情绪波浪中自如滑行的冲浪手，或者说是一位经验丰富的现场</w:t>
            </w:r>
            <w:r w:rsidRPr="00F50467">
              <w:rPr>
                <w:rFonts w:ascii="Helvetica Neue" w:eastAsia="Times New Roman" w:hAnsi="Helvetica Neue" w:cs="Times New Roman"/>
                <w:color w:val="0F1115"/>
                <w:sz w:val="18"/>
                <w:szCs w:val="18"/>
              </w:rPr>
              <w:t>DJ</w:t>
            </w:r>
            <w:r w:rsidRPr="00F50467">
              <w:rPr>
                <w:rFonts w:ascii="PingFang TC" w:eastAsia="PingFang TC" w:hAnsi="PingFang TC" w:cs="PingFang TC"/>
                <w:color w:val="0F1115"/>
                <w:sz w:val="18"/>
                <w:szCs w:val="18"/>
              </w:rPr>
              <w:t>。凭借非凡的观察力，他们能精准捕捉到空气中每一丝微妙的情感波动与能量流向，并用一句轻松的玩笑化解潜在的紧张，微妙地调和着气氛，始终维持着整个场域的和谐、轻松与包容。</w:t>
            </w:r>
          </w:p>
        </w:tc>
        <w:tc>
          <w:tcPr>
            <w:tcW w:w="1788" w:type="dxa"/>
            <w:tcBorders>
              <w:top w:val="nil"/>
              <w:left w:val="nil"/>
              <w:bottom w:val="nil"/>
              <w:right w:val="nil"/>
            </w:tcBorders>
            <w:shd w:val="clear" w:color="auto" w:fill="auto"/>
            <w:noWrap/>
            <w:vAlign w:val="center"/>
            <w:hideMark/>
          </w:tcPr>
          <w:p w14:paraId="38652B32"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气氛冲浪手，微笑露一露，尴尬紧张全冲走</w:t>
            </w:r>
          </w:p>
        </w:tc>
        <w:tc>
          <w:tcPr>
            <w:tcW w:w="1097" w:type="dxa"/>
            <w:tcBorders>
              <w:top w:val="nil"/>
              <w:left w:val="nil"/>
              <w:bottom w:val="nil"/>
              <w:right w:val="nil"/>
            </w:tcBorders>
            <w:shd w:val="clear" w:color="auto" w:fill="auto"/>
            <w:noWrap/>
            <w:vAlign w:val="center"/>
            <w:hideMark/>
          </w:tcPr>
          <w:p w14:paraId="1C36DCC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平衡群体氛围，化解潜在冲突</w:t>
            </w:r>
          </w:p>
        </w:tc>
        <w:tc>
          <w:tcPr>
            <w:tcW w:w="1196" w:type="dxa"/>
            <w:tcBorders>
              <w:top w:val="nil"/>
              <w:left w:val="nil"/>
              <w:bottom w:val="nil"/>
              <w:right w:val="nil"/>
            </w:tcBorders>
            <w:shd w:val="clear" w:color="auto" w:fill="auto"/>
            <w:noWrap/>
            <w:vAlign w:val="center"/>
            <w:hideMark/>
          </w:tcPr>
          <w:p w14:paraId="7FC0A04C"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情商高、应变力强、包容性好</w:t>
            </w:r>
          </w:p>
        </w:tc>
      </w:tr>
      <w:tr w:rsidR="00F50467" w:rsidRPr="00F50467" w14:paraId="4090B9B1" w14:textId="77777777" w:rsidTr="00F50467">
        <w:trPr>
          <w:trHeight w:val="1800"/>
        </w:trPr>
        <w:tc>
          <w:tcPr>
            <w:tcW w:w="456" w:type="dxa"/>
            <w:tcBorders>
              <w:top w:val="nil"/>
              <w:left w:val="nil"/>
              <w:bottom w:val="nil"/>
              <w:right w:val="nil"/>
            </w:tcBorders>
            <w:shd w:val="clear" w:color="auto" w:fill="auto"/>
            <w:noWrap/>
            <w:vAlign w:val="center"/>
            <w:hideMark/>
          </w:tcPr>
          <w:p w14:paraId="73B62FB9"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夸夸豚</w:t>
            </w:r>
          </w:p>
        </w:tc>
        <w:tc>
          <w:tcPr>
            <w:tcW w:w="241" w:type="dxa"/>
            <w:tcBorders>
              <w:top w:val="nil"/>
              <w:left w:val="nil"/>
              <w:bottom w:val="nil"/>
              <w:right w:val="nil"/>
            </w:tcBorders>
            <w:shd w:val="clear" w:color="auto" w:fill="auto"/>
            <w:noWrap/>
            <w:vAlign w:val="center"/>
            <w:hideMark/>
          </w:tcPr>
          <w:p w14:paraId="2F51CA3D"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6FC84D90" w14:textId="42B31B0A" w:rsidR="00F50467" w:rsidRPr="00F50467" w:rsidRDefault="00F50467" w:rsidP="00F50467">
            <w:pPr>
              <w:spacing w:after="0" w:line="240" w:lineRule="auto"/>
              <w:jc w:val="center"/>
              <w:rPr>
                <w:rFonts w:ascii="Helvetica Neue" w:eastAsia="Times New Roman" w:hAnsi="Helvetica Neue" w:cs="Times New Roman" w:hint="eastAsia"/>
                <w:color w:val="0F1115"/>
                <w:sz w:val="18"/>
                <w:szCs w:val="18"/>
              </w:rPr>
            </w:pPr>
          </w:p>
        </w:tc>
        <w:tc>
          <w:tcPr>
            <w:tcW w:w="555" w:type="dxa"/>
            <w:tcBorders>
              <w:top w:val="nil"/>
              <w:left w:val="nil"/>
              <w:bottom w:val="nil"/>
              <w:right w:val="nil"/>
            </w:tcBorders>
            <w:shd w:val="clear" w:color="auto" w:fill="auto"/>
            <w:noWrap/>
            <w:vAlign w:val="center"/>
            <w:hideMark/>
          </w:tcPr>
          <w:p w14:paraId="7254917C"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掌声发动机</w:t>
            </w:r>
          </w:p>
        </w:tc>
        <w:tc>
          <w:tcPr>
            <w:tcW w:w="779" w:type="dxa"/>
            <w:tcBorders>
              <w:top w:val="nil"/>
              <w:left w:val="nil"/>
              <w:bottom w:val="nil"/>
              <w:right w:val="nil"/>
            </w:tcBorders>
            <w:shd w:val="clear" w:color="auto" w:fill="auto"/>
            <w:noWrap/>
            <w:vAlign w:val="center"/>
            <w:hideMark/>
          </w:tcPr>
          <w:p w14:paraId="315E2BC6"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即时正反馈的自信放大器</w:t>
            </w:r>
          </w:p>
        </w:tc>
        <w:tc>
          <w:tcPr>
            <w:tcW w:w="2359" w:type="dxa"/>
            <w:tcBorders>
              <w:top w:val="nil"/>
              <w:left w:val="nil"/>
              <w:bottom w:val="nil"/>
              <w:right w:val="nil"/>
            </w:tcBorders>
            <w:shd w:val="clear" w:color="auto" w:fill="auto"/>
            <w:vAlign w:val="center"/>
            <w:hideMark/>
          </w:tcPr>
          <w:p w14:paraId="04C209CC"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他们是团队中不可或缺的积极能量源泉，是一位专业的</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闪光时刻</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捕捉师。无论谁做出了何种分享，他们总能报以最及时的兴奋、最专注的倾听与最真诚的赞美。他们的存在本</w:t>
            </w:r>
            <w:r w:rsidRPr="00F50467">
              <w:rPr>
                <w:rFonts w:ascii="PingFang TC" w:eastAsia="PingFang TC" w:hAnsi="PingFang TC" w:cs="PingFang TC"/>
                <w:color w:val="0F1115"/>
                <w:sz w:val="18"/>
                <w:szCs w:val="18"/>
              </w:rPr>
              <w:lastRenderedPageBreak/>
              <w:t>身就像一种无形的声援，让团队中的每一位成员都感觉自己的发言是有趣的、被欣赏的，从而获得更多自信，更愿意敞开心扉。</w:t>
            </w:r>
          </w:p>
        </w:tc>
        <w:tc>
          <w:tcPr>
            <w:tcW w:w="1788" w:type="dxa"/>
            <w:tcBorders>
              <w:top w:val="nil"/>
              <w:left w:val="nil"/>
              <w:bottom w:val="nil"/>
              <w:right w:val="nil"/>
            </w:tcBorders>
            <w:shd w:val="clear" w:color="auto" w:fill="auto"/>
            <w:noWrap/>
            <w:vAlign w:val="center"/>
            <w:hideMark/>
          </w:tcPr>
          <w:p w14:paraId="22FE99CC"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lastRenderedPageBreak/>
              <w:t>首席鼓掌官，小手拍一拍，你的魅力全打开</w:t>
            </w:r>
          </w:p>
        </w:tc>
        <w:tc>
          <w:tcPr>
            <w:tcW w:w="1097" w:type="dxa"/>
            <w:tcBorders>
              <w:top w:val="nil"/>
              <w:left w:val="nil"/>
              <w:bottom w:val="nil"/>
              <w:right w:val="nil"/>
            </w:tcBorders>
            <w:shd w:val="clear" w:color="auto" w:fill="auto"/>
            <w:noWrap/>
            <w:vAlign w:val="center"/>
            <w:hideMark/>
          </w:tcPr>
          <w:p w14:paraId="1C5EF3EA"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提供积极反馈，增强团队信心</w:t>
            </w:r>
          </w:p>
        </w:tc>
        <w:tc>
          <w:tcPr>
            <w:tcW w:w="1196" w:type="dxa"/>
            <w:tcBorders>
              <w:top w:val="nil"/>
              <w:left w:val="nil"/>
              <w:bottom w:val="nil"/>
              <w:right w:val="nil"/>
            </w:tcBorders>
            <w:shd w:val="clear" w:color="auto" w:fill="auto"/>
            <w:noWrap/>
            <w:vAlign w:val="center"/>
            <w:hideMark/>
          </w:tcPr>
          <w:p w14:paraId="01C01275"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鼓励性强、反应热情、正能量满满</w:t>
            </w:r>
          </w:p>
        </w:tc>
      </w:tr>
      <w:tr w:rsidR="00F50467" w:rsidRPr="00F50467" w14:paraId="587C4EB6" w14:textId="77777777" w:rsidTr="00F50467">
        <w:trPr>
          <w:trHeight w:val="1800"/>
        </w:trPr>
        <w:tc>
          <w:tcPr>
            <w:tcW w:w="456" w:type="dxa"/>
            <w:tcBorders>
              <w:top w:val="nil"/>
              <w:left w:val="nil"/>
              <w:bottom w:val="nil"/>
              <w:right w:val="nil"/>
            </w:tcBorders>
            <w:shd w:val="clear" w:color="auto" w:fill="auto"/>
            <w:noWrap/>
            <w:vAlign w:val="center"/>
            <w:hideMark/>
          </w:tcPr>
          <w:p w14:paraId="0B309512"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太阳鸡</w:t>
            </w:r>
          </w:p>
        </w:tc>
        <w:tc>
          <w:tcPr>
            <w:tcW w:w="241" w:type="dxa"/>
            <w:tcBorders>
              <w:top w:val="nil"/>
              <w:left w:val="nil"/>
              <w:bottom w:val="nil"/>
              <w:right w:val="nil"/>
            </w:tcBorders>
            <w:shd w:val="clear" w:color="auto" w:fill="auto"/>
            <w:noWrap/>
            <w:vAlign w:val="center"/>
            <w:hideMark/>
          </w:tcPr>
          <w:p w14:paraId="61D38EE1"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0C1D488D" w14:textId="61380072"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5A74F188"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咯咯小太阳</w:t>
            </w:r>
          </w:p>
        </w:tc>
        <w:tc>
          <w:tcPr>
            <w:tcW w:w="779" w:type="dxa"/>
            <w:tcBorders>
              <w:top w:val="nil"/>
              <w:left w:val="nil"/>
              <w:bottom w:val="nil"/>
              <w:right w:val="nil"/>
            </w:tcBorders>
            <w:shd w:val="clear" w:color="auto" w:fill="auto"/>
            <w:noWrap/>
            <w:vAlign w:val="center"/>
            <w:hideMark/>
          </w:tcPr>
          <w:p w14:paraId="5362E3F8"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Heiti TC" w:eastAsia="Heiti TC" w:hAnsi="Heiti TC" w:cs="Heiti TC"/>
                <w:b/>
                <w:bCs/>
                <w:color w:val="0F1115"/>
                <w:sz w:val="18"/>
                <w:szCs w:val="18"/>
              </w:rPr>
              <w:t>稳</w:t>
            </w:r>
            <w:r w:rsidRPr="00F50467">
              <w:rPr>
                <w:rFonts w:ascii="PingFang TC" w:eastAsia="PingFang TC" w:hAnsi="PingFang TC" w:cs="PingFang TC"/>
                <w:b/>
                <w:bCs/>
                <w:color w:val="0F1115"/>
                <w:sz w:val="18"/>
                <w:szCs w:val="18"/>
              </w:rPr>
              <w:t>定输出的暖意基线</w:t>
            </w:r>
          </w:p>
        </w:tc>
        <w:tc>
          <w:tcPr>
            <w:tcW w:w="2359" w:type="dxa"/>
            <w:tcBorders>
              <w:top w:val="nil"/>
              <w:left w:val="nil"/>
              <w:bottom w:val="nil"/>
              <w:right w:val="nil"/>
            </w:tcBorders>
            <w:shd w:val="clear" w:color="auto" w:fill="auto"/>
            <w:vAlign w:val="center"/>
            <w:hideMark/>
          </w:tcPr>
          <w:p w14:paraId="13D07AB6"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他们是群体中</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快乐的常量</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，本身就是一个温暖的小宇宙。无需刻意制造话题或行动，他们</w:t>
            </w:r>
            <w:r w:rsidRPr="00F50467">
              <w:rPr>
                <w:rFonts w:ascii="Heiti TC" w:eastAsia="Heiti TC" w:hAnsi="Heiti TC" w:cs="Heiti TC"/>
                <w:color w:val="0F1115"/>
                <w:sz w:val="18"/>
                <w:szCs w:val="18"/>
              </w:rPr>
              <w:t>稳</w:t>
            </w:r>
            <w:r w:rsidRPr="00F50467">
              <w:rPr>
                <w:rFonts w:ascii="PingFang TC" w:eastAsia="PingFang TC" w:hAnsi="PingFang TC" w:cs="PingFang TC"/>
                <w:color w:val="0F1115"/>
                <w:sz w:val="18"/>
                <w:szCs w:val="18"/>
              </w:rPr>
              <w:t>定而乐观的存在，就像一道和煦的阳光，能自然而然地提升整个空间的幸福基线。当你和他们相处时，会不自觉地感觉世界简单美好了一些，那些小小的压力与烦恼也随之悄然消散。</w:t>
            </w:r>
          </w:p>
        </w:tc>
        <w:tc>
          <w:tcPr>
            <w:tcW w:w="1788" w:type="dxa"/>
            <w:tcBorders>
              <w:top w:val="nil"/>
              <w:left w:val="nil"/>
              <w:bottom w:val="nil"/>
              <w:right w:val="nil"/>
            </w:tcBorders>
            <w:shd w:val="clear" w:color="auto" w:fill="auto"/>
            <w:noWrap/>
            <w:vAlign w:val="center"/>
            <w:hideMark/>
          </w:tcPr>
          <w:p w14:paraId="400054E2"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人间小暖气，咯咯咯一笑，负面情绪全蒸发</w:t>
            </w:r>
          </w:p>
        </w:tc>
        <w:tc>
          <w:tcPr>
            <w:tcW w:w="1097" w:type="dxa"/>
            <w:tcBorders>
              <w:top w:val="nil"/>
              <w:left w:val="nil"/>
              <w:bottom w:val="nil"/>
              <w:right w:val="nil"/>
            </w:tcBorders>
            <w:shd w:val="clear" w:color="auto" w:fill="auto"/>
            <w:noWrap/>
            <w:vAlign w:val="center"/>
            <w:hideMark/>
          </w:tcPr>
          <w:p w14:paraId="67C547DA"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散发温暖能量，提升整体幸福感</w:t>
            </w:r>
          </w:p>
        </w:tc>
        <w:tc>
          <w:tcPr>
            <w:tcW w:w="1196" w:type="dxa"/>
            <w:tcBorders>
              <w:top w:val="nil"/>
              <w:left w:val="nil"/>
              <w:bottom w:val="nil"/>
              <w:right w:val="nil"/>
            </w:tcBorders>
            <w:shd w:val="clear" w:color="auto" w:fill="auto"/>
            <w:noWrap/>
            <w:vAlign w:val="center"/>
            <w:hideMark/>
          </w:tcPr>
          <w:p w14:paraId="166269AA"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乐观开朗、感染力强、情绪</w:t>
            </w:r>
            <w:r w:rsidRPr="00F50467">
              <w:rPr>
                <w:rFonts w:ascii="Heiti TC" w:eastAsia="Heiti TC" w:hAnsi="Heiti TC" w:cs="Heiti TC"/>
                <w:color w:val="0F1115"/>
                <w:sz w:val="18"/>
                <w:szCs w:val="18"/>
              </w:rPr>
              <w:t>稳</w:t>
            </w:r>
            <w:r w:rsidRPr="00F50467">
              <w:rPr>
                <w:rFonts w:ascii="PingFang TC" w:eastAsia="PingFang TC" w:hAnsi="PingFang TC" w:cs="PingFang TC"/>
                <w:color w:val="0F1115"/>
                <w:sz w:val="18"/>
                <w:szCs w:val="18"/>
              </w:rPr>
              <w:t>定</w:t>
            </w:r>
          </w:p>
        </w:tc>
      </w:tr>
      <w:tr w:rsidR="00F50467" w:rsidRPr="00F50467" w14:paraId="2EE2A229" w14:textId="77777777" w:rsidTr="00F50467">
        <w:trPr>
          <w:trHeight w:val="1800"/>
        </w:trPr>
        <w:tc>
          <w:tcPr>
            <w:tcW w:w="456" w:type="dxa"/>
            <w:tcBorders>
              <w:top w:val="nil"/>
              <w:left w:val="nil"/>
              <w:bottom w:val="nil"/>
              <w:right w:val="nil"/>
            </w:tcBorders>
            <w:shd w:val="clear" w:color="auto" w:fill="auto"/>
            <w:noWrap/>
            <w:vAlign w:val="center"/>
            <w:hideMark/>
          </w:tcPr>
          <w:p w14:paraId="33E47F8C"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定心大象</w:t>
            </w:r>
          </w:p>
        </w:tc>
        <w:tc>
          <w:tcPr>
            <w:tcW w:w="241" w:type="dxa"/>
            <w:tcBorders>
              <w:top w:val="nil"/>
              <w:left w:val="nil"/>
              <w:bottom w:val="nil"/>
              <w:right w:val="nil"/>
            </w:tcBorders>
            <w:shd w:val="clear" w:color="auto" w:fill="auto"/>
            <w:noWrap/>
            <w:vAlign w:val="center"/>
            <w:hideMark/>
          </w:tcPr>
          <w:p w14:paraId="5FFDF91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2D4AFD3E" w14:textId="3C760F79"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30E20B57"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象鼻定心锚</w:t>
            </w:r>
          </w:p>
        </w:tc>
        <w:tc>
          <w:tcPr>
            <w:tcW w:w="779" w:type="dxa"/>
            <w:tcBorders>
              <w:top w:val="nil"/>
              <w:left w:val="nil"/>
              <w:bottom w:val="nil"/>
              <w:right w:val="nil"/>
            </w:tcBorders>
            <w:shd w:val="clear" w:color="auto" w:fill="auto"/>
            <w:noWrap/>
            <w:vAlign w:val="center"/>
            <w:hideMark/>
          </w:tcPr>
          <w:p w14:paraId="6AD9DDF2"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让人安心的</w:t>
            </w:r>
            <w:r w:rsidRPr="00F50467">
              <w:rPr>
                <w:rFonts w:ascii="Heiti TC" w:eastAsia="Heiti TC" w:hAnsi="Heiti TC" w:cs="Heiti TC"/>
                <w:b/>
                <w:bCs/>
                <w:color w:val="0F1115"/>
                <w:sz w:val="18"/>
                <w:szCs w:val="18"/>
              </w:rPr>
              <w:t>稳</w:t>
            </w:r>
            <w:r w:rsidRPr="00F50467">
              <w:rPr>
                <w:rFonts w:ascii="PingFang TC" w:eastAsia="PingFang TC" w:hAnsi="PingFang TC" w:cs="PingFang TC"/>
                <w:b/>
                <w:bCs/>
                <w:color w:val="0F1115"/>
                <w:sz w:val="18"/>
                <w:szCs w:val="18"/>
              </w:rPr>
              <w:t>定后盾与守望者</w:t>
            </w:r>
          </w:p>
        </w:tc>
        <w:tc>
          <w:tcPr>
            <w:tcW w:w="2359" w:type="dxa"/>
            <w:tcBorders>
              <w:top w:val="nil"/>
              <w:left w:val="nil"/>
              <w:bottom w:val="nil"/>
              <w:right w:val="nil"/>
            </w:tcBorders>
            <w:shd w:val="clear" w:color="auto" w:fill="auto"/>
            <w:vAlign w:val="center"/>
            <w:hideMark/>
          </w:tcPr>
          <w:p w14:paraId="432488D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团队中温暖而坚实的后盾，天生具备一种让人心安的力量。他们或许不是话题的中心，但总是用细腻的观察力默默关怀着每个人，像一位无声的守护者，通过一个默契的眼神、一次及时的援手，为整个场域奠定下高度信任与安全的基调，让所有人都能安心地做自己。</w:t>
            </w:r>
          </w:p>
        </w:tc>
        <w:tc>
          <w:tcPr>
            <w:tcW w:w="1788" w:type="dxa"/>
            <w:tcBorders>
              <w:top w:val="nil"/>
              <w:left w:val="nil"/>
              <w:bottom w:val="nil"/>
              <w:right w:val="nil"/>
            </w:tcBorders>
            <w:shd w:val="clear" w:color="auto" w:fill="auto"/>
            <w:noWrap/>
            <w:vAlign w:val="center"/>
            <w:hideMark/>
          </w:tcPr>
          <w:p w14:paraId="6BA2B0F1"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团队定盘星，象鼻卷一卷，安全感立马拉满</w:t>
            </w:r>
          </w:p>
        </w:tc>
        <w:tc>
          <w:tcPr>
            <w:tcW w:w="1097" w:type="dxa"/>
            <w:tcBorders>
              <w:top w:val="nil"/>
              <w:left w:val="nil"/>
              <w:bottom w:val="nil"/>
              <w:right w:val="nil"/>
            </w:tcBorders>
            <w:shd w:val="clear" w:color="auto" w:fill="auto"/>
            <w:noWrap/>
            <w:vAlign w:val="center"/>
            <w:hideMark/>
          </w:tcPr>
          <w:p w14:paraId="5B6AEBA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提供</w:t>
            </w:r>
            <w:r w:rsidRPr="00F50467">
              <w:rPr>
                <w:rFonts w:ascii="Heiti TC" w:eastAsia="Heiti TC" w:hAnsi="Heiti TC" w:cs="Heiti TC"/>
                <w:color w:val="0F1115"/>
                <w:sz w:val="18"/>
                <w:szCs w:val="18"/>
              </w:rPr>
              <w:t>稳</w:t>
            </w:r>
            <w:r w:rsidRPr="00F50467">
              <w:rPr>
                <w:rFonts w:ascii="PingFang TC" w:eastAsia="PingFang TC" w:hAnsi="PingFang TC" w:cs="PingFang TC"/>
                <w:color w:val="0F1115"/>
                <w:sz w:val="18"/>
                <w:szCs w:val="18"/>
              </w:rPr>
              <w:t>定支持，奠定安心基调</w:t>
            </w:r>
          </w:p>
        </w:tc>
        <w:tc>
          <w:tcPr>
            <w:tcW w:w="1196" w:type="dxa"/>
            <w:tcBorders>
              <w:top w:val="nil"/>
              <w:left w:val="nil"/>
              <w:bottom w:val="nil"/>
              <w:right w:val="nil"/>
            </w:tcBorders>
            <w:shd w:val="clear" w:color="auto" w:fill="auto"/>
            <w:noWrap/>
            <w:vAlign w:val="center"/>
            <w:hideMark/>
          </w:tcPr>
          <w:p w14:paraId="2FDF91A1"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Heiti TC" w:eastAsia="Heiti TC" w:hAnsi="Heiti TC" w:cs="Heiti TC"/>
                <w:color w:val="0F1115"/>
                <w:sz w:val="18"/>
                <w:szCs w:val="18"/>
              </w:rPr>
              <w:t>稳</w:t>
            </w:r>
            <w:r w:rsidRPr="00F50467">
              <w:rPr>
                <w:rFonts w:ascii="PingFang TC" w:eastAsia="PingFang TC" w:hAnsi="PingFang TC" w:cs="PingFang TC"/>
                <w:color w:val="0F1115"/>
                <w:sz w:val="18"/>
                <w:szCs w:val="18"/>
              </w:rPr>
              <w:t>重可靠、包容豁达、给人安全感</w:t>
            </w:r>
          </w:p>
        </w:tc>
      </w:tr>
      <w:tr w:rsidR="00F50467" w:rsidRPr="00F50467" w14:paraId="1177AAF2" w14:textId="77777777" w:rsidTr="00F50467">
        <w:trPr>
          <w:trHeight w:val="1800"/>
        </w:trPr>
        <w:tc>
          <w:tcPr>
            <w:tcW w:w="456" w:type="dxa"/>
            <w:tcBorders>
              <w:top w:val="nil"/>
              <w:left w:val="nil"/>
              <w:bottom w:val="nil"/>
              <w:right w:val="nil"/>
            </w:tcBorders>
            <w:shd w:val="clear" w:color="auto" w:fill="auto"/>
            <w:noWrap/>
            <w:vAlign w:val="center"/>
            <w:hideMark/>
          </w:tcPr>
          <w:p w14:paraId="4773BC1C"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Heiti TC" w:eastAsia="Heiti TC" w:hAnsi="Heiti TC" w:cs="Heiti TC"/>
                <w:b/>
                <w:bCs/>
                <w:color w:val="0F1115"/>
                <w:sz w:val="18"/>
                <w:szCs w:val="18"/>
              </w:rPr>
              <w:t>稳</w:t>
            </w:r>
            <w:r w:rsidRPr="00F50467">
              <w:rPr>
                <w:rFonts w:ascii="PingFang TC" w:eastAsia="PingFang TC" w:hAnsi="PingFang TC" w:cs="PingFang TC"/>
                <w:b/>
                <w:bCs/>
                <w:color w:val="0F1115"/>
                <w:sz w:val="18"/>
                <w:szCs w:val="18"/>
              </w:rPr>
              <w:t>如龟</w:t>
            </w:r>
          </w:p>
        </w:tc>
        <w:tc>
          <w:tcPr>
            <w:tcW w:w="241" w:type="dxa"/>
            <w:tcBorders>
              <w:top w:val="nil"/>
              <w:left w:val="nil"/>
              <w:bottom w:val="nil"/>
              <w:right w:val="nil"/>
            </w:tcBorders>
            <w:shd w:val="clear" w:color="auto" w:fill="auto"/>
            <w:noWrap/>
            <w:vAlign w:val="center"/>
            <w:hideMark/>
          </w:tcPr>
          <w:p w14:paraId="3E04675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49FE8240" w14:textId="183C6AAE"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43D7A9D1"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慢语真知龟</w:t>
            </w:r>
          </w:p>
        </w:tc>
        <w:tc>
          <w:tcPr>
            <w:tcW w:w="779" w:type="dxa"/>
            <w:tcBorders>
              <w:top w:val="nil"/>
              <w:left w:val="nil"/>
              <w:bottom w:val="nil"/>
              <w:right w:val="nil"/>
            </w:tcBorders>
            <w:shd w:val="clear" w:color="auto" w:fill="auto"/>
            <w:noWrap/>
            <w:vAlign w:val="center"/>
            <w:hideMark/>
          </w:tcPr>
          <w:p w14:paraId="439A853A"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低频高质的洞察投放者</w:t>
            </w:r>
          </w:p>
        </w:tc>
        <w:tc>
          <w:tcPr>
            <w:tcW w:w="2359" w:type="dxa"/>
            <w:tcBorders>
              <w:top w:val="nil"/>
              <w:left w:val="nil"/>
              <w:bottom w:val="nil"/>
              <w:right w:val="nil"/>
            </w:tcBorders>
            <w:shd w:val="clear" w:color="auto" w:fill="auto"/>
            <w:vAlign w:val="center"/>
            <w:hideMark/>
          </w:tcPr>
          <w:p w14:paraId="19F5D4CB"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他们是社交中的深度思考者，信奉</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沉默是金，但真理是钻石</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。他们享受通过观察与倾听来参与社交，用一种更深刻的方式</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品尝</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对话。当他们经过深思熟</w:t>
            </w:r>
            <w:r w:rsidRPr="00F50467">
              <w:rPr>
                <w:rFonts w:ascii="Heiti TC" w:eastAsia="Heiti TC" w:hAnsi="Heiti TC" w:cs="Heiti TC"/>
                <w:color w:val="0F1115"/>
                <w:sz w:val="18"/>
                <w:szCs w:val="18"/>
              </w:rPr>
              <w:t>虑</w:t>
            </w:r>
            <w:r w:rsidRPr="00F50467">
              <w:rPr>
                <w:rFonts w:ascii="PingFang TC" w:eastAsia="PingFang TC" w:hAnsi="PingFang TC" w:cs="PingFang TC"/>
                <w:color w:val="0F1115"/>
                <w:sz w:val="18"/>
                <w:szCs w:val="18"/>
              </w:rPr>
              <w:t>终于开口时，往往能提供独一无二的视角或一针见血的总结，轻易推动对话进入一个更具洞察力的新层次。</w:t>
            </w:r>
          </w:p>
        </w:tc>
        <w:tc>
          <w:tcPr>
            <w:tcW w:w="1788" w:type="dxa"/>
            <w:tcBorders>
              <w:top w:val="nil"/>
              <w:left w:val="nil"/>
              <w:bottom w:val="nil"/>
              <w:right w:val="nil"/>
            </w:tcBorders>
            <w:shd w:val="clear" w:color="auto" w:fill="auto"/>
            <w:noWrap/>
            <w:vAlign w:val="center"/>
            <w:hideMark/>
          </w:tcPr>
          <w:p w14:paraId="06F1379B"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人间观察家，脖子伸一伸，一语道破万事皆</w:t>
            </w:r>
          </w:p>
        </w:tc>
        <w:tc>
          <w:tcPr>
            <w:tcW w:w="1097" w:type="dxa"/>
            <w:tcBorders>
              <w:top w:val="nil"/>
              <w:left w:val="nil"/>
              <w:bottom w:val="nil"/>
              <w:right w:val="nil"/>
            </w:tcBorders>
            <w:shd w:val="clear" w:color="auto" w:fill="auto"/>
            <w:noWrap/>
            <w:vAlign w:val="center"/>
            <w:hideMark/>
          </w:tcPr>
          <w:p w14:paraId="6EEEF03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提供深度洞察，贡献独到见解</w:t>
            </w:r>
          </w:p>
        </w:tc>
        <w:tc>
          <w:tcPr>
            <w:tcW w:w="1196" w:type="dxa"/>
            <w:tcBorders>
              <w:top w:val="nil"/>
              <w:left w:val="nil"/>
              <w:bottom w:val="nil"/>
              <w:right w:val="nil"/>
            </w:tcBorders>
            <w:shd w:val="clear" w:color="auto" w:fill="auto"/>
            <w:noWrap/>
            <w:vAlign w:val="center"/>
            <w:hideMark/>
          </w:tcPr>
          <w:p w14:paraId="5F81CBE3"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思考深入、言简意赅、洞察力强</w:t>
            </w:r>
          </w:p>
        </w:tc>
      </w:tr>
      <w:tr w:rsidR="00F50467" w:rsidRPr="00F50467" w14:paraId="17D520F3" w14:textId="77777777" w:rsidTr="00F50467">
        <w:trPr>
          <w:trHeight w:val="1800"/>
        </w:trPr>
        <w:tc>
          <w:tcPr>
            <w:tcW w:w="456" w:type="dxa"/>
            <w:tcBorders>
              <w:top w:val="nil"/>
              <w:left w:val="nil"/>
              <w:bottom w:val="nil"/>
              <w:right w:val="nil"/>
            </w:tcBorders>
            <w:shd w:val="clear" w:color="auto" w:fill="auto"/>
            <w:noWrap/>
            <w:vAlign w:val="center"/>
            <w:hideMark/>
          </w:tcPr>
          <w:p w14:paraId="36E5B379"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lastRenderedPageBreak/>
              <w:t>灵感章鱼</w:t>
            </w:r>
          </w:p>
        </w:tc>
        <w:tc>
          <w:tcPr>
            <w:tcW w:w="241" w:type="dxa"/>
            <w:tcBorders>
              <w:top w:val="nil"/>
              <w:left w:val="nil"/>
              <w:bottom w:val="nil"/>
              <w:right w:val="nil"/>
            </w:tcBorders>
            <w:shd w:val="clear" w:color="auto" w:fill="auto"/>
            <w:noWrap/>
            <w:vAlign w:val="center"/>
            <w:hideMark/>
          </w:tcPr>
          <w:p w14:paraId="2522ED38"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47F34307" w14:textId="60D540E4"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5A5F3A89"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脑洞喷墨章</w:t>
            </w:r>
          </w:p>
        </w:tc>
        <w:tc>
          <w:tcPr>
            <w:tcW w:w="779" w:type="dxa"/>
            <w:tcBorders>
              <w:top w:val="nil"/>
              <w:left w:val="nil"/>
              <w:bottom w:val="nil"/>
              <w:right w:val="nil"/>
            </w:tcBorders>
            <w:shd w:val="clear" w:color="auto" w:fill="auto"/>
            <w:noWrap/>
            <w:vAlign w:val="center"/>
            <w:hideMark/>
          </w:tcPr>
          <w:p w14:paraId="12556F31"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多线发散的创意喷射口</w:t>
            </w:r>
          </w:p>
        </w:tc>
        <w:tc>
          <w:tcPr>
            <w:tcW w:w="2359" w:type="dxa"/>
            <w:tcBorders>
              <w:top w:val="nil"/>
              <w:left w:val="nil"/>
              <w:bottom w:val="nil"/>
              <w:right w:val="nil"/>
            </w:tcBorders>
            <w:shd w:val="clear" w:color="auto" w:fill="auto"/>
            <w:vAlign w:val="center"/>
            <w:hideMark/>
          </w:tcPr>
          <w:p w14:paraId="729760F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的思维如同一个永不停歇的脑洞喷射器，总能从最平凡的事物中挖掘出令人惊叹的趣味。无论是一个异想天开的游戏设计，还是一个对寻常概念的绝妙比喻，他们总能凭借出其不意的幽默感和独特视角，为每一次聚会注入魔法般的惊喜与持续不断的新鲜感。</w:t>
            </w:r>
          </w:p>
        </w:tc>
        <w:tc>
          <w:tcPr>
            <w:tcW w:w="1788" w:type="dxa"/>
            <w:tcBorders>
              <w:top w:val="nil"/>
              <w:left w:val="nil"/>
              <w:bottom w:val="nil"/>
              <w:right w:val="nil"/>
            </w:tcBorders>
            <w:shd w:val="clear" w:color="auto" w:fill="auto"/>
            <w:noWrap/>
            <w:vAlign w:val="center"/>
            <w:hideMark/>
          </w:tcPr>
          <w:p w14:paraId="347016C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创意喷射器，触手伸一伸，奇妙点子八方来</w:t>
            </w:r>
          </w:p>
        </w:tc>
        <w:tc>
          <w:tcPr>
            <w:tcW w:w="1097" w:type="dxa"/>
            <w:tcBorders>
              <w:top w:val="nil"/>
              <w:left w:val="nil"/>
              <w:bottom w:val="nil"/>
              <w:right w:val="nil"/>
            </w:tcBorders>
            <w:shd w:val="clear" w:color="auto" w:fill="auto"/>
            <w:noWrap/>
            <w:vAlign w:val="center"/>
            <w:hideMark/>
          </w:tcPr>
          <w:p w14:paraId="4B27E1AF"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多线程发散思维，激发集体脑暴</w:t>
            </w:r>
          </w:p>
        </w:tc>
        <w:tc>
          <w:tcPr>
            <w:tcW w:w="1196" w:type="dxa"/>
            <w:tcBorders>
              <w:top w:val="nil"/>
              <w:left w:val="nil"/>
              <w:bottom w:val="nil"/>
              <w:right w:val="nil"/>
            </w:tcBorders>
            <w:shd w:val="clear" w:color="auto" w:fill="auto"/>
            <w:noWrap/>
            <w:vAlign w:val="center"/>
            <w:hideMark/>
          </w:tcPr>
          <w:p w14:paraId="5409D24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思维跳跃、联想丰富、创意无穷</w:t>
            </w:r>
          </w:p>
        </w:tc>
      </w:tr>
      <w:tr w:rsidR="00F50467" w:rsidRPr="00F50467" w14:paraId="79AE6199" w14:textId="77777777" w:rsidTr="00F50467">
        <w:trPr>
          <w:trHeight w:val="1800"/>
        </w:trPr>
        <w:tc>
          <w:tcPr>
            <w:tcW w:w="456" w:type="dxa"/>
            <w:tcBorders>
              <w:top w:val="nil"/>
              <w:left w:val="nil"/>
              <w:bottom w:val="nil"/>
              <w:right w:val="nil"/>
            </w:tcBorders>
            <w:shd w:val="clear" w:color="auto" w:fill="auto"/>
            <w:noWrap/>
            <w:vAlign w:val="center"/>
            <w:hideMark/>
          </w:tcPr>
          <w:p w14:paraId="665DC95D"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隐身猫</w:t>
            </w:r>
          </w:p>
        </w:tc>
        <w:tc>
          <w:tcPr>
            <w:tcW w:w="241" w:type="dxa"/>
            <w:tcBorders>
              <w:top w:val="nil"/>
              <w:left w:val="nil"/>
              <w:bottom w:val="nil"/>
              <w:right w:val="nil"/>
            </w:tcBorders>
            <w:shd w:val="clear" w:color="auto" w:fill="auto"/>
            <w:noWrap/>
            <w:vAlign w:val="center"/>
            <w:hideMark/>
          </w:tcPr>
          <w:p w14:paraId="3702F2BE"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Apple Color Emoji" w:eastAsia="Times New Roman" w:hAnsi="Apple Color Emoji" w:cs="Apple Color Emoji"/>
                <w:color w:val="0F1115"/>
                <w:sz w:val="18"/>
                <w:szCs w:val="18"/>
              </w:rPr>
              <w:t>🐱</w:t>
            </w:r>
          </w:p>
        </w:tc>
        <w:tc>
          <w:tcPr>
            <w:tcW w:w="555" w:type="dxa"/>
            <w:tcBorders>
              <w:top w:val="nil"/>
              <w:left w:val="nil"/>
              <w:bottom w:val="nil"/>
              <w:right w:val="nil"/>
            </w:tcBorders>
            <w:shd w:val="clear" w:color="auto" w:fill="auto"/>
            <w:noWrap/>
            <w:vAlign w:val="center"/>
            <w:hideMark/>
          </w:tcPr>
          <w:p w14:paraId="07272377" w14:textId="7027670E"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p>
        </w:tc>
        <w:tc>
          <w:tcPr>
            <w:tcW w:w="555" w:type="dxa"/>
            <w:tcBorders>
              <w:top w:val="nil"/>
              <w:left w:val="nil"/>
              <w:bottom w:val="nil"/>
              <w:right w:val="nil"/>
            </w:tcBorders>
            <w:shd w:val="clear" w:color="auto" w:fill="auto"/>
            <w:noWrap/>
            <w:vAlign w:val="center"/>
            <w:hideMark/>
          </w:tcPr>
          <w:p w14:paraId="038847CD"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安静伴伴猫</w:t>
            </w:r>
          </w:p>
        </w:tc>
        <w:tc>
          <w:tcPr>
            <w:tcW w:w="779" w:type="dxa"/>
            <w:tcBorders>
              <w:top w:val="nil"/>
              <w:left w:val="nil"/>
              <w:bottom w:val="nil"/>
              <w:right w:val="nil"/>
            </w:tcBorders>
            <w:shd w:val="clear" w:color="auto" w:fill="auto"/>
            <w:noWrap/>
            <w:vAlign w:val="center"/>
            <w:hideMark/>
          </w:tcPr>
          <w:p w14:paraId="1E374676" w14:textId="77777777" w:rsidR="00F50467" w:rsidRPr="00F50467" w:rsidRDefault="00F50467" w:rsidP="00F50467">
            <w:pPr>
              <w:spacing w:after="0" w:line="240" w:lineRule="auto"/>
              <w:jc w:val="center"/>
              <w:rPr>
                <w:rFonts w:ascii="Helvetica Neue" w:eastAsia="Times New Roman" w:hAnsi="Helvetica Neue" w:cs="Times New Roman"/>
                <w:b/>
                <w:bCs/>
                <w:color w:val="0F1115"/>
                <w:sz w:val="18"/>
                <w:szCs w:val="18"/>
              </w:rPr>
            </w:pPr>
            <w:r w:rsidRPr="00F50467">
              <w:rPr>
                <w:rFonts w:ascii="PingFang TC" w:eastAsia="PingFang TC" w:hAnsi="PingFang TC" w:cs="PingFang TC"/>
                <w:b/>
                <w:bCs/>
                <w:color w:val="0F1115"/>
                <w:sz w:val="18"/>
                <w:szCs w:val="18"/>
              </w:rPr>
              <w:t>低压陪伴的静默同在者</w:t>
            </w:r>
          </w:p>
        </w:tc>
        <w:tc>
          <w:tcPr>
            <w:tcW w:w="2359" w:type="dxa"/>
            <w:tcBorders>
              <w:top w:val="nil"/>
              <w:left w:val="nil"/>
              <w:bottom w:val="nil"/>
              <w:right w:val="nil"/>
            </w:tcBorders>
            <w:shd w:val="clear" w:color="auto" w:fill="auto"/>
            <w:vAlign w:val="center"/>
            <w:hideMark/>
          </w:tcPr>
          <w:p w14:paraId="4996DF2E"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他们是</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陪伴式社交</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的完美代言人，为</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社恐</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或社交能量低的用户提供了最舒适的身份认同。他们参与社交的核心目的并非交换信息，而是为了对抗孤独，享受一种</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共同存在</w:t>
            </w:r>
            <w:r w:rsidRPr="00F50467">
              <w:rPr>
                <w:rFonts w:ascii="Helvetica Neue" w:eastAsia="Times New Roman" w:hAnsi="Helvetica Neue" w:cs="Times New Roman"/>
                <w:color w:val="0F1115"/>
                <w:sz w:val="18"/>
                <w:szCs w:val="18"/>
              </w:rPr>
              <w:t>”</w:t>
            </w:r>
            <w:r w:rsidRPr="00F50467">
              <w:rPr>
                <w:rFonts w:ascii="PingFang TC" w:eastAsia="PingFang TC" w:hAnsi="PingFang TC" w:cs="PingFang TC"/>
                <w:color w:val="0F1115"/>
                <w:sz w:val="18"/>
                <w:szCs w:val="18"/>
              </w:rPr>
              <w:t>的温暖陪伴。他们的存在，如同一个安静而舒适的角落，让整个场域的氛围变得更加轻松和无压。</w:t>
            </w:r>
          </w:p>
        </w:tc>
        <w:tc>
          <w:tcPr>
            <w:tcW w:w="1788" w:type="dxa"/>
            <w:tcBorders>
              <w:top w:val="nil"/>
              <w:left w:val="nil"/>
              <w:bottom w:val="nil"/>
              <w:right w:val="nil"/>
            </w:tcBorders>
            <w:shd w:val="clear" w:color="auto" w:fill="auto"/>
            <w:noWrap/>
            <w:vAlign w:val="center"/>
            <w:hideMark/>
          </w:tcPr>
          <w:p w14:paraId="3BFCB809"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安静陪伴者，角落窝一窝，你在身边就快乐</w:t>
            </w:r>
          </w:p>
        </w:tc>
        <w:tc>
          <w:tcPr>
            <w:tcW w:w="1097" w:type="dxa"/>
            <w:tcBorders>
              <w:top w:val="nil"/>
              <w:left w:val="nil"/>
              <w:bottom w:val="nil"/>
              <w:right w:val="nil"/>
            </w:tcBorders>
            <w:shd w:val="clear" w:color="auto" w:fill="auto"/>
            <w:noWrap/>
            <w:vAlign w:val="center"/>
            <w:hideMark/>
          </w:tcPr>
          <w:p w14:paraId="692D0051"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提供安静陪伴，营造轻松氛围</w:t>
            </w:r>
          </w:p>
        </w:tc>
        <w:tc>
          <w:tcPr>
            <w:tcW w:w="1196" w:type="dxa"/>
            <w:tcBorders>
              <w:top w:val="nil"/>
              <w:left w:val="nil"/>
              <w:bottom w:val="nil"/>
              <w:right w:val="nil"/>
            </w:tcBorders>
            <w:shd w:val="clear" w:color="auto" w:fill="auto"/>
            <w:noWrap/>
            <w:vAlign w:val="center"/>
            <w:hideMark/>
          </w:tcPr>
          <w:p w14:paraId="7E721577" w14:textId="77777777" w:rsidR="00F50467" w:rsidRPr="00F50467" w:rsidRDefault="00F50467" w:rsidP="00F50467">
            <w:pPr>
              <w:spacing w:after="0" w:line="240" w:lineRule="auto"/>
              <w:jc w:val="center"/>
              <w:rPr>
                <w:rFonts w:ascii="Helvetica Neue" w:eastAsia="Times New Roman" w:hAnsi="Helvetica Neue" w:cs="Times New Roman"/>
                <w:color w:val="0F1115"/>
                <w:sz w:val="18"/>
                <w:szCs w:val="18"/>
              </w:rPr>
            </w:pPr>
            <w:r w:rsidRPr="00F50467">
              <w:rPr>
                <w:rFonts w:ascii="PingFang TC" w:eastAsia="PingFang TC" w:hAnsi="PingFang TC" w:cs="PingFang TC"/>
                <w:color w:val="0F1115"/>
                <w:sz w:val="18"/>
                <w:szCs w:val="18"/>
              </w:rPr>
              <w:t>存在感低、不施加压力、享受旁观</w:t>
            </w:r>
          </w:p>
        </w:tc>
      </w:tr>
    </w:tbl>
    <w:p w14:paraId="616CB6DC" w14:textId="77777777" w:rsidR="00D40D7A" w:rsidRPr="00F50467" w:rsidRDefault="00D40D7A">
      <w:pPr>
        <w:rPr>
          <w:sz w:val="18"/>
          <w:szCs w:val="18"/>
        </w:rPr>
      </w:pPr>
    </w:p>
    <w:sectPr w:rsidR="00D40D7A" w:rsidRPr="00F50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PingFang TC">
    <w:panose1 w:val="020B0400000000000000"/>
    <w:charset w:val="88"/>
    <w:family w:val="swiss"/>
    <w:pitch w:val="variable"/>
    <w:sig w:usb0="A00002FF" w:usb1="7ACFFDFB" w:usb2="00000017" w:usb3="00000000" w:csb0="00100001"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467"/>
    <w:rsid w:val="00173FD6"/>
    <w:rsid w:val="00D40D7A"/>
    <w:rsid w:val="00E12A3B"/>
    <w:rsid w:val="00E13E60"/>
    <w:rsid w:val="00F5046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B8B7"/>
  <w15:chartTrackingRefBased/>
  <w15:docId w15:val="{77E91583-4F68-3A41-BE19-4E8135B5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paragraph" w:styleId="Heading1">
    <w:name w:val="heading 1"/>
    <w:basedOn w:val="Normal"/>
    <w:next w:val="Normal"/>
    <w:link w:val="Heading1Char"/>
    <w:uiPriority w:val="9"/>
    <w:qFormat/>
    <w:rsid w:val="00F50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467"/>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F5046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F5046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50467"/>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F50467"/>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50467"/>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F50467"/>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F50467"/>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F50467"/>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F5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46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5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46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50467"/>
    <w:pPr>
      <w:spacing w:before="160"/>
      <w:jc w:val="center"/>
    </w:pPr>
    <w:rPr>
      <w:i/>
      <w:iCs/>
      <w:color w:val="404040" w:themeColor="text1" w:themeTint="BF"/>
    </w:rPr>
  </w:style>
  <w:style w:type="character" w:customStyle="1" w:styleId="QuoteChar">
    <w:name w:val="Quote Char"/>
    <w:basedOn w:val="DefaultParagraphFont"/>
    <w:link w:val="Quote"/>
    <w:uiPriority w:val="29"/>
    <w:rsid w:val="00F50467"/>
    <w:rPr>
      <w:i/>
      <w:iCs/>
      <w:color w:val="404040" w:themeColor="text1" w:themeTint="BF"/>
      <w:kern w:val="0"/>
      <w14:ligatures w14:val="none"/>
    </w:rPr>
  </w:style>
  <w:style w:type="paragraph" w:styleId="ListParagraph">
    <w:name w:val="List Paragraph"/>
    <w:basedOn w:val="Normal"/>
    <w:uiPriority w:val="34"/>
    <w:qFormat/>
    <w:rsid w:val="00F50467"/>
    <w:pPr>
      <w:ind w:left="720"/>
      <w:contextualSpacing/>
    </w:pPr>
  </w:style>
  <w:style w:type="character" w:styleId="IntenseEmphasis">
    <w:name w:val="Intense Emphasis"/>
    <w:basedOn w:val="DefaultParagraphFont"/>
    <w:uiPriority w:val="21"/>
    <w:qFormat/>
    <w:rsid w:val="00F50467"/>
    <w:rPr>
      <w:i/>
      <w:iCs/>
      <w:color w:val="0F4761" w:themeColor="accent1" w:themeShade="BF"/>
    </w:rPr>
  </w:style>
  <w:style w:type="paragraph" w:styleId="IntenseQuote">
    <w:name w:val="Intense Quote"/>
    <w:basedOn w:val="Normal"/>
    <w:next w:val="Normal"/>
    <w:link w:val="IntenseQuoteChar"/>
    <w:uiPriority w:val="30"/>
    <w:qFormat/>
    <w:rsid w:val="00F50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467"/>
    <w:rPr>
      <w:i/>
      <w:iCs/>
      <w:color w:val="0F4761" w:themeColor="accent1" w:themeShade="BF"/>
      <w:kern w:val="0"/>
      <w14:ligatures w14:val="none"/>
    </w:rPr>
  </w:style>
  <w:style w:type="character" w:styleId="IntenseReference">
    <w:name w:val="Intense Reference"/>
    <w:basedOn w:val="DefaultParagraphFont"/>
    <w:uiPriority w:val="32"/>
    <w:qFormat/>
    <w:rsid w:val="00F50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99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1</cp:revision>
  <dcterms:created xsi:type="dcterms:W3CDTF">2025-11-24T11:12:00Z</dcterms:created>
  <dcterms:modified xsi:type="dcterms:W3CDTF">2025-11-24T11:14:00Z</dcterms:modified>
</cp:coreProperties>
</file>