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District Assemblies 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Mr. Mensah (Grandpa),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TL;DR: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analyzes the performance of district assemblies across various indicators. The top five districts based on total scores are Bodie, Sefwi Akontombra, Ejura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Sekyeredumase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Sefwi Wiawso Municipal, and Adansi North, with Bodie leading the rankings. The Western Region houses the highest number of top-performing districts, followed by Ashanti. The report also highlights the best districts under the birth registration indicator, with Bodie leading once again. This detailed analysis provides a comprehensive view of district-level performance to aid in decision-making.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Paragraph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District Ranking by Total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 five districts ranked by total score are: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Bodie (Western Region) - 481 points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Sefwi Akontombra (Western Region) - 427 points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Sekyeredumase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(Ashanti Region) - 412 points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Sefwi Wiawso Municipal (Western Region) - 368 points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Adansi North (Ashanti Region) - 353 points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Paragraph 2: 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Regional 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Western Region stands out with three districts (Bodie, Sefwi Akontombra, and Sefwi Wiawso Municipal) in the top five. The Ashanti Region follows with two districts (Ejura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Sekyeredumase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Adansi North) in the top five, showcasing the strong performance of these regions in the overall district rankings.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Paragraph 3: 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Best Performing Districts in Birth Registration 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 ten districts under the birth registration indicator are: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Bodie (Western Region) - 212 birth registrations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Sefwi Akontombra (Western Region) - 196 birth registrations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Wassa Amenfi Central (Western Region) - 153 birth registrations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Obuasi Municipal (Ashanti Region) - 145 birth registrations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Atwima Kwanwoma (Ashanti Region) - 137 birth registrations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Wassa Amenfi East (Western Region) - 133 birth registrations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Adansi North (Ashanti Region) - 133 birth registrations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Birim North (Eastern Region) - 133 birth registrations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Sefwi Wiawso Municipal (Western Region) - 121 birth registrations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Sekyeredumase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(Ashanti Region) - 120 birth registrations</w:t>
      </w:r>
    </w:p>
    <w:p w:rsidR="00000000" w:rsidDel="00000000" w:rsidP="00000000" w:rsidRDefault="00000000" w:rsidRPr="00000000" w14:paraId="00000021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Paragraph 4:</w:t>
      </w:r>
    </w:p>
    <w:p w:rsidR="00000000" w:rsidDel="00000000" w:rsidP="00000000" w:rsidRDefault="00000000" w:rsidRPr="00000000" w14:paraId="0000002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Additional Insights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Western Region emerges as the dominant performer, both in overall scores and in specific indicators like birth registration.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Ashanti Region also shows significant achievements, particularly in the districts of Ejura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Sekyeredumase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Adansi North.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high ranking of multiple districts from the Western Region suggests effective governance and administration in these areas, which could be a model for other regions.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Further reading: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detailed insights and to explore the data visually, you can access the complete report and supporting documents here: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cc4125"/>
            <w:sz w:val="24"/>
            <w:szCs w:val="24"/>
            <w:u w:val="single"/>
            <w:rtl w:val="0"/>
          </w:rPr>
          <w:t xml:space="preserve">Full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cc4125"/>
            <w:sz w:val="24"/>
            <w:szCs w:val="24"/>
            <w:u w:val="single"/>
            <w:rtl w:val="0"/>
          </w:rPr>
          <w:t xml:space="preserve">Table Used for the Analysis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d5QpGFB-D2fkFcqeRHG29scMQ4Oklvu/view?usp=sharing" TargetMode="External"/><Relationship Id="rId7" Type="http://schemas.openxmlformats.org/officeDocument/2006/relationships/hyperlink" Target="https://docs.google.com/spreadsheets/d/1tT7wlvcxDe0VmY8nL-xZ015YPQ7j9DOw/edit?usp=sharing&amp;ouid=10927292088060585401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