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18EDC">
      <w:pPr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sz w:val="24"/>
        </w:rPr>
        <w:t>INTERNATIONAL CYBERSECURITY AND DIGITAL FORENSICS ACADEMY (ICDFA)</w:t>
      </w:r>
    </w:p>
    <w:p w14:paraId="4BFD6FD8">
      <w:pPr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</w:rPr>
        <w:t>Course 1: GRC101 - Introduction to Governance, Risk, and Compliance</w:t>
      </w:r>
    </w:p>
    <w:p w14:paraId="74ED1F02">
      <w:pPr>
        <w:pStyle w:val="165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Week 3 Lab Assignment: Risk Management Fundamentals</w:t>
      </w:r>
    </w:p>
    <w:p w14:paraId="79AE0424">
      <w:pPr>
        <w:pStyle w:val="167"/>
        <w:rPr>
          <w:rFonts w:hint="default" w:ascii="Cambria" w:hAnsi="Cambria" w:cs="Cambria"/>
          <w:b/>
          <w:bCs w:val="0"/>
          <w:sz w:val="24"/>
          <w:szCs w:val="24"/>
        </w:rPr>
      </w:pPr>
    </w:p>
    <w:p w14:paraId="4BEEB912">
      <w:pPr>
        <w:pStyle w:val="167"/>
        <w:rPr>
          <w:rFonts w:hint="default" w:ascii="Cambria" w:hAnsi="Cambria" w:cs="Cambria"/>
          <w:b/>
          <w:bCs w:val="0"/>
          <w:sz w:val="24"/>
          <w:szCs w:val="24"/>
          <w:lang w:val="en-US"/>
        </w:rPr>
      </w:pPr>
      <w:r>
        <w:rPr>
          <w:rFonts w:hint="default" w:ascii="Cambria" w:hAnsi="Cambria" w:cs="Cambria"/>
          <w:b/>
          <w:bCs w:val="0"/>
          <w:sz w:val="24"/>
          <w:szCs w:val="24"/>
        </w:rPr>
        <w:t xml:space="preserve">Student Name: </w:t>
      </w:r>
      <w:r>
        <w:rPr>
          <w:rFonts w:hint="default" w:ascii="Cambria" w:hAnsi="Cambria" w:cs="Cambria"/>
          <w:b/>
          <w:bCs w:val="0"/>
          <w:sz w:val="24"/>
          <w:szCs w:val="24"/>
          <w:lang w:val="en-US"/>
        </w:rPr>
        <w:t>JOY ORILADE</w:t>
      </w:r>
    </w:p>
    <w:p w14:paraId="13DE6540">
      <w:pPr>
        <w:pStyle w:val="167"/>
        <w:rPr>
          <w:rFonts w:hint="default" w:ascii="Cambria" w:hAnsi="Cambria" w:cs="Cambria"/>
          <w:b/>
          <w:bCs w:val="0"/>
          <w:sz w:val="24"/>
          <w:szCs w:val="24"/>
        </w:rPr>
      </w:pPr>
      <w:r>
        <w:rPr>
          <w:rFonts w:hint="default" w:ascii="Cambria" w:hAnsi="Cambria" w:cs="Cambria"/>
          <w:b/>
          <w:bCs w:val="0"/>
          <w:sz w:val="24"/>
          <w:szCs w:val="24"/>
        </w:rPr>
        <w:t xml:space="preserve">Date: </w:t>
      </w:r>
      <w:r>
        <w:rPr>
          <w:rFonts w:hint="default" w:ascii="Cambria" w:hAnsi="Cambria" w:cs="Cambria"/>
          <w:b/>
          <w:bCs w:val="0"/>
          <w:sz w:val="24"/>
          <w:szCs w:val="24"/>
          <w:lang w:val="en-US"/>
        </w:rPr>
        <w:t xml:space="preserve"> 28</w:t>
      </w:r>
      <w:r>
        <w:rPr>
          <w:rFonts w:hint="default" w:ascii="Cambria" w:hAnsi="Cambria" w:cs="Cambria"/>
          <w:b/>
          <w:bCs w:val="0"/>
          <w:sz w:val="24"/>
          <w:szCs w:val="24"/>
          <w:vertAlign w:val="superscript"/>
          <w:lang w:val="en-US"/>
        </w:rPr>
        <w:t>th</w:t>
      </w:r>
      <w:r>
        <w:rPr>
          <w:rFonts w:hint="default" w:ascii="Cambria" w:hAnsi="Cambria" w:cs="Cambria"/>
          <w:b/>
          <w:bCs w:val="0"/>
          <w:sz w:val="24"/>
          <w:szCs w:val="24"/>
          <w:lang w:val="en-US"/>
        </w:rPr>
        <w:t xml:space="preserve">  Jan, 2026</w:t>
      </w:r>
      <w:r>
        <w:rPr>
          <w:rFonts w:hint="default" w:ascii="Cambria" w:hAnsi="Cambria" w:cs="Cambria"/>
          <w:b/>
          <w:bCs w:val="0"/>
          <w:sz w:val="24"/>
          <w:szCs w:val="24"/>
        </w:rPr>
        <w:br w:type="textWrapping"/>
      </w:r>
      <w:r>
        <w:rPr>
          <w:rFonts w:hint="default" w:ascii="Cambria" w:hAnsi="Cambria" w:cs="Cambria"/>
          <w:b/>
          <w:bCs w:val="0"/>
          <w:sz w:val="24"/>
          <w:szCs w:val="24"/>
        </w:rPr>
        <w:t xml:space="preserve">Instructor: </w:t>
      </w:r>
      <w:r>
        <w:rPr>
          <w:rFonts w:hint="default" w:ascii="Cambria" w:hAnsi="Cambria" w:eastAsia="Cambria" w:cs="Cambria"/>
          <w:b/>
          <w:bCs w:val="0"/>
          <w:color w:val="000000"/>
          <w:kern w:val="0"/>
          <w:sz w:val="24"/>
          <w:szCs w:val="24"/>
          <w:lang w:val="en-US" w:eastAsia="zh-CN" w:bidi="ar"/>
        </w:rPr>
        <w:t>Com Idris Aminu</w:t>
      </w:r>
    </w:p>
    <w:p w14:paraId="7AB90196">
      <w:pPr>
        <w:pStyle w:val="167"/>
        <w:rPr>
          <w:rFonts w:hint="default" w:ascii="Cambria" w:hAnsi="Cambria" w:cs="Cambria"/>
        </w:rPr>
      </w:pPr>
    </w:p>
    <w:p w14:paraId="4D3AE908">
      <w:pPr>
        <w:rPr>
          <w:rFonts w:hint="default" w:ascii="Cambria" w:hAnsi="Cambria" w:cs="Cambria"/>
        </w:rPr>
      </w:pPr>
    </w:p>
    <w:p w14:paraId="0D13B8D2">
      <w:pPr>
        <w:pStyle w:val="166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Lab Objectives:</w:t>
      </w:r>
    </w:p>
    <w:p w14:paraId="1CC19E0A">
      <w:pPr>
        <w:pStyle w:val="167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This lab assignment is designed to help you:</w:t>
      </w:r>
    </w:p>
    <w:p w14:paraId="521E98EA">
      <w:pPr>
        <w:pStyle w:val="23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Understand the fundamental concepts of risk management in cybersecurity</w:t>
      </w:r>
    </w:p>
    <w:p w14:paraId="6B7EBCB8">
      <w:pPr>
        <w:pStyle w:val="23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Apply risk identification, assessment, and mitigation methodologies</w:t>
      </w:r>
    </w:p>
    <w:p w14:paraId="5FEDDEF4">
      <w:pPr>
        <w:pStyle w:val="23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Develop skills in creating risk matrices and prioritizing risks</w:t>
      </w:r>
    </w:p>
    <w:p w14:paraId="2CE8D30C">
      <w:pPr>
        <w:pStyle w:val="23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Gain practical experience in developing risk treatment plans</w:t>
      </w:r>
    </w:p>
    <w:p w14:paraId="2632382A">
      <w:pPr>
        <w:rPr>
          <w:rFonts w:hint="default" w:ascii="Cambria" w:hAnsi="Cambria" w:cs="Cambria"/>
        </w:rPr>
      </w:pPr>
    </w:p>
    <w:p w14:paraId="407410AD">
      <w:pPr>
        <w:pStyle w:val="166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Instructions:</w:t>
      </w:r>
    </w:p>
    <w:p w14:paraId="74C22620">
      <w:pPr>
        <w:pStyle w:val="167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Complete all parts of this lab assignment. Submit your completed document to your instructor by the due date. All answers should be typed directly into this document.</w:t>
      </w:r>
    </w:p>
    <w:p w14:paraId="5F88BCCB">
      <w:pPr>
        <w:rPr>
          <w:rFonts w:hint="default" w:ascii="Cambria" w:hAnsi="Cambria" w:cs="Cambria"/>
        </w:rPr>
      </w:pPr>
    </w:p>
    <w:p w14:paraId="3E4FC3A8">
      <w:pPr>
        <w:pStyle w:val="166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Part 1: Risk Management Concepts (20 points)</w:t>
      </w:r>
    </w:p>
    <w:p w14:paraId="0B1D7506">
      <w:pPr>
        <w:pStyle w:val="167"/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</w:rPr>
        <w:t>1. Define the following terms in your own words and explain their relationship to each other: risk, threat, vulnerability, impact, and likelihood. (10 points)</w:t>
      </w:r>
    </w:p>
    <w:p w14:paraId="6CA3000A">
      <w:pPr>
        <w:pStyle w:val="167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Answer:</w:t>
      </w:r>
    </w:p>
    <w:p w14:paraId="118CBC0D">
      <w:pPr>
        <w:pStyle w:val="3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Risk: is the chance that a system could be exploited or a threat can successfully exploit a weakness and causes harm and reflects potential adverse impacts on operations, assets, people, reputation of the organization.</w:t>
      </w:r>
    </w:p>
    <w:p w14:paraId="2673B645">
      <w:pPr>
        <w:pStyle w:val="3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Threat: is something that can cause harm</w:t>
      </w:r>
    </w:p>
    <w:p w14:paraId="2372B5E9">
      <w:pPr>
        <w:pStyle w:val="3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Vulnerability: it is a weakness </w:t>
      </w:r>
      <w:r>
        <w:rPr>
          <w:rFonts w:hint="default" w:ascii="Cambria" w:hAnsi="Cambria" w:cs="Cambria"/>
          <w:lang w:val="en-US"/>
        </w:rPr>
        <w:t xml:space="preserve">in a system </w:t>
      </w:r>
      <w:r>
        <w:rPr>
          <w:rFonts w:hint="default" w:ascii="Cambria" w:hAnsi="Cambria" w:cs="Cambria"/>
        </w:rPr>
        <w:t xml:space="preserve">that </w:t>
      </w:r>
      <w:r>
        <w:rPr>
          <w:rFonts w:hint="default" w:ascii="Cambria" w:hAnsi="Cambria" w:cs="Cambria"/>
          <w:lang w:val="en-US"/>
        </w:rPr>
        <w:t>a threat can</w:t>
      </w:r>
      <w:r>
        <w:rPr>
          <w:rFonts w:hint="default" w:ascii="Cambria" w:hAnsi="Cambria" w:cs="Cambria"/>
        </w:rPr>
        <w:t xml:space="preserve"> exploit</w:t>
      </w:r>
    </w:p>
    <w:p w14:paraId="1B02881B">
      <w:pPr>
        <w:pStyle w:val="3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Impact:</w:t>
      </w:r>
      <w:r>
        <w:rPr>
          <w:rFonts w:hint="default" w:ascii="Cambria" w:hAnsi="Cambria" w:cs="Cambria"/>
          <w:lang w:val="en-US"/>
        </w:rPr>
        <w:t xml:space="preserve"> i</w:t>
      </w:r>
      <w:r>
        <w:rPr>
          <w:rFonts w:hint="default" w:ascii="Cambria" w:hAnsi="Cambria" w:cs="Cambria"/>
        </w:rPr>
        <w:t>s the extent of damage</w:t>
      </w:r>
      <w:r>
        <w:rPr>
          <w:rFonts w:hint="default" w:ascii="Cambria" w:hAnsi="Cambria" w:cs="Cambria"/>
          <w:lang w:val="en-US"/>
        </w:rPr>
        <w:t>, i</w:t>
      </w:r>
      <w:r>
        <w:rPr>
          <w:rFonts w:hint="default" w:ascii="Cambria" w:hAnsi="Cambria" w:cs="Cambria"/>
        </w:rPr>
        <w:t>f the threat successfully exploits the vulnerability</w:t>
      </w:r>
    </w:p>
    <w:p w14:paraId="5B0B70B8">
      <w:pPr>
        <w:pStyle w:val="3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Likelihood: it is the likely how a threat occur which could be high, medium and low. </w:t>
      </w:r>
      <w:r>
        <w:rPr>
          <w:rFonts w:hint="default" w:ascii="Cambria" w:hAnsi="Cambria" w:cs="Cambria"/>
        </w:rPr>
        <w:t>It depends on factors like threat activity, system exposure, and existing security controls.</w:t>
      </w:r>
    </w:p>
    <w:p w14:paraId="38A24652">
      <w:pPr>
        <w:pStyle w:val="33"/>
        <w:keepNext w:val="0"/>
        <w:keepLines w:val="0"/>
        <w:widowControl/>
        <w:suppressLineNumbers w:val="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</w:rPr>
        <w:t xml:space="preserve">Risk </w:t>
      </w:r>
      <w:r>
        <w:rPr>
          <w:rFonts w:hint="default" w:ascii="Cambria" w:hAnsi="Cambria" w:cs="Cambria"/>
          <w:lang w:val="en-US"/>
        </w:rPr>
        <w:t>= Threat * Vulnerability * likelihood * impact</w:t>
      </w:r>
    </w:p>
    <w:p w14:paraId="3DBBFA98">
      <w:pPr>
        <w:pStyle w:val="167"/>
        <w:rPr>
          <w:rFonts w:hint="default" w:ascii="Cambria" w:hAnsi="Cambria" w:cs="Cambria"/>
          <w:b/>
        </w:rPr>
      </w:pPr>
    </w:p>
    <w:p w14:paraId="25FACDC1">
      <w:pPr>
        <w:pStyle w:val="167"/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</w:rPr>
        <w:t>2. Compare and contrast qualitative and quantitative risk assessment methodologies. What are the advantages and disadvantages of each approach? When would you recommend using one over the other? (10 points)</w:t>
      </w:r>
    </w:p>
    <w:p w14:paraId="6045E15F">
      <w:pPr>
        <w:pStyle w:val="167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Answer:</w:t>
      </w:r>
    </w:p>
    <w:tbl>
      <w:tblPr>
        <w:tblStyle w:val="36"/>
        <w:tblW w:w="102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463"/>
        <w:gridCol w:w="4750"/>
      </w:tblGrid>
      <w:tr w14:paraId="6588F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463" w:type="dxa"/>
          </w:tcPr>
          <w:p w14:paraId="0D8FBA32">
            <w:pPr>
              <w:rPr>
                <w:rFonts w:hint="default" w:ascii="Cambria" w:hAnsi="Cambria" w:cs="Cambria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Qualitative risk assessment</w:t>
            </w:r>
          </w:p>
        </w:tc>
        <w:tc>
          <w:tcPr>
            <w:tcW w:w="4750" w:type="dxa"/>
          </w:tcPr>
          <w:p w14:paraId="1B734C3E">
            <w:pPr>
              <w:rPr>
                <w:rFonts w:hint="default" w:ascii="Cambria" w:hAnsi="Cambria" w:cs="Cambria"/>
                <w:vertAlign w:val="baseline"/>
              </w:rPr>
            </w:pPr>
            <w:r>
              <w:rPr>
                <w:rFonts w:hint="default" w:ascii="Cambria" w:hAnsi="Cambria" w:cs="Cambria"/>
                <w:b/>
                <w:lang w:val="en-US"/>
              </w:rPr>
              <w:t>Q</w:t>
            </w:r>
            <w:r>
              <w:rPr>
                <w:rFonts w:hint="default" w:ascii="Cambria" w:hAnsi="Cambria" w:cs="Cambria"/>
                <w:b/>
              </w:rPr>
              <w:t>uantitative risk assessment</w:t>
            </w:r>
          </w:p>
        </w:tc>
      </w:tr>
      <w:tr w14:paraId="7F38A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775" w:hRule="atLeast"/>
        </w:trPr>
        <w:tc>
          <w:tcPr>
            <w:tcW w:w="5463" w:type="dxa"/>
          </w:tcPr>
          <w:p w14:paraId="70CFAE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It uses descriptive scales and expert judgment to evaluate risks. </w:t>
            </w:r>
          </w:p>
          <w:p w14:paraId="113397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  <w:p w14:paraId="25E4B9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This approach is often used when quantitative data is limited or when a rapid assessment is needed. </w:t>
            </w:r>
          </w:p>
          <w:p w14:paraId="28FEBC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  <w:p w14:paraId="604CC0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Qualitative assessments typically use scales such as "high," "medium," and "low" to describe the likelihood and impact </w:t>
            </w:r>
          </w:p>
          <w:p w14:paraId="74450C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  <w:vertAlign w:val="baseline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>of risks.</w:t>
            </w:r>
          </w:p>
        </w:tc>
        <w:tc>
          <w:tcPr>
            <w:tcW w:w="4750" w:type="dxa"/>
          </w:tcPr>
          <w:p w14:paraId="58CC5B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it uses numerical data and statistical analysis to evaluate risks. </w:t>
            </w:r>
          </w:p>
          <w:p w14:paraId="236BC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  <w:p w14:paraId="0D1491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This approach provides more precise estimates of risk exposure and enables sophisticated analysis of risk scenarios. </w:t>
            </w:r>
          </w:p>
          <w:p w14:paraId="707DA5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  <w:p w14:paraId="506975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  <w:vertAlign w:val="baseline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>Quantitative assessments typically express risk in terms of probability and monetary impact.</w:t>
            </w:r>
          </w:p>
        </w:tc>
      </w:tr>
    </w:tbl>
    <w:p w14:paraId="18E5A171">
      <w:pPr>
        <w:rPr>
          <w:rFonts w:hint="default" w:ascii="Cambria" w:hAnsi="Cambria" w:cs="Cambria"/>
        </w:rPr>
      </w:pPr>
    </w:p>
    <w:tbl>
      <w:tblPr>
        <w:tblStyle w:val="36"/>
        <w:tblW w:w="102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38"/>
        <w:gridCol w:w="4046"/>
        <w:gridCol w:w="3854"/>
      </w:tblGrid>
      <w:tr w14:paraId="6C1CB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38" w:type="dxa"/>
          </w:tcPr>
          <w:p w14:paraId="403B1B4C">
            <w:pPr>
              <w:jc w:val="center"/>
              <w:rPr>
                <w:rFonts w:hint="default" w:ascii="Cambria" w:hAnsi="Cambria" w:cs="Cambria"/>
                <w:b/>
                <w:bCs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vertAlign w:val="baseline"/>
                <w:lang w:val="en-US"/>
              </w:rPr>
              <w:t>Methodologies</w:t>
            </w:r>
          </w:p>
        </w:tc>
        <w:tc>
          <w:tcPr>
            <w:tcW w:w="4046" w:type="dxa"/>
          </w:tcPr>
          <w:p w14:paraId="7EEE7D29">
            <w:pPr>
              <w:jc w:val="center"/>
              <w:rPr>
                <w:rFonts w:hint="default" w:ascii="Cambria" w:hAnsi="Cambria" w:cs="Cambria"/>
                <w:b/>
                <w:bCs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vertAlign w:val="baseline"/>
                <w:lang w:val="en-US"/>
              </w:rPr>
              <w:t>Advantages</w:t>
            </w:r>
          </w:p>
        </w:tc>
        <w:tc>
          <w:tcPr>
            <w:tcW w:w="3854" w:type="dxa"/>
          </w:tcPr>
          <w:p w14:paraId="44A50036">
            <w:pPr>
              <w:jc w:val="center"/>
              <w:rPr>
                <w:rFonts w:hint="default" w:ascii="Cambria" w:hAnsi="Cambria" w:cs="Cambria"/>
                <w:b/>
                <w:bCs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vertAlign w:val="baseline"/>
                <w:lang w:val="en-US"/>
              </w:rPr>
              <w:t>Disadvantages</w:t>
            </w:r>
          </w:p>
        </w:tc>
      </w:tr>
      <w:tr w14:paraId="4B278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38" w:type="dxa"/>
          </w:tcPr>
          <w:p w14:paraId="63E77D59">
            <w:pPr>
              <w:rPr>
                <w:rFonts w:hint="default" w:ascii="Cambria" w:hAnsi="Cambria" w:cs="Cambria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Qualitative assessments</w:t>
            </w:r>
          </w:p>
        </w:tc>
        <w:tc>
          <w:tcPr>
            <w:tcW w:w="4046" w:type="dxa"/>
          </w:tcPr>
          <w:p w14:paraId="6CDCF41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jc w:val="both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>its simplicity, speed, and accessibility to non</w:t>
            </w: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/>
            </w:r>
          </w:p>
          <w:p w14:paraId="6ACCD0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>technical stakeholders</w:t>
            </w:r>
          </w:p>
          <w:p w14:paraId="7759CC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  <w:p w14:paraId="2775F70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ind w:left="0" w:leftChars="0" w:firstLine="0" w:firstLineChars="0"/>
              <w:jc w:val="both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It can be conducted with limited data and resources, and the results are easy to </w:t>
            </w:r>
          </w:p>
          <w:p w14:paraId="74F270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>understand and communicate.</w:t>
            </w:r>
          </w:p>
          <w:p w14:paraId="15F6AC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  <w:p w14:paraId="3A236D7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ind w:left="0" w:leftChars="0" w:firstLine="0" w:firstLineChars="0"/>
              <w:jc w:val="both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its useful for initial risk screening and </w:t>
            </w:r>
          </w:p>
          <w:p w14:paraId="651D16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mbria" w:hAnsi="Cambria" w:cs="Cambria"/>
                <w:sz w:val="22"/>
                <w:szCs w:val="22"/>
                <w:vertAlign w:val="baseline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>for situations where precise quantification is not necessary or feasible</w:t>
            </w: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  <w:tc>
          <w:tcPr>
            <w:tcW w:w="3854" w:type="dxa"/>
          </w:tcPr>
          <w:p w14:paraId="6A39830E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>The results are subjective and may vary depending on the assessor's experience and perspective.</w:t>
            </w:r>
          </w:p>
          <w:p w14:paraId="588418A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</w:p>
          <w:p w14:paraId="1CC166D2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It can be difficult to compare risks across different categories or to make precise resource allocation decisions based on qualitative assessments.</w:t>
            </w:r>
          </w:p>
          <w:p w14:paraId="7C9ADBD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4758B7D6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It may not provide sufficient detail for complex risk scenarios or </w:t>
            </w:r>
          </w:p>
          <w:p w14:paraId="08240C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  <w:vertAlign w:val="baseline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>regulatory requirements.</w:t>
            </w:r>
          </w:p>
        </w:tc>
      </w:tr>
      <w:tr w14:paraId="090E1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38" w:type="dxa"/>
          </w:tcPr>
          <w:p w14:paraId="708EC8DC">
            <w:pPr>
              <w:rPr>
                <w:rFonts w:hint="default" w:ascii="Cambria" w:hAnsi="Cambria" w:cs="Cambria"/>
                <w:vertAlign w:val="baseline"/>
              </w:rPr>
            </w:pPr>
            <w:r>
              <w:rPr>
                <w:rFonts w:hint="default" w:ascii="Cambria" w:hAnsi="Cambria" w:cs="Cambria"/>
                <w:b/>
                <w:lang w:val="en-US"/>
              </w:rPr>
              <w:t>Q</w:t>
            </w:r>
            <w:r>
              <w:rPr>
                <w:rFonts w:hint="default" w:ascii="Cambria" w:hAnsi="Cambria" w:cs="Cambria"/>
                <w:b/>
              </w:rPr>
              <w:t>uantitative risk assessment</w:t>
            </w:r>
          </w:p>
        </w:tc>
        <w:tc>
          <w:tcPr>
            <w:tcW w:w="4046" w:type="dxa"/>
          </w:tcPr>
          <w:p w14:paraId="6C4DFB7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both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>its precision, objectivity, and ability to support complex decision-making.</w:t>
            </w:r>
          </w:p>
          <w:p w14:paraId="5377C93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both"/>
              <w:rPr>
                <w:rFonts w:hint="default" w:ascii="Cambria" w:hAnsi="Cambria" w:cs="Cambria"/>
                <w:sz w:val="22"/>
                <w:szCs w:val="22"/>
              </w:rPr>
            </w:pPr>
          </w:p>
          <w:p w14:paraId="525046F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both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It can provide specific estimates of potential losses, enable cost-benefit analysis of risk mitigation strategies, and support regulatory requirements for risk </w:t>
            </w:r>
          </w:p>
          <w:p w14:paraId="6610112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both"/>
              <w:rPr>
                <w:rFonts w:hint="default" w:ascii="Cambria" w:hAnsi="Cambria" w:cs="Cambria"/>
                <w:sz w:val="22"/>
                <w:szCs w:val="22"/>
              </w:rPr>
            </w:pPr>
          </w:p>
          <w:p w14:paraId="46FB224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both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measurement. They are particularly valuable for organizations with significant risk exposure or complex risk </w:t>
            </w:r>
          </w:p>
          <w:p w14:paraId="2936F35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ambria" w:hAnsi="Cambria" w:cs="Cambria"/>
                <w:sz w:val="22"/>
                <w:szCs w:val="22"/>
                <w:vertAlign w:val="baseline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>profiles.</w:t>
            </w:r>
          </w:p>
        </w:tc>
        <w:tc>
          <w:tcPr>
            <w:tcW w:w="3854" w:type="dxa"/>
          </w:tcPr>
          <w:p w14:paraId="01E74E36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jc w:val="both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>It requires significant amounts of high</w:t>
            </w: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/>
            </w: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quality data, which may not be available for all risks. </w:t>
            </w:r>
          </w:p>
          <w:p w14:paraId="3435927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both"/>
              <w:rPr>
                <w:rFonts w:hint="default" w:ascii="Cambria" w:hAnsi="Cambria" w:cs="Cambria"/>
                <w:sz w:val="22"/>
                <w:szCs w:val="22"/>
              </w:rPr>
            </w:pPr>
          </w:p>
          <w:p w14:paraId="3054C467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jc w:val="both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The analysis can be complex and time-consuming, requiring specialized skills and tools. </w:t>
            </w:r>
          </w:p>
          <w:p w14:paraId="2D647DD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both"/>
              <w:rPr>
                <w:rFonts w:hint="default" w:ascii="Cambria" w:hAnsi="Cambria" w:cs="Cambria"/>
                <w:sz w:val="22"/>
                <w:szCs w:val="22"/>
              </w:rPr>
            </w:pPr>
          </w:p>
          <w:p w14:paraId="418D468E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jc w:val="both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color w:val="000000"/>
                <w:kern w:val="0"/>
                <w:sz w:val="22"/>
                <w:szCs w:val="22"/>
                <w:lang w:val="en-US" w:eastAsia="zh-CN" w:bidi="ar"/>
              </w:rPr>
              <w:t>The precision of quantitative assessments may be misleading if the underlying data is uncertain or incomplete.</w:t>
            </w:r>
          </w:p>
          <w:p w14:paraId="2B3BBD5E">
            <w:pPr>
              <w:jc w:val="both"/>
              <w:rPr>
                <w:rFonts w:hint="default" w:ascii="Cambria" w:hAnsi="Cambria" w:cs="Cambria"/>
                <w:sz w:val="22"/>
                <w:szCs w:val="22"/>
                <w:vertAlign w:val="baseline"/>
              </w:rPr>
            </w:pPr>
          </w:p>
        </w:tc>
      </w:tr>
    </w:tbl>
    <w:p w14:paraId="3F420286">
      <w:pPr>
        <w:rPr>
          <w:rFonts w:hint="default" w:ascii="Cambria" w:hAnsi="Cambria" w:cs="Cambria"/>
        </w:rPr>
      </w:pPr>
    </w:p>
    <w:p w14:paraId="0B094213">
      <w:pPr>
        <w:pStyle w:val="167"/>
        <w:rPr>
          <w:rFonts w:hint="default" w:ascii="Cambria" w:hAnsi="Cambria" w:cs="Cambria"/>
          <w:b/>
        </w:rPr>
      </w:pPr>
      <w:r>
        <w:rPr>
          <w:rFonts w:hint="default" w:ascii="Cambria" w:hAnsi="Cambria" w:cs="Cambria"/>
          <w:b/>
        </w:rPr>
        <w:t>When would you recommend using one over the other?</w:t>
      </w:r>
    </w:p>
    <w:p w14:paraId="47FDA3C3">
      <w:pPr>
        <w:pStyle w:val="167"/>
        <w:rPr>
          <w:rFonts w:hint="default" w:ascii="Cambria" w:hAnsi="Cambria" w:cs="Cambria"/>
        </w:rPr>
      </w:pPr>
      <w:r>
        <w:rPr>
          <w:rFonts w:hint="default" w:ascii="Cambria" w:hAnsi="Cambria" w:cs="Cambria"/>
          <w:b w:val="0"/>
          <w:bCs/>
          <w:lang w:val="en-US"/>
        </w:rPr>
        <w:t>Organization often use a combination of methodologies based on their prefer needs, resources and risk profile.</w:t>
      </w:r>
    </w:p>
    <w:p w14:paraId="26A33A8F">
      <w:pPr>
        <w:pStyle w:val="166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Part 2: Risk Identification Exercise (25 points)</w:t>
      </w:r>
    </w:p>
    <w:p w14:paraId="3BCD2BA1">
      <w:pPr>
        <w:pStyle w:val="167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this exercise, consider a medium-sized financial services company that is planning to migrate its customer relationship management (CRM) system from an on-premises solution to a cloud-based service. The CRM system contains sensitive customer financial information and personally identifiable information (PII).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Identify at least 10 potential risks associated with this migration. For each risk, provide: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1. A clear risk statement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2. The risk category (e.g., technical, operational, compliance, reputational)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3. The potential threat source or actor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4. The vulnerability being exploited</w:t>
      </w:r>
      <w:r>
        <w:rPr>
          <w:rFonts w:hint="default" w:ascii="Cambria" w:hAnsi="Cambria" w:cs="Cambria"/>
        </w:rPr>
        <w:br w:type="textWrapping"/>
      </w:r>
    </w:p>
    <w:tbl>
      <w:tblPr>
        <w:tblStyle w:val="36"/>
        <w:tblW w:w="11188" w:type="dxa"/>
        <w:tblInd w:w="-7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8"/>
        <w:gridCol w:w="2078"/>
        <w:gridCol w:w="2109"/>
        <w:gridCol w:w="3663"/>
      </w:tblGrid>
      <w:tr w14:paraId="4F4B2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8" w:type="dxa"/>
          </w:tcPr>
          <w:p w14:paraId="5CA8E7E7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Risk Statement</w:t>
            </w:r>
          </w:p>
        </w:tc>
        <w:tc>
          <w:tcPr>
            <w:tcW w:w="2078" w:type="dxa"/>
          </w:tcPr>
          <w:p w14:paraId="0CE3307E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Risk Category</w:t>
            </w:r>
          </w:p>
        </w:tc>
        <w:tc>
          <w:tcPr>
            <w:tcW w:w="2109" w:type="dxa"/>
          </w:tcPr>
          <w:p w14:paraId="65C2A5C3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Threat Source/Actor</w:t>
            </w:r>
          </w:p>
        </w:tc>
        <w:tc>
          <w:tcPr>
            <w:tcW w:w="3663" w:type="dxa"/>
          </w:tcPr>
          <w:p w14:paraId="77CB7D5D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Vulnerability</w:t>
            </w:r>
          </w:p>
        </w:tc>
      </w:tr>
      <w:tr w14:paraId="4A4F2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8" w:type="dxa"/>
          </w:tcPr>
          <w:p w14:paraId="2EB20087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Unauthorized access to customer data</w:t>
            </w:r>
          </w:p>
        </w:tc>
        <w:tc>
          <w:tcPr>
            <w:tcW w:w="2078" w:type="dxa"/>
          </w:tcPr>
          <w:p w14:paraId="70EB1C03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Technical and reputational</w:t>
            </w:r>
          </w:p>
        </w:tc>
        <w:tc>
          <w:tcPr>
            <w:tcW w:w="2109" w:type="dxa"/>
          </w:tcPr>
          <w:p w14:paraId="617F8958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Extenal hackers</w:t>
            </w:r>
          </w:p>
        </w:tc>
        <w:tc>
          <w:tcPr>
            <w:tcW w:w="3663" w:type="dxa"/>
          </w:tcPr>
          <w:p w14:paraId="76D49680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Weak access controls</w:t>
            </w:r>
          </w:p>
        </w:tc>
      </w:tr>
      <w:tr w14:paraId="3E523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8" w:type="dxa"/>
          </w:tcPr>
          <w:p w14:paraId="2A0C0A3C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Data breach exposing sensitive customers PII and financial data</w:t>
            </w:r>
          </w:p>
        </w:tc>
        <w:tc>
          <w:tcPr>
            <w:tcW w:w="2078" w:type="dxa"/>
          </w:tcPr>
          <w:p w14:paraId="3321D345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Compliance</w:t>
            </w:r>
          </w:p>
        </w:tc>
        <w:tc>
          <w:tcPr>
            <w:tcW w:w="2109" w:type="dxa"/>
          </w:tcPr>
          <w:p w14:paraId="4B69DAE0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Cybercriminals</w:t>
            </w:r>
          </w:p>
        </w:tc>
        <w:tc>
          <w:tcPr>
            <w:tcW w:w="3663" w:type="dxa"/>
          </w:tcPr>
          <w:p w14:paraId="53C60B9A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 xml:space="preserve">Inadequate encryption of data </w:t>
            </w:r>
          </w:p>
        </w:tc>
      </w:tr>
      <w:tr w14:paraId="0D7A3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8" w:type="dxa"/>
          </w:tcPr>
          <w:p w14:paraId="37B099D4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 xml:space="preserve">Non-compliance with financial regulations like PCI-DSS due to inadequate data handling </w:t>
            </w:r>
          </w:p>
        </w:tc>
        <w:tc>
          <w:tcPr>
            <w:tcW w:w="2078" w:type="dxa"/>
          </w:tcPr>
          <w:p w14:paraId="7D326FAD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Compliance</w:t>
            </w:r>
          </w:p>
        </w:tc>
        <w:tc>
          <w:tcPr>
            <w:tcW w:w="2109" w:type="dxa"/>
          </w:tcPr>
          <w:p w14:paraId="38A8246E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Regulatory bodies</w:t>
            </w:r>
          </w:p>
        </w:tc>
        <w:tc>
          <w:tcPr>
            <w:tcW w:w="3663" w:type="dxa"/>
          </w:tcPr>
          <w:p w14:paraId="59E4A644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Selection of a cloud service provider without sufficient certifications</w:t>
            </w:r>
          </w:p>
        </w:tc>
      </w:tr>
      <w:tr w14:paraId="789E8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8" w:type="dxa"/>
          </w:tcPr>
          <w:p w14:paraId="4E98E2A2">
            <w:pPr>
              <w:pStyle w:val="33"/>
              <w:keepNext w:val="0"/>
              <w:keepLines w:val="0"/>
              <w:widowControl/>
              <w:suppressLineNumbers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Data loss during the migration</w:t>
            </w: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.</w:t>
            </w:r>
          </w:p>
        </w:tc>
        <w:tc>
          <w:tcPr>
            <w:tcW w:w="2078" w:type="dxa"/>
          </w:tcPr>
          <w:p w14:paraId="46B9E4A5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Operational</w:t>
            </w:r>
          </w:p>
        </w:tc>
        <w:tc>
          <w:tcPr>
            <w:tcW w:w="2109" w:type="dxa"/>
          </w:tcPr>
          <w:p w14:paraId="1839F5F2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Human error</w:t>
            </w:r>
          </w:p>
        </w:tc>
        <w:tc>
          <w:tcPr>
            <w:tcW w:w="3663" w:type="dxa"/>
          </w:tcPr>
          <w:p w14:paraId="6C3452AD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Lack of proper backups or migration testing</w:t>
            </w:r>
          </w:p>
        </w:tc>
      </w:tr>
      <w:tr w14:paraId="23E5C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8" w:type="dxa"/>
          </w:tcPr>
          <w:p w14:paraId="2238C04E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Insider misuse of cloud-admin privileges</w:t>
            </w:r>
          </w:p>
        </w:tc>
        <w:tc>
          <w:tcPr>
            <w:tcW w:w="2078" w:type="dxa"/>
          </w:tcPr>
          <w:p w14:paraId="769917E5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Operational</w:t>
            </w:r>
          </w:p>
        </w:tc>
        <w:tc>
          <w:tcPr>
            <w:tcW w:w="2109" w:type="dxa"/>
          </w:tcPr>
          <w:p w14:paraId="61CCE29C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Human error</w:t>
            </w:r>
          </w:p>
        </w:tc>
        <w:tc>
          <w:tcPr>
            <w:tcW w:w="3663" w:type="dxa"/>
          </w:tcPr>
          <w:p w14:paraId="5587F478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Excessive privileges and lack of role-based access control</w:t>
            </w:r>
          </w:p>
        </w:tc>
      </w:tr>
      <w:tr w14:paraId="2BD96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8" w:type="dxa"/>
          </w:tcPr>
          <w:p w14:paraId="17995552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Weak identity and access management (IAM) leading to account compromise</w:t>
            </w:r>
          </w:p>
        </w:tc>
        <w:tc>
          <w:tcPr>
            <w:tcW w:w="2078" w:type="dxa"/>
          </w:tcPr>
          <w:p w14:paraId="06B71627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Technical</w:t>
            </w:r>
          </w:p>
        </w:tc>
        <w:tc>
          <w:tcPr>
            <w:tcW w:w="2109" w:type="dxa"/>
          </w:tcPr>
          <w:p w14:paraId="0E36E7C0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External attackers</w:t>
            </w:r>
          </w:p>
        </w:tc>
        <w:tc>
          <w:tcPr>
            <w:tcW w:w="3663" w:type="dxa"/>
          </w:tcPr>
          <w:p w14:paraId="5BC2E259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Lack of multi-factor authentication (MFA)</w:t>
            </w:r>
          </w:p>
        </w:tc>
      </w:tr>
      <w:tr w14:paraId="0CD45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8" w:type="dxa"/>
          </w:tcPr>
          <w:p w14:paraId="2CA00C7E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Reputational damage due to customer trust loss after a security incident</w:t>
            </w:r>
          </w:p>
        </w:tc>
        <w:tc>
          <w:tcPr>
            <w:tcW w:w="2078" w:type="dxa"/>
          </w:tcPr>
          <w:p w14:paraId="1AE84533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Reputational</w:t>
            </w:r>
          </w:p>
        </w:tc>
        <w:tc>
          <w:tcPr>
            <w:tcW w:w="2109" w:type="dxa"/>
          </w:tcPr>
          <w:p w14:paraId="6673F614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Public reaction</w:t>
            </w:r>
          </w:p>
        </w:tc>
        <w:tc>
          <w:tcPr>
            <w:tcW w:w="3663" w:type="dxa"/>
          </w:tcPr>
          <w:p w14:paraId="7FA610F0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Poor incident response and communication planning</w:t>
            </w:r>
          </w:p>
        </w:tc>
      </w:tr>
      <w:tr w14:paraId="0903C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8" w:type="dxa"/>
          </w:tcPr>
          <w:p w14:paraId="3FA94C94">
            <w:pPr>
              <w:pStyle w:val="33"/>
              <w:keepNext w:val="0"/>
              <w:keepLines w:val="0"/>
              <w:widowControl/>
              <w:suppressLineNumbers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Increased exposure to distributed denial-of-service (DDoS) attacks on the cloud-hosted CRM.</w:t>
            </w:r>
          </w:p>
        </w:tc>
        <w:tc>
          <w:tcPr>
            <w:tcW w:w="2078" w:type="dxa"/>
          </w:tcPr>
          <w:p w14:paraId="26E38419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Security</w:t>
            </w:r>
          </w:p>
        </w:tc>
        <w:tc>
          <w:tcPr>
            <w:tcW w:w="2109" w:type="dxa"/>
          </w:tcPr>
          <w:p w14:paraId="53ADEF3C">
            <w:pPr>
              <w:pStyle w:val="33"/>
              <w:keepNext w:val="0"/>
              <w:keepLines w:val="0"/>
              <w:widowControl/>
              <w:suppressLineNumbers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Organized cybercriminal groups or nation-state actors</w:t>
            </w:r>
          </w:p>
        </w:tc>
        <w:tc>
          <w:tcPr>
            <w:tcW w:w="3663" w:type="dxa"/>
          </w:tcPr>
          <w:p w14:paraId="6C1F9F67">
            <w:pPr>
              <w:pStyle w:val="33"/>
              <w:keepNext w:val="0"/>
              <w:keepLines w:val="0"/>
              <w:widowControl/>
              <w:suppressLineNumbers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Insufficient DDoS mitigation tools or configurations in the cloud environment.</w:t>
            </w:r>
          </w:p>
        </w:tc>
      </w:tr>
      <w:tr w14:paraId="248AD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8" w:type="dxa"/>
          </w:tcPr>
          <w:p w14:paraId="7E38E189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Failure to properly decommission on-premises CRM systems leads to data leakage</w:t>
            </w:r>
          </w:p>
        </w:tc>
        <w:tc>
          <w:tcPr>
            <w:tcW w:w="2078" w:type="dxa"/>
          </w:tcPr>
          <w:p w14:paraId="7C53E952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Operational</w:t>
            </w:r>
          </w:p>
        </w:tc>
        <w:tc>
          <w:tcPr>
            <w:tcW w:w="2109" w:type="dxa"/>
          </w:tcPr>
          <w:p w14:paraId="08633AD7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Internal employees</w:t>
            </w:r>
          </w:p>
        </w:tc>
        <w:tc>
          <w:tcPr>
            <w:tcW w:w="3663" w:type="dxa"/>
          </w:tcPr>
          <w:p w14:paraId="41F61FD7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Improper data disposal and system retirement processes</w:t>
            </w:r>
          </w:p>
        </w:tc>
      </w:tr>
      <w:tr w14:paraId="329A7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8" w:type="dxa"/>
          </w:tcPr>
          <w:p w14:paraId="31011EA7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Insufficient employee training leads to cloud security mismanagement</w:t>
            </w:r>
          </w:p>
        </w:tc>
        <w:tc>
          <w:tcPr>
            <w:tcW w:w="2078" w:type="dxa"/>
          </w:tcPr>
          <w:p w14:paraId="66D02D53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Operational</w:t>
            </w:r>
          </w:p>
        </w:tc>
        <w:tc>
          <w:tcPr>
            <w:tcW w:w="2109" w:type="dxa"/>
          </w:tcPr>
          <w:p w14:paraId="49BBCEC0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Internal Employees</w:t>
            </w:r>
          </w:p>
        </w:tc>
        <w:tc>
          <w:tcPr>
            <w:tcW w:w="3663" w:type="dxa"/>
          </w:tcPr>
          <w:p w14:paraId="073C68ED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Lack of cloud security awareness and training</w:t>
            </w:r>
          </w:p>
        </w:tc>
      </w:tr>
      <w:tr w14:paraId="204FB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8" w:type="dxa"/>
          </w:tcPr>
          <w:p w14:paraId="44DA2A40">
            <w:pPr>
              <w:spacing w:after="0" w:line="240" w:lineRule="auto"/>
              <w:rPr>
                <w:rFonts w:hint="default" w:ascii="Cambria" w:hAnsi="Cambria" w:eastAsia="SimSun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Insufficient backup and recovery strategy in the cloud</w:t>
            </w:r>
          </w:p>
        </w:tc>
        <w:tc>
          <w:tcPr>
            <w:tcW w:w="2078" w:type="dxa"/>
          </w:tcPr>
          <w:p w14:paraId="7AE99BF0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Technical</w:t>
            </w:r>
          </w:p>
        </w:tc>
        <w:tc>
          <w:tcPr>
            <w:tcW w:w="2109" w:type="dxa"/>
          </w:tcPr>
          <w:p w14:paraId="10B96B59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System failure</w:t>
            </w:r>
          </w:p>
        </w:tc>
        <w:tc>
          <w:tcPr>
            <w:tcW w:w="3663" w:type="dxa"/>
          </w:tcPr>
          <w:p w14:paraId="1BDB293F">
            <w:pPr>
              <w:spacing w:after="0" w:line="240" w:lineRule="auto"/>
              <w:rPr>
                <w:rFonts w:hint="default" w:ascii="Cambria" w:hAnsi="Cambria" w:eastAsia="SimSun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Overreliance on cloud provider defaults</w:t>
            </w:r>
          </w:p>
        </w:tc>
      </w:tr>
    </w:tbl>
    <w:p w14:paraId="3DFA2096">
      <w:pPr>
        <w:rPr>
          <w:rFonts w:hint="default" w:ascii="Cambria" w:hAnsi="Cambria" w:cs="Cambria"/>
        </w:rPr>
      </w:pPr>
    </w:p>
    <w:p w14:paraId="2B46DB17">
      <w:pPr>
        <w:pStyle w:val="166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Part 3: Risk Assessment Matrix (25 points)</w:t>
      </w:r>
    </w:p>
    <w:p w14:paraId="5883672C">
      <w:pPr>
        <w:pStyle w:val="167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From the risks you identified in Part 2, select the five most significant risks and complete the following risk assessment matrix. For each risk: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1. Assign a likelihood rating (1-5, where 1 is rare and 5 is almost certain)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2. Assign an impact rating (1-5, where 1 is negligible and 5 is severe)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3. Calculate the risk score (likelihood × impact)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4. Determine the risk level based on the score: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   • Low: 1-4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   • Medium: 5-9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   • High: 10-15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   • Critical: 16-25</w:t>
      </w:r>
    </w:p>
    <w:tbl>
      <w:tblPr>
        <w:tblStyle w:val="36"/>
        <w:tblW w:w="10850" w:type="dxa"/>
        <w:tblInd w:w="-3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5"/>
        <w:gridCol w:w="1475"/>
        <w:gridCol w:w="1200"/>
        <w:gridCol w:w="1250"/>
        <w:gridCol w:w="2400"/>
      </w:tblGrid>
      <w:tr w14:paraId="4DA4C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</w:tcPr>
          <w:p w14:paraId="5F2984D4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Risk</w:t>
            </w:r>
          </w:p>
        </w:tc>
        <w:tc>
          <w:tcPr>
            <w:tcW w:w="1475" w:type="dxa"/>
          </w:tcPr>
          <w:p w14:paraId="60211309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Likelihood (1-5)</w:t>
            </w:r>
          </w:p>
        </w:tc>
        <w:tc>
          <w:tcPr>
            <w:tcW w:w="1200" w:type="dxa"/>
          </w:tcPr>
          <w:p w14:paraId="70268C6E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Impact (1-5)</w:t>
            </w:r>
          </w:p>
        </w:tc>
        <w:tc>
          <w:tcPr>
            <w:tcW w:w="1250" w:type="dxa"/>
          </w:tcPr>
          <w:p w14:paraId="7805CEB7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Risk Score</w:t>
            </w:r>
          </w:p>
        </w:tc>
        <w:tc>
          <w:tcPr>
            <w:tcW w:w="2400" w:type="dxa"/>
          </w:tcPr>
          <w:p w14:paraId="38112795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Risk Level</w:t>
            </w:r>
          </w:p>
        </w:tc>
      </w:tr>
      <w:tr w14:paraId="2805D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</w:tcPr>
          <w:p w14:paraId="6B83DF94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sz w:val="24"/>
                <w:szCs w:val="24"/>
              </w:rPr>
              <w:t>Data breach exposing sensitive customer PII and financial data</w:t>
            </w:r>
          </w:p>
        </w:tc>
        <w:tc>
          <w:tcPr>
            <w:tcW w:w="1475" w:type="dxa"/>
          </w:tcPr>
          <w:p w14:paraId="3A71FE85">
            <w:pPr>
              <w:spacing w:after="0" w:line="240" w:lineRule="auto"/>
              <w:jc w:val="center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4</w:t>
            </w:r>
          </w:p>
        </w:tc>
        <w:tc>
          <w:tcPr>
            <w:tcW w:w="1200" w:type="dxa"/>
          </w:tcPr>
          <w:p w14:paraId="5F27CE3F">
            <w:pPr>
              <w:spacing w:after="0" w:line="240" w:lineRule="auto"/>
              <w:jc w:val="center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5</w:t>
            </w:r>
          </w:p>
        </w:tc>
        <w:tc>
          <w:tcPr>
            <w:tcW w:w="1250" w:type="dxa"/>
          </w:tcPr>
          <w:p w14:paraId="509F2CAE">
            <w:pPr>
              <w:spacing w:after="0" w:line="240" w:lineRule="auto"/>
              <w:jc w:val="center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20</w:t>
            </w:r>
          </w:p>
        </w:tc>
        <w:tc>
          <w:tcPr>
            <w:tcW w:w="2400" w:type="dxa"/>
          </w:tcPr>
          <w:p w14:paraId="3484249D">
            <w:pPr>
              <w:spacing w:after="0" w:line="240" w:lineRule="auto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Critical</w:t>
            </w:r>
          </w:p>
        </w:tc>
      </w:tr>
      <w:tr w14:paraId="5B35D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4525" w:type="dxa"/>
          </w:tcPr>
          <w:p w14:paraId="14ED3D2B">
            <w:pPr>
              <w:spacing w:after="0" w:line="240" w:lineRule="auto"/>
              <w:rPr>
                <w:rFonts w:hint="default" w:ascii="Cambria" w:hAnsi="Cambria" w:eastAsia="SimSun" w:cs="Cambria"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sz w:val="24"/>
                <w:szCs w:val="24"/>
              </w:rPr>
              <w:t>Unauthorized access to customer data</w:t>
            </w:r>
          </w:p>
        </w:tc>
        <w:tc>
          <w:tcPr>
            <w:tcW w:w="1475" w:type="dxa"/>
          </w:tcPr>
          <w:p w14:paraId="5DB08BD6">
            <w:pPr>
              <w:spacing w:after="0" w:line="240" w:lineRule="auto"/>
              <w:jc w:val="center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4</w:t>
            </w:r>
          </w:p>
        </w:tc>
        <w:tc>
          <w:tcPr>
            <w:tcW w:w="1200" w:type="dxa"/>
          </w:tcPr>
          <w:p w14:paraId="7CABB913">
            <w:pPr>
              <w:spacing w:after="0" w:line="240" w:lineRule="auto"/>
              <w:jc w:val="center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4</w:t>
            </w:r>
          </w:p>
        </w:tc>
        <w:tc>
          <w:tcPr>
            <w:tcW w:w="1250" w:type="dxa"/>
          </w:tcPr>
          <w:p w14:paraId="4BDF8C3D">
            <w:pPr>
              <w:spacing w:after="0" w:line="240" w:lineRule="auto"/>
              <w:jc w:val="center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16</w:t>
            </w:r>
          </w:p>
        </w:tc>
        <w:tc>
          <w:tcPr>
            <w:tcW w:w="2400" w:type="dxa"/>
          </w:tcPr>
          <w:p w14:paraId="6F2DFA69">
            <w:pPr>
              <w:spacing w:after="0" w:line="240" w:lineRule="auto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Critical</w:t>
            </w:r>
          </w:p>
        </w:tc>
      </w:tr>
      <w:tr w14:paraId="59FF2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</w:tcPr>
          <w:p w14:paraId="6C510F35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 xml:space="preserve">Non-compliance with financial regulations like PCI-DSS due to inadequate data handling </w:t>
            </w:r>
          </w:p>
        </w:tc>
        <w:tc>
          <w:tcPr>
            <w:tcW w:w="1475" w:type="dxa"/>
          </w:tcPr>
          <w:p w14:paraId="3E0DF1FD">
            <w:pPr>
              <w:spacing w:after="0" w:line="240" w:lineRule="auto"/>
              <w:jc w:val="center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3</w:t>
            </w:r>
          </w:p>
        </w:tc>
        <w:tc>
          <w:tcPr>
            <w:tcW w:w="1200" w:type="dxa"/>
          </w:tcPr>
          <w:p w14:paraId="51676E81">
            <w:pPr>
              <w:spacing w:after="0" w:line="240" w:lineRule="auto"/>
              <w:jc w:val="center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5</w:t>
            </w:r>
          </w:p>
        </w:tc>
        <w:tc>
          <w:tcPr>
            <w:tcW w:w="1250" w:type="dxa"/>
          </w:tcPr>
          <w:p w14:paraId="443FC1DA">
            <w:pPr>
              <w:spacing w:after="0" w:line="240" w:lineRule="auto"/>
              <w:jc w:val="center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15</w:t>
            </w:r>
          </w:p>
        </w:tc>
        <w:tc>
          <w:tcPr>
            <w:tcW w:w="2400" w:type="dxa"/>
          </w:tcPr>
          <w:p w14:paraId="52817CBD">
            <w:pPr>
              <w:spacing w:after="0" w:line="240" w:lineRule="auto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High</w:t>
            </w:r>
          </w:p>
        </w:tc>
      </w:tr>
      <w:tr w14:paraId="4F452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</w:tcPr>
          <w:p w14:paraId="2189C70D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sz w:val="24"/>
                <w:szCs w:val="24"/>
              </w:rPr>
              <w:t>Weak identity and access management (IAM) leading to account compromise</w:t>
            </w:r>
          </w:p>
        </w:tc>
        <w:tc>
          <w:tcPr>
            <w:tcW w:w="1475" w:type="dxa"/>
          </w:tcPr>
          <w:p w14:paraId="0AE3C360">
            <w:pPr>
              <w:spacing w:after="0" w:line="240" w:lineRule="auto"/>
              <w:jc w:val="center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4</w:t>
            </w:r>
          </w:p>
        </w:tc>
        <w:tc>
          <w:tcPr>
            <w:tcW w:w="1200" w:type="dxa"/>
          </w:tcPr>
          <w:p w14:paraId="6602D4EB">
            <w:pPr>
              <w:spacing w:after="0" w:line="240" w:lineRule="auto"/>
              <w:jc w:val="center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4</w:t>
            </w:r>
          </w:p>
        </w:tc>
        <w:tc>
          <w:tcPr>
            <w:tcW w:w="1250" w:type="dxa"/>
          </w:tcPr>
          <w:p w14:paraId="5202593A">
            <w:pPr>
              <w:spacing w:after="0" w:line="240" w:lineRule="auto"/>
              <w:jc w:val="center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16</w:t>
            </w:r>
          </w:p>
        </w:tc>
        <w:tc>
          <w:tcPr>
            <w:tcW w:w="2400" w:type="dxa"/>
          </w:tcPr>
          <w:p w14:paraId="32FE9DFB">
            <w:pPr>
              <w:spacing w:after="0" w:line="240" w:lineRule="auto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Critical</w:t>
            </w:r>
          </w:p>
        </w:tc>
      </w:tr>
      <w:tr w14:paraId="29ECD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5" w:type="dxa"/>
          </w:tcPr>
          <w:p w14:paraId="6D662FBE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Insufficient backup and recovery strategy in the cloud</w:t>
            </w:r>
          </w:p>
        </w:tc>
        <w:tc>
          <w:tcPr>
            <w:tcW w:w="1475" w:type="dxa"/>
          </w:tcPr>
          <w:p w14:paraId="5EF62E4B">
            <w:pPr>
              <w:spacing w:after="0" w:line="240" w:lineRule="auto"/>
              <w:jc w:val="center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3</w:t>
            </w:r>
          </w:p>
        </w:tc>
        <w:tc>
          <w:tcPr>
            <w:tcW w:w="1200" w:type="dxa"/>
          </w:tcPr>
          <w:p w14:paraId="393B6334">
            <w:pPr>
              <w:spacing w:after="0" w:line="240" w:lineRule="auto"/>
              <w:jc w:val="center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4</w:t>
            </w:r>
          </w:p>
        </w:tc>
        <w:tc>
          <w:tcPr>
            <w:tcW w:w="1250" w:type="dxa"/>
          </w:tcPr>
          <w:p w14:paraId="40E7A148">
            <w:pPr>
              <w:spacing w:after="0" w:line="240" w:lineRule="auto"/>
              <w:jc w:val="center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12</w:t>
            </w:r>
          </w:p>
        </w:tc>
        <w:tc>
          <w:tcPr>
            <w:tcW w:w="2400" w:type="dxa"/>
          </w:tcPr>
          <w:p w14:paraId="42CFBCCB">
            <w:pPr>
              <w:spacing w:after="0" w:line="240" w:lineRule="auto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High</w:t>
            </w:r>
          </w:p>
        </w:tc>
      </w:tr>
    </w:tbl>
    <w:p w14:paraId="20EAFEFF">
      <w:pPr>
        <w:rPr>
          <w:rFonts w:hint="default" w:ascii="Cambria" w:hAnsi="Cambria" w:cs="Cambria"/>
        </w:rPr>
      </w:pPr>
    </w:p>
    <w:p w14:paraId="64D9E11D">
      <w:pPr>
        <w:pStyle w:val="166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Part 4: Risk Mitigation Strategies (30 points)</w:t>
      </w:r>
    </w:p>
    <w:p w14:paraId="34CD9817">
      <w:pPr>
        <w:pStyle w:val="167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the three highest-rated risks from your assessment in Part 3, develop detailed risk mitigation strategies. For each risk: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1. Describe the risk mitigation approach (avoid, transfer, mitigate, or accept)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2. Provide specific controls or actions to implement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3. Identify the responsible stakeholders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4. Establish metrics to measure the effectiveness of the mitigation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5. Estimate the residual risk after mitigation (low, medium, or high)</w:t>
      </w:r>
      <w:r>
        <w:rPr>
          <w:rFonts w:hint="default" w:ascii="Cambria" w:hAnsi="Cambria" w:cs="Cambria"/>
        </w:rPr>
        <w:br w:type="textWrapping"/>
      </w:r>
    </w:p>
    <w:p w14:paraId="633504C3">
      <w:pPr>
        <w:pStyle w:val="167"/>
        <w:rPr>
          <w:rFonts w:hint="default" w:ascii="Cambria" w:hAnsi="Cambria" w:cs="Cambria"/>
          <w:b w:val="0"/>
          <w:bCs/>
        </w:rPr>
      </w:pPr>
      <w:r>
        <w:rPr>
          <w:rFonts w:hint="default" w:ascii="Cambria" w:hAnsi="Cambria" w:cs="Cambria"/>
          <w:b/>
        </w:rPr>
        <w:t>Risk 1:</w:t>
      </w:r>
    </w:p>
    <w:tbl>
      <w:tblPr>
        <w:tblStyle w:val="36"/>
        <w:tblW w:w="103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4"/>
        <w:gridCol w:w="7350"/>
      </w:tblGrid>
      <w:tr w14:paraId="43627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 w14:paraId="6B2F2E91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Risk Statement</w:t>
            </w:r>
          </w:p>
        </w:tc>
        <w:tc>
          <w:tcPr>
            <w:tcW w:w="7350" w:type="dxa"/>
          </w:tcPr>
          <w:p w14:paraId="7726CE47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sz w:val="24"/>
                <w:szCs w:val="24"/>
              </w:rPr>
              <w:t>Data breach exposing sensitive customer PII and financial data</w:t>
            </w:r>
          </w:p>
        </w:tc>
      </w:tr>
      <w:tr w14:paraId="671A2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 w14:paraId="2617AE53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Mitigation Approach</w:t>
            </w:r>
          </w:p>
        </w:tc>
        <w:tc>
          <w:tcPr>
            <w:tcW w:w="7350" w:type="dxa"/>
          </w:tcPr>
          <w:p w14:paraId="6003BAB7">
            <w:pPr>
              <w:spacing w:after="0" w:line="240" w:lineRule="auto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Avoid</w:t>
            </w:r>
          </w:p>
        </w:tc>
      </w:tr>
      <w:tr w14:paraId="11776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 w14:paraId="5ACDFD47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Specific Controls/Actions</w:t>
            </w:r>
          </w:p>
        </w:tc>
        <w:tc>
          <w:tcPr>
            <w:tcW w:w="7350" w:type="dxa"/>
          </w:tcPr>
          <w:p w14:paraId="54D758F1">
            <w:pPr>
              <w:spacing w:after="0" w:line="240" w:lineRule="auto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Encrypt all data at rest or transit</w:t>
            </w:r>
          </w:p>
        </w:tc>
      </w:tr>
      <w:tr w14:paraId="10CB2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 w14:paraId="7BFE3597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Responsible Stakeholders</w:t>
            </w:r>
          </w:p>
        </w:tc>
        <w:tc>
          <w:tcPr>
            <w:tcW w:w="7350" w:type="dxa"/>
          </w:tcPr>
          <w:p w14:paraId="783C85D9">
            <w:pPr>
              <w:spacing w:after="0" w:line="240" w:lineRule="auto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IT officer</w:t>
            </w:r>
          </w:p>
        </w:tc>
      </w:tr>
      <w:tr w14:paraId="4281E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 w14:paraId="48DC5A78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Effectiveness Metrics</w:t>
            </w:r>
          </w:p>
        </w:tc>
        <w:tc>
          <w:tcPr>
            <w:tcW w:w="7350" w:type="dxa"/>
          </w:tcPr>
          <w:p w14:paraId="55FA069E">
            <w:pPr>
              <w:spacing w:after="0" w:line="240" w:lineRule="auto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Number of detected security incidents</w:t>
            </w:r>
          </w:p>
        </w:tc>
      </w:tr>
      <w:tr w14:paraId="276CD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 w14:paraId="6F55184D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Residual Risk</w:t>
            </w:r>
          </w:p>
        </w:tc>
        <w:tc>
          <w:tcPr>
            <w:tcW w:w="7350" w:type="dxa"/>
          </w:tcPr>
          <w:p w14:paraId="46021B92">
            <w:pPr>
              <w:spacing w:after="0" w:line="240" w:lineRule="auto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Medium</w:t>
            </w:r>
          </w:p>
        </w:tc>
      </w:tr>
    </w:tbl>
    <w:p w14:paraId="0CBF800A">
      <w:pPr>
        <w:rPr>
          <w:rFonts w:hint="default" w:ascii="Cambria" w:hAnsi="Cambria" w:cs="Cambria"/>
        </w:rPr>
      </w:pPr>
    </w:p>
    <w:p w14:paraId="2DF9E77C">
      <w:pPr>
        <w:pStyle w:val="167"/>
        <w:rPr>
          <w:rFonts w:hint="default" w:ascii="Cambria" w:hAnsi="Cambria" w:cs="Cambria"/>
          <w:b/>
        </w:rPr>
      </w:pPr>
      <w:r>
        <w:rPr>
          <w:rFonts w:hint="default" w:ascii="Cambria" w:hAnsi="Cambria" w:cs="Cambria"/>
          <w:b/>
        </w:rPr>
        <w:t>Risk 2:</w:t>
      </w:r>
    </w:p>
    <w:tbl>
      <w:tblPr>
        <w:tblStyle w:val="36"/>
        <w:tblW w:w="103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7"/>
        <w:gridCol w:w="7362"/>
      </w:tblGrid>
      <w:tr w14:paraId="0960D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7" w:type="dxa"/>
          </w:tcPr>
          <w:p w14:paraId="4CCBC35A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Risk Statement</w:t>
            </w:r>
          </w:p>
        </w:tc>
        <w:tc>
          <w:tcPr>
            <w:tcW w:w="7362" w:type="dxa"/>
          </w:tcPr>
          <w:p w14:paraId="414C8AFB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Unauthorized access to customer data</w:t>
            </w:r>
          </w:p>
        </w:tc>
      </w:tr>
      <w:tr w14:paraId="48408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7" w:type="dxa"/>
          </w:tcPr>
          <w:p w14:paraId="527EBE65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Mitigation Approach</w:t>
            </w:r>
          </w:p>
        </w:tc>
        <w:tc>
          <w:tcPr>
            <w:tcW w:w="7362" w:type="dxa"/>
          </w:tcPr>
          <w:p w14:paraId="7F0058DA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Mitigate</w:t>
            </w:r>
          </w:p>
        </w:tc>
      </w:tr>
      <w:tr w14:paraId="1AA97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7" w:type="dxa"/>
          </w:tcPr>
          <w:p w14:paraId="768B9282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Specific Controls/Actions</w:t>
            </w:r>
          </w:p>
        </w:tc>
        <w:tc>
          <w:tcPr>
            <w:tcW w:w="7362" w:type="dxa"/>
          </w:tcPr>
          <w:p w14:paraId="38129C3A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Enforce MFA for all access</w:t>
            </w:r>
          </w:p>
        </w:tc>
      </w:tr>
      <w:tr w14:paraId="74C60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7" w:type="dxa"/>
          </w:tcPr>
          <w:p w14:paraId="4DBD3F22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Responsible Stakeholders</w:t>
            </w:r>
          </w:p>
        </w:tc>
        <w:tc>
          <w:tcPr>
            <w:tcW w:w="7362" w:type="dxa"/>
          </w:tcPr>
          <w:p w14:paraId="6AE199E4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IT Teams</w:t>
            </w:r>
          </w:p>
        </w:tc>
      </w:tr>
      <w:tr w14:paraId="14B82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7" w:type="dxa"/>
          </w:tcPr>
          <w:p w14:paraId="342CE27D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Effectiveness Metrics</w:t>
            </w:r>
          </w:p>
        </w:tc>
        <w:tc>
          <w:tcPr>
            <w:tcW w:w="7362" w:type="dxa"/>
          </w:tcPr>
          <w:p w14:paraId="4B73DE2F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Percentage of users with MFA enabled</w:t>
            </w:r>
          </w:p>
        </w:tc>
      </w:tr>
      <w:tr w14:paraId="69BCE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7" w:type="dxa"/>
          </w:tcPr>
          <w:p w14:paraId="0014955E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Residual Risk</w:t>
            </w:r>
          </w:p>
        </w:tc>
        <w:tc>
          <w:tcPr>
            <w:tcW w:w="7362" w:type="dxa"/>
          </w:tcPr>
          <w:p w14:paraId="6C3A7042">
            <w:pPr>
              <w:spacing w:after="0" w:line="240" w:lineRule="auto"/>
              <w:rPr>
                <w:rFonts w:hint="default" w:ascii="Cambria" w:hAnsi="Cambria" w:cs="Cambria"/>
                <w:sz w:val="22"/>
                <w:szCs w:val="22"/>
                <w:lang w:val="en-US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>Low</w:t>
            </w:r>
          </w:p>
        </w:tc>
      </w:tr>
    </w:tbl>
    <w:p w14:paraId="621C1DA0">
      <w:pPr>
        <w:rPr>
          <w:rFonts w:hint="default" w:ascii="Cambria" w:hAnsi="Cambria" w:cs="Cambria"/>
        </w:rPr>
      </w:pPr>
    </w:p>
    <w:p w14:paraId="12A4D720">
      <w:pPr>
        <w:pStyle w:val="167"/>
        <w:rPr>
          <w:rFonts w:hint="default" w:ascii="Cambria" w:hAnsi="Cambria" w:cs="Cambria"/>
          <w:b w:val="0"/>
          <w:bCs/>
        </w:rPr>
      </w:pPr>
      <w:r>
        <w:rPr>
          <w:rFonts w:hint="default" w:ascii="Cambria" w:hAnsi="Cambria" w:cs="Cambria"/>
          <w:b/>
        </w:rPr>
        <w:t>Risk 3:</w:t>
      </w:r>
    </w:p>
    <w:tbl>
      <w:tblPr>
        <w:tblStyle w:val="36"/>
        <w:tblW w:w="104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4"/>
        <w:gridCol w:w="7388"/>
      </w:tblGrid>
      <w:tr w14:paraId="1476A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 w14:paraId="2D33E2B9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Risk Statement</w:t>
            </w:r>
          </w:p>
        </w:tc>
        <w:tc>
          <w:tcPr>
            <w:tcW w:w="7388" w:type="dxa"/>
          </w:tcPr>
          <w:p w14:paraId="5F3255DD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sz w:val="22"/>
                <w:szCs w:val="22"/>
                <w:lang w:val="en-US"/>
              </w:rPr>
              <w:t xml:space="preserve">Non-compliance with financial regulations like PCI-DSS due to inadequate data handling </w:t>
            </w:r>
          </w:p>
        </w:tc>
      </w:tr>
      <w:tr w14:paraId="4D0F2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 w14:paraId="6CD94F60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Mitigation Approach</w:t>
            </w:r>
          </w:p>
        </w:tc>
        <w:tc>
          <w:tcPr>
            <w:tcW w:w="7388" w:type="dxa"/>
          </w:tcPr>
          <w:p w14:paraId="5946763D">
            <w:pPr>
              <w:spacing w:after="0" w:line="240" w:lineRule="auto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Mitigate</w:t>
            </w:r>
          </w:p>
        </w:tc>
      </w:tr>
      <w:tr w14:paraId="19225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 w14:paraId="78DD87D0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Specific Controls/Actions</w:t>
            </w:r>
          </w:p>
        </w:tc>
        <w:tc>
          <w:tcPr>
            <w:tcW w:w="7388" w:type="dxa"/>
          </w:tcPr>
          <w:p w14:paraId="5F9912D3">
            <w:pPr>
              <w:spacing w:after="0" w:line="240" w:lineRule="auto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Ensure financial service provider are PCI DSS compliant</w:t>
            </w:r>
          </w:p>
        </w:tc>
      </w:tr>
      <w:tr w14:paraId="253E0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 w14:paraId="2B63DBB9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Responsible Stakeholders</w:t>
            </w:r>
          </w:p>
        </w:tc>
        <w:tc>
          <w:tcPr>
            <w:tcW w:w="7388" w:type="dxa"/>
          </w:tcPr>
          <w:p w14:paraId="07D78F5B">
            <w:pPr>
              <w:spacing w:after="0" w:line="240" w:lineRule="auto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Compliance officer/Human resources officer</w:t>
            </w:r>
          </w:p>
        </w:tc>
      </w:tr>
      <w:tr w14:paraId="45721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 w14:paraId="094E5E92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Effectiveness Metrics</w:t>
            </w:r>
          </w:p>
        </w:tc>
        <w:tc>
          <w:tcPr>
            <w:tcW w:w="7388" w:type="dxa"/>
          </w:tcPr>
          <w:p w14:paraId="28D622B7">
            <w:pPr>
              <w:spacing w:after="0" w:line="240" w:lineRule="auto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Number of compliance findings and violations</w:t>
            </w:r>
          </w:p>
        </w:tc>
      </w:tr>
      <w:tr w14:paraId="0FD98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 w14:paraId="2F2F85B5">
            <w:pPr>
              <w:spacing w:after="0" w:line="240" w:lineRule="auto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</w:rPr>
              <w:t>Residual Risk</w:t>
            </w:r>
          </w:p>
        </w:tc>
        <w:tc>
          <w:tcPr>
            <w:tcW w:w="7388" w:type="dxa"/>
          </w:tcPr>
          <w:p w14:paraId="5FE81D58">
            <w:pPr>
              <w:spacing w:after="0" w:line="240" w:lineRule="auto"/>
              <w:rPr>
                <w:rFonts w:hint="default" w:ascii="Cambria" w:hAnsi="Cambria" w:cs="Cambria"/>
                <w:lang w:val="en-US"/>
              </w:rPr>
            </w:pPr>
            <w:r>
              <w:rPr>
                <w:rFonts w:hint="default" w:ascii="Cambria" w:hAnsi="Cambria" w:cs="Cambria"/>
                <w:lang w:val="en-US"/>
              </w:rPr>
              <w:t>low</w:t>
            </w:r>
          </w:p>
        </w:tc>
      </w:tr>
    </w:tbl>
    <w:p w14:paraId="52438B62">
      <w:pPr>
        <w:rPr>
          <w:rFonts w:hint="default" w:ascii="Cambria" w:hAnsi="Cambria" w:cs="Cambria"/>
        </w:rPr>
      </w:pPr>
    </w:p>
    <w:p w14:paraId="0B7CBC6D">
      <w:pPr>
        <w:pStyle w:val="166"/>
        <w:rPr>
          <w:rFonts w:hint="default" w:ascii="Cambria" w:hAnsi="Cambria" w:cs="Cambria"/>
        </w:rPr>
      </w:pPr>
    </w:p>
    <w:p w14:paraId="235B7213">
      <w:pPr>
        <w:pStyle w:val="166"/>
        <w:rPr>
          <w:rFonts w:hint="default" w:ascii="Cambria" w:hAnsi="Cambria" w:cs="Cambria"/>
        </w:rPr>
      </w:pPr>
    </w:p>
    <w:p w14:paraId="3B80EA83">
      <w:pPr>
        <w:pStyle w:val="166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Submission Guidelines:</w:t>
      </w:r>
    </w:p>
    <w:p w14:paraId="710B5A2D">
      <w:pPr>
        <w:pStyle w:val="167"/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</w:rPr>
        <w:t xml:space="preserve">1. Save this document with the filename format: </w:t>
      </w:r>
      <w:r>
        <w:rPr>
          <w:rFonts w:hint="default" w:ascii="Cambria" w:hAnsi="Cambria" w:cs="Cambria"/>
        </w:rPr>
        <w:t>GRC101_Week3_Lab_FirstName_LastName.docx</w:t>
      </w:r>
      <w:r>
        <w:rPr>
          <w:rFonts w:hint="default" w:ascii="Cambria" w:hAnsi="Cambria" w:cs="Cambria"/>
          <w:b/>
        </w:rPr>
        <w:br w:type="textWrapping"/>
      </w:r>
      <w:r>
        <w:rPr>
          <w:rFonts w:hint="default" w:ascii="Cambria" w:hAnsi="Cambria" w:cs="Cambria"/>
          <w:b/>
        </w:rPr>
        <w:t>2. Submit your completed lab assignment through the course learning management system.</w:t>
      </w:r>
      <w:r>
        <w:rPr>
          <w:rFonts w:hint="default" w:ascii="Cambria" w:hAnsi="Cambria" w:cs="Cambria"/>
          <w:b/>
        </w:rPr>
        <w:br w:type="textWrapping"/>
      </w:r>
      <w:r>
        <w:rPr>
          <w:rFonts w:hint="default" w:ascii="Cambria" w:hAnsi="Cambria" w:cs="Cambria"/>
          <w:b/>
        </w:rPr>
        <w:t xml:space="preserve">3. Due date: </w:t>
      </w:r>
      <w:r>
        <w:rPr>
          <w:rFonts w:hint="default" w:ascii="Cambria" w:hAnsi="Cambria" w:cs="Cambria"/>
        </w:rPr>
        <w:t>[Instructor to specify]</w:t>
      </w:r>
    </w:p>
    <w:p w14:paraId="27DF89C5">
      <w:pPr>
        <w:pStyle w:val="166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Grading Rubric:</w:t>
      </w:r>
    </w:p>
    <w:p w14:paraId="1FE9D9BD">
      <w:pPr>
        <w:pStyle w:val="167"/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</w:rPr>
        <w:t>• Part 1: Risk Management Concepts - 20 points</w:t>
      </w:r>
      <w:r>
        <w:rPr>
          <w:rFonts w:hint="default" w:ascii="Cambria" w:hAnsi="Cambria" w:cs="Cambria"/>
          <w:b/>
        </w:rPr>
        <w:br w:type="textWrapping"/>
      </w:r>
      <w:r>
        <w:rPr>
          <w:rFonts w:hint="default" w:ascii="Cambria" w:hAnsi="Cambria" w:cs="Cambria"/>
          <w:b/>
        </w:rPr>
        <w:t>• Part 2: Risk Identification Exercise - 25 points</w:t>
      </w:r>
      <w:r>
        <w:rPr>
          <w:rFonts w:hint="default" w:ascii="Cambria" w:hAnsi="Cambria" w:cs="Cambria"/>
          <w:b/>
        </w:rPr>
        <w:br w:type="textWrapping"/>
      </w:r>
      <w:r>
        <w:rPr>
          <w:rFonts w:hint="default" w:ascii="Cambria" w:hAnsi="Cambria" w:cs="Cambria"/>
          <w:b/>
        </w:rPr>
        <w:t>• Part 3: Risk Assessment Matrix - 25 points</w:t>
      </w:r>
      <w:r>
        <w:rPr>
          <w:rFonts w:hint="default" w:ascii="Cambria" w:hAnsi="Cambria" w:cs="Cambria"/>
          <w:b/>
        </w:rPr>
        <w:br w:type="textWrapping"/>
      </w:r>
      <w:r>
        <w:rPr>
          <w:rFonts w:hint="default" w:ascii="Cambria" w:hAnsi="Cambria" w:cs="Cambria"/>
          <w:b/>
        </w:rPr>
        <w:t>• Part 4: Risk Mitigation Strategies - 30 points</w:t>
      </w:r>
      <w:r>
        <w:rPr>
          <w:rFonts w:hint="default" w:ascii="Cambria" w:hAnsi="Cambria" w:cs="Cambria"/>
          <w:b/>
        </w:rPr>
        <w:br w:type="textWrapping"/>
      </w:r>
      <w:bookmarkStart w:id="0" w:name="_GoBack"/>
      <w:bookmarkEnd w:id="0"/>
      <w:r>
        <w:rPr>
          <w:rFonts w:hint="default" w:ascii="Cambria" w:hAnsi="Cambria" w:cs="Cambria"/>
          <w:b/>
        </w:rPr>
        <w:t>Total: 100 points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AFF40C"/>
    <w:multiLevelType w:val="singleLevel"/>
    <w:tmpl w:val="8FAFF40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341DEF5"/>
    <w:multiLevelType w:val="singleLevel"/>
    <w:tmpl w:val="C341DEF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AD33DC8"/>
    <w:multiLevelType w:val="singleLevel"/>
    <w:tmpl w:val="CAD33DC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77DDB3C0"/>
    <w:multiLevelType w:val="singleLevel"/>
    <w:tmpl w:val="77DDB3C0"/>
    <w:lvl w:ilvl="0" w:tentative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1"/>
  </w:num>
  <w:num w:numId="8">
    <w:abstractNumId w:val="0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3E7"/>
    <w:rsid w:val="00AA1D8D"/>
    <w:rsid w:val="00B47730"/>
    <w:rsid w:val="00BC1730"/>
    <w:rsid w:val="00CB0664"/>
    <w:rsid w:val="00E80A64"/>
    <w:rsid w:val="00FC693F"/>
    <w:rsid w:val="037549ED"/>
    <w:rsid w:val="4511585F"/>
    <w:rsid w:val="48451FDD"/>
    <w:rsid w:val="4FA17831"/>
    <w:rsid w:val="55A07807"/>
    <w:rsid w:val="582A0DC6"/>
    <w:rsid w:val="5EF55EF4"/>
    <w:rsid w:val="604D3A72"/>
    <w:rsid w:val="620826E5"/>
    <w:rsid w:val="63AE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5">
    <w:name w:val="Title Style"/>
    <w:qFormat/>
    <w:uiPriority w:val="0"/>
    <w:pPr>
      <w:spacing w:after="200" w:line="276" w:lineRule="auto"/>
    </w:pPr>
    <w:rPr>
      <w:rFonts w:ascii="Arial" w:hAnsi="Arial" w:eastAsiaTheme="minorEastAsia" w:cstheme="minorBidi"/>
      <w:b/>
      <w:color w:val="1E3A8A"/>
      <w:sz w:val="36"/>
      <w:szCs w:val="22"/>
      <w:lang w:val="en-US" w:eastAsia="en-US" w:bidi="ar-SA"/>
    </w:rPr>
  </w:style>
  <w:style w:type="paragraph" w:customStyle="1" w:styleId="166">
    <w:name w:val="Heading Style"/>
    <w:qFormat/>
    <w:uiPriority w:val="0"/>
    <w:pPr>
      <w:spacing w:after="200" w:line="276" w:lineRule="auto"/>
    </w:pPr>
    <w:rPr>
      <w:rFonts w:ascii="Arial" w:hAnsi="Arial" w:eastAsiaTheme="minorEastAsia" w:cstheme="minorBidi"/>
      <w:b/>
      <w:color w:val="0D9488"/>
      <w:sz w:val="28"/>
      <w:szCs w:val="22"/>
      <w:lang w:val="en-US" w:eastAsia="en-US" w:bidi="ar-SA"/>
    </w:rPr>
  </w:style>
  <w:style w:type="paragraph" w:customStyle="1" w:styleId="167">
    <w:name w:val="Normal Style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666</Words>
  <Characters>3802</Characters>
  <Lines>31</Lines>
  <Paragraphs>8</Paragraphs>
  <TotalTime>58</TotalTime>
  <ScaleCrop>false</ScaleCrop>
  <LinksUpToDate>false</LinksUpToDate>
  <CharactersWithSpaces>4460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2026-01-29T20:36:27Z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bf5275ee-fc55-4ddc-8d52-8010e5b0e8b4</vt:lpwstr>
  </property>
  <property fmtid="{D5CDD505-2E9C-101B-9397-08002B2CF9AE}" pid="3" name="KSOProductBuildVer">
    <vt:lpwstr>1033-12.2.0.23196</vt:lpwstr>
  </property>
  <property fmtid="{D5CDD505-2E9C-101B-9397-08002B2CF9AE}" pid="4" name="ICV">
    <vt:lpwstr>F741EBAFA0D94AF8B47D139677937F9B_12</vt:lpwstr>
  </property>
</Properties>
</file>