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98F66" w14:textId="77777777" w:rsidR="00D14D71" w:rsidRDefault="00D14D71" w:rsidP="001D6FB0">
      <w:pPr>
        <w:jc w:val="center"/>
        <w:rPr>
          <w:rFonts w:ascii="Times New Roman" w:hAnsi="Times New Roman" w:cs="Times New Roman"/>
          <w:b/>
          <w:bCs/>
          <w:i/>
          <w:iCs/>
          <w:sz w:val="28"/>
          <w:szCs w:val="28"/>
          <w:u w:val="single"/>
        </w:rPr>
      </w:pPr>
    </w:p>
    <w:p w14:paraId="61900C74" w14:textId="77777777" w:rsidR="00D14D71" w:rsidRDefault="00D14D71" w:rsidP="001D6FB0">
      <w:pPr>
        <w:jc w:val="center"/>
        <w:rPr>
          <w:rFonts w:ascii="Times New Roman" w:hAnsi="Times New Roman" w:cs="Times New Roman"/>
          <w:b/>
          <w:bCs/>
          <w:i/>
          <w:iCs/>
          <w:sz w:val="28"/>
          <w:szCs w:val="28"/>
          <w:u w:val="single"/>
        </w:rPr>
      </w:pPr>
    </w:p>
    <w:p w14:paraId="5C0A25A5" w14:textId="77777777" w:rsidR="00D14D71" w:rsidRDefault="00D14D71" w:rsidP="001D6FB0">
      <w:pPr>
        <w:jc w:val="center"/>
        <w:rPr>
          <w:rFonts w:ascii="Times New Roman" w:hAnsi="Times New Roman" w:cs="Times New Roman"/>
          <w:b/>
          <w:bCs/>
          <w:i/>
          <w:iCs/>
          <w:sz w:val="28"/>
          <w:szCs w:val="28"/>
          <w:u w:val="single"/>
        </w:rPr>
      </w:pPr>
    </w:p>
    <w:p w14:paraId="676CC404" w14:textId="77777777" w:rsidR="00D14D71" w:rsidRDefault="00D14D71" w:rsidP="001D6FB0">
      <w:pPr>
        <w:jc w:val="center"/>
        <w:rPr>
          <w:rFonts w:ascii="Times New Roman" w:hAnsi="Times New Roman" w:cs="Times New Roman"/>
          <w:b/>
          <w:bCs/>
          <w:i/>
          <w:iCs/>
          <w:sz w:val="28"/>
          <w:szCs w:val="28"/>
          <w:u w:val="single"/>
        </w:rPr>
      </w:pPr>
    </w:p>
    <w:p w14:paraId="2F42CA96" w14:textId="77777777" w:rsidR="00D14D71" w:rsidRDefault="00D14D71" w:rsidP="001D6FB0">
      <w:pPr>
        <w:jc w:val="center"/>
        <w:rPr>
          <w:rFonts w:ascii="Times New Roman" w:hAnsi="Times New Roman" w:cs="Times New Roman"/>
          <w:b/>
          <w:bCs/>
          <w:i/>
          <w:iCs/>
          <w:sz w:val="28"/>
          <w:szCs w:val="28"/>
          <w:u w:val="single"/>
        </w:rPr>
      </w:pPr>
    </w:p>
    <w:p w14:paraId="5416C247" w14:textId="77777777" w:rsidR="00D14D71" w:rsidRDefault="00D14D71" w:rsidP="001D6FB0">
      <w:pPr>
        <w:jc w:val="center"/>
        <w:rPr>
          <w:rFonts w:ascii="Times New Roman" w:hAnsi="Times New Roman" w:cs="Times New Roman"/>
          <w:b/>
          <w:bCs/>
          <w:i/>
          <w:iCs/>
          <w:sz w:val="28"/>
          <w:szCs w:val="28"/>
          <w:u w:val="single"/>
        </w:rPr>
      </w:pPr>
    </w:p>
    <w:p w14:paraId="4F3E8E61" w14:textId="77777777" w:rsidR="00D14D71" w:rsidRDefault="00D14D71" w:rsidP="001D6FB0">
      <w:pPr>
        <w:jc w:val="center"/>
        <w:rPr>
          <w:rFonts w:ascii="Times New Roman" w:hAnsi="Times New Roman" w:cs="Times New Roman"/>
          <w:b/>
          <w:bCs/>
          <w:i/>
          <w:iCs/>
          <w:sz w:val="28"/>
          <w:szCs w:val="28"/>
          <w:u w:val="single"/>
        </w:rPr>
      </w:pPr>
    </w:p>
    <w:p w14:paraId="0AB2C05E" w14:textId="4A26D823" w:rsidR="001D6FB0" w:rsidRPr="00D14D71" w:rsidRDefault="001D6FB0" w:rsidP="001D6FB0">
      <w:pPr>
        <w:jc w:val="center"/>
        <w:rPr>
          <w:rFonts w:ascii="Times New Roman" w:hAnsi="Times New Roman" w:cs="Times New Roman"/>
          <w:b/>
          <w:bCs/>
          <w:sz w:val="28"/>
          <w:szCs w:val="28"/>
        </w:rPr>
      </w:pPr>
      <w:r w:rsidRPr="00D14D71">
        <w:rPr>
          <w:rFonts w:ascii="Times New Roman" w:hAnsi="Times New Roman" w:cs="Times New Roman"/>
          <w:b/>
          <w:bCs/>
          <w:i/>
          <w:iCs/>
          <w:sz w:val="28"/>
          <w:szCs w:val="28"/>
          <w:u w:val="single"/>
        </w:rPr>
        <w:t>Research Summary</w:t>
      </w:r>
    </w:p>
    <w:p w14:paraId="05782B56" w14:textId="6ADBB4D8" w:rsidR="001D6FB0" w:rsidRDefault="001D6FB0" w:rsidP="00D14D71">
      <w:pPr>
        <w:jc w:val="center"/>
        <w:rPr>
          <w:rFonts w:ascii="Times New Roman" w:hAnsi="Times New Roman" w:cs="Times New Roman"/>
        </w:rPr>
      </w:pPr>
      <w:proofErr w:type="gramStart"/>
      <w:r w:rsidRPr="00D14D71">
        <w:rPr>
          <w:rFonts w:ascii="Times New Roman" w:hAnsi="Times New Roman" w:cs="Times New Roman"/>
          <w:b/>
          <w:bCs/>
          <w:i/>
          <w:iCs/>
          <w:sz w:val="28"/>
          <w:szCs w:val="28"/>
        </w:rPr>
        <w:t>Title</w:t>
      </w:r>
      <w:r w:rsidRPr="00D14D71">
        <w:rPr>
          <w:rFonts w:ascii="Times New Roman" w:hAnsi="Times New Roman" w:cs="Times New Roman"/>
          <w:b/>
          <w:bCs/>
          <w:i/>
          <w:iCs/>
          <w:sz w:val="28"/>
          <w:szCs w:val="28"/>
        </w:rPr>
        <w:t xml:space="preserve"> </w:t>
      </w:r>
      <w:r w:rsidRPr="00D14D71">
        <w:rPr>
          <w:rFonts w:ascii="Times New Roman" w:hAnsi="Times New Roman" w:cs="Times New Roman"/>
          <w:b/>
          <w:bCs/>
          <w:sz w:val="28"/>
          <w:szCs w:val="28"/>
        </w:rPr>
        <w:t>:</w:t>
      </w:r>
      <w:proofErr w:type="gramEnd"/>
      <w:r w:rsidRPr="00D14D71">
        <w:rPr>
          <w:rFonts w:ascii="Times New Roman" w:hAnsi="Times New Roman" w:cs="Times New Roman"/>
          <w:b/>
          <w:bCs/>
          <w:sz w:val="28"/>
          <w:szCs w:val="28"/>
        </w:rPr>
        <w:t xml:space="preserve"> </w:t>
      </w:r>
      <w:r w:rsidRPr="00D14D71">
        <w:rPr>
          <w:rFonts w:ascii="Times New Roman" w:hAnsi="Times New Roman" w:cs="Times New Roman"/>
        </w:rPr>
        <w:t>Robust Aggregation Against Byzantine Attacks in Federated Learning for Internet of Medical Things (IoMT)-Based Smart Healthcare</w:t>
      </w:r>
      <w:r w:rsidR="00D14D71" w:rsidRPr="00D14D71">
        <w:rPr>
          <w:rFonts w:ascii="Times New Roman" w:hAnsi="Times New Roman" w:cs="Times New Roman"/>
        </w:rPr>
        <w:t>.</w:t>
      </w:r>
    </w:p>
    <w:p w14:paraId="19A3669E" w14:textId="77777777" w:rsidR="00D14D71" w:rsidRDefault="00D14D71" w:rsidP="00D14D71">
      <w:pPr>
        <w:jc w:val="center"/>
        <w:rPr>
          <w:rFonts w:ascii="Times New Roman" w:hAnsi="Times New Roman" w:cs="Times New Roman"/>
        </w:rPr>
      </w:pPr>
    </w:p>
    <w:p w14:paraId="6BB2B8F5" w14:textId="77777777" w:rsidR="00D14D71" w:rsidRDefault="00D14D71" w:rsidP="00D14D71">
      <w:pPr>
        <w:jc w:val="center"/>
        <w:rPr>
          <w:rFonts w:ascii="Times New Roman" w:hAnsi="Times New Roman" w:cs="Times New Roman"/>
        </w:rPr>
      </w:pPr>
    </w:p>
    <w:p w14:paraId="2511663E" w14:textId="77777777" w:rsidR="00D14D71" w:rsidRDefault="00D14D71" w:rsidP="00D14D71">
      <w:pPr>
        <w:jc w:val="center"/>
        <w:rPr>
          <w:rFonts w:ascii="Times New Roman" w:hAnsi="Times New Roman" w:cs="Times New Roman"/>
        </w:rPr>
      </w:pPr>
    </w:p>
    <w:p w14:paraId="47301A12" w14:textId="77777777" w:rsidR="00D14D71" w:rsidRDefault="00D14D71" w:rsidP="00D14D71">
      <w:pPr>
        <w:jc w:val="center"/>
        <w:rPr>
          <w:rFonts w:ascii="Times New Roman" w:hAnsi="Times New Roman" w:cs="Times New Roman"/>
        </w:rPr>
      </w:pPr>
    </w:p>
    <w:p w14:paraId="0D3A7882" w14:textId="77777777" w:rsidR="00D14D71" w:rsidRDefault="00D14D71" w:rsidP="00D14D71">
      <w:pPr>
        <w:jc w:val="center"/>
        <w:rPr>
          <w:rFonts w:ascii="Times New Roman" w:hAnsi="Times New Roman" w:cs="Times New Roman"/>
        </w:rPr>
      </w:pPr>
    </w:p>
    <w:p w14:paraId="523558AC" w14:textId="77777777" w:rsidR="00D14D71" w:rsidRDefault="00D14D71" w:rsidP="00D14D71">
      <w:pPr>
        <w:jc w:val="center"/>
        <w:rPr>
          <w:rFonts w:ascii="Times New Roman" w:hAnsi="Times New Roman" w:cs="Times New Roman"/>
        </w:rPr>
      </w:pPr>
    </w:p>
    <w:p w14:paraId="4D8FADB9" w14:textId="77777777" w:rsidR="00D14D71" w:rsidRDefault="00D14D71" w:rsidP="00D14D71">
      <w:pPr>
        <w:jc w:val="center"/>
        <w:rPr>
          <w:rFonts w:ascii="Times New Roman" w:hAnsi="Times New Roman" w:cs="Times New Roman"/>
        </w:rPr>
      </w:pPr>
    </w:p>
    <w:p w14:paraId="0C33E25E" w14:textId="77777777" w:rsidR="00D14D71" w:rsidRDefault="00D14D71" w:rsidP="00D14D71">
      <w:pPr>
        <w:jc w:val="center"/>
        <w:rPr>
          <w:rFonts w:ascii="Times New Roman" w:hAnsi="Times New Roman" w:cs="Times New Roman"/>
        </w:rPr>
      </w:pPr>
    </w:p>
    <w:p w14:paraId="70320CF0" w14:textId="77777777" w:rsidR="00D14D71" w:rsidRDefault="00D14D71" w:rsidP="00D14D71">
      <w:pPr>
        <w:jc w:val="center"/>
        <w:rPr>
          <w:rFonts w:ascii="Times New Roman" w:hAnsi="Times New Roman" w:cs="Times New Roman"/>
        </w:rPr>
      </w:pPr>
    </w:p>
    <w:p w14:paraId="3DC2A025" w14:textId="77777777" w:rsidR="00D14D71" w:rsidRDefault="00D14D71" w:rsidP="00D14D71">
      <w:pPr>
        <w:jc w:val="center"/>
        <w:rPr>
          <w:rFonts w:ascii="Times New Roman" w:hAnsi="Times New Roman" w:cs="Times New Roman"/>
        </w:rPr>
      </w:pPr>
    </w:p>
    <w:p w14:paraId="36BA2F1A" w14:textId="77777777" w:rsidR="00D14D71" w:rsidRDefault="00D14D71" w:rsidP="00D14D71">
      <w:pPr>
        <w:jc w:val="center"/>
        <w:rPr>
          <w:rFonts w:ascii="Times New Roman" w:hAnsi="Times New Roman" w:cs="Times New Roman"/>
        </w:rPr>
      </w:pPr>
    </w:p>
    <w:p w14:paraId="593F8238" w14:textId="77777777" w:rsidR="00D464D3" w:rsidRDefault="00D464D3" w:rsidP="00D14D71">
      <w:pPr>
        <w:jc w:val="center"/>
        <w:rPr>
          <w:rFonts w:ascii="Times New Roman" w:hAnsi="Times New Roman" w:cs="Times New Roman"/>
        </w:rPr>
      </w:pPr>
    </w:p>
    <w:p w14:paraId="581C7022" w14:textId="77777777" w:rsidR="00D464D3" w:rsidRDefault="00D464D3" w:rsidP="00D14D71">
      <w:pPr>
        <w:jc w:val="center"/>
        <w:rPr>
          <w:rFonts w:ascii="Times New Roman" w:hAnsi="Times New Roman" w:cs="Times New Roman"/>
        </w:rPr>
      </w:pPr>
    </w:p>
    <w:p w14:paraId="10011048" w14:textId="77777777" w:rsidR="00D464D3" w:rsidRDefault="00D464D3" w:rsidP="00D14D71">
      <w:pPr>
        <w:jc w:val="center"/>
        <w:rPr>
          <w:rFonts w:ascii="Times New Roman" w:hAnsi="Times New Roman" w:cs="Times New Roman"/>
        </w:rPr>
      </w:pPr>
    </w:p>
    <w:p w14:paraId="3720A5B3" w14:textId="77777777" w:rsidR="00D464D3" w:rsidRDefault="00D464D3" w:rsidP="00D14D71">
      <w:pPr>
        <w:jc w:val="center"/>
        <w:rPr>
          <w:rFonts w:ascii="Times New Roman" w:hAnsi="Times New Roman" w:cs="Times New Roman"/>
        </w:rPr>
      </w:pPr>
    </w:p>
    <w:sdt>
      <w:sdtPr>
        <w:id w:val="25410485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1CA9604" w14:textId="35689117" w:rsidR="00D464D3" w:rsidRDefault="00D464D3" w:rsidP="00D464D3">
          <w:pPr>
            <w:pStyle w:val="TOCHeading"/>
            <w:jc w:val="center"/>
          </w:pPr>
          <w:r>
            <w:t>Contents</w:t>
          </w:r>
        </w:p>
        <w:p w14:paraId="38827DE2" w14:textId="748593B5" w:rsidR="00D464D3" w:rsidRDefault="00D464D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6180863" w:history="1">
            <w:r w:rsidRPr="0003785A">
              <w:rPr>
                <w:rStyle w:val="Hyperlink"/>
                <w:rFonts w:ascii="Times New Roman" w:hAnsi="Times New Roman" w:cs="Times New Roman"/>
                <w:noProof/>
              </w:rPr>
              <w:t>1. Problem Definition</w:t>
            </w:r>
            <w:r>
              <w:rPr>
                <w:noProof/>
                <w:webHidden/>
              </w:rPr>
              <w:tab/>
            </w:r>
            <w:r>
              <w:rPr>
                <w:noProof/>
                <w:webHidden/>
              </w:rPr>
              <w:fldChar w:fldCharType="begin"/>
            </w:r>
            <w:r>
              <w:rPr>
                <w:noProof/>
                <w:webHidden/>
              </w:rPr>
              <w:instrText xml:space="preserve"> PAGEREF _Toc236180863 \h </w:instrText>
            </w:r>
            <w:r>
              <w:rPr>
                <w:noProof/>
                <w:webHidden/>
              </w:rPr>
            </w:r>
            <w:r>
              <w:rPr>
                <w:noProof/>
                <w:webHidden/>
              </w:rPr>
              <w:fldChar w:fldCharType="separate"/>
            </w:r>
            <w:r>
              <w:rPr>
                <w:noProof/>
                <w:webHidden/>
              </w:rPr>
              <w:t>3</w:t>
            </w:r>
            <w:r>
              <w:rPr>
                <w:noProof/>
                <w:webHidden/>
              </w:rPr>
              <w:fldChar w:fldCharType="end"/>
            </w:r>
          </w:hyperlink>
        </w:p>
        <w:p w14:paraId="0124245B" w14:textId="3392A484" w:rsidR="00D464D3" w:rsidRDefault="00D464D3">
          <w:pPr>
            <w:pStyle w:val="TOC1"/>
            <w:tabs>
              <w:tab w:val="right" w:leader="dot" w:pos="9350"/>
            </w:tabs>
            <w:rPr>
              <w:rFonts w:eastAsiaTheme="minorEastAsia"/>
              <w:noProof/>
            </w:rPr>
          </w:pPr>
          <w:hyperlink w:anchor="_Toc236180864" w:history="1">
            <w:r w:rsidRPr="0003785A">
              <w:rPr>
                <w:rStyle w:val="Hyperlink"/>
                <w:rFonts w:ascii="Times New Roman" w:hAnsi="Times New Roman" w:cs="Times New Roman"/>
                <w:noProof/>
              </w:rPr>
              <w:t>2. State-of-the-Art (SOTA) Analysis</w:t>
            </w:r>
            <w:r>
              <w:rPr>
                <w:noProof/>
                <w:webHidden/>
              </w:rPr>
              <w:tab/>
            </w:r>
            <w:r>
              <w:rPr>
                <w:noProof/>
                <w:webHidden/>
              </w:rPr>
              <w:fldChar w:fldCharType="begin"/>
            </w:r>
            <w:r>
              <w:rPr>
                <w:noProof/>
                <w:webHidden/>
              </w:rPr>
              <w:instrText xml:space="preserve"> PAGEREF _Toc236180864 \h </w:instrText>
            </w:r>
            <w:r>
              <w:rPr>
                <w:noProof/>
                <w:webHidden/>
              </w:rPr>
            </w:r>
            <w:r>
              <w:rPr>
                <w:noProof/>
                <w:webHidden/>
              </w:rPr>
              <w:fldChar w:fldCharType="separate"/>
            </w:r>
            <w:r>
              <w:rPr>
                <w:noProof/>
                <w:webHidden/>
              </w:rPr>
              <w:t>3</w:t>
            </w:r>
            <w:r>
              <w:rPr>
                <w:noProof/>
                <w:webHidden/>
              </w:rPr>
              <w:fldChar w:fldCharType="end"/>
            </w:r>
          </w:hyperlink>
        </w:p>
        <w:p w14:paraId="62935960" w14:textId="6828C0B0" w:rsidR="00D464D3" w:rsidRDefault="00D464D3">
          <w:pPr>
            <w:pStyle w:val="TOC2"/>
            <w:tabs>
              <w:tab w:val="right" w:leader="dot" w:pos="9350"/>
            </w:tabs>
            <w:rPr>
              <w:rFonts w:eastAsiaTheme="minorEastAsia"/>
              <w:noProof/>
            </w:rPr>
          </w:pPr>
          <w:hyperlink w:anchor="_Toc236180865" w:history="1">
            <w:r w:rsidRPr="0003785A">
              <w:rPr>
                <w:rStyle w:val="Hyperlink"/>
                <w:rFonts w:ascii="Times New Roman" w:hAnsi="Times New Roman" w:cs="Times New Roman"/>
                <w:noProof/>
              </w:rPr>
              <w:t>2.1 Comparison of Recent SOTA Methods (2023–2026)</w:t>
            </w:r>
            <w:r>
              <w:rPr>
                <w:noProof/>
                <w:webHidden/>
              </w:rPr>
              <w:tab/>
            </w:r>
            <w:r>
              <w:rPr>
                <w:noProof/>
                <w:webHidden/>
              </w:rPr>
              <w:fldChar w:fldCharType="begin"/>
            </w:r>
            <w:r>
              <w:rPr>
                <w:noProof/>
                <w:webHidden/>
              </w:rPr>
              <w:instrText xml:space="preserve"> PAGEREF _Toc236180865 \h </w:instrText>
            </w:r>
            <w:r>
              <w:rPr>
                <w:noProof/>
                <w:webHidden/>
              </w:rPr>
            </w:r>
            <w:r>
              <w:rPr>
                <w:noProof/>
                <w:webHidden/>
              </w:rPr>
              <w:fldChar w:fldCharType="separate"/>
            </w:r>
            <w:r>
              <w:rPr>
                <w:noProof/>
                <w:webHidden/>
              </w:rPr>
              <w:t>4</w:t>
            </w:r>
            <w:r>
              <w:rPr>
                <w:noProof/>
                <w:webHidden/>
              </w:rPr>
              <w:fldChar w:fldCharType="end"/>
            </w:r>
          </w:hyperlink>
        </w:p>
        <w:p w14:paraId="49D8990F" w14:textId="6B3CDAD4" w:rsidR="00D464D3" w:rsidRDefault="00D464D3">
          <w:pPr>
            <w:pStyle w:val="TOC1"/>
            <w:tabs>
              <w:tab w:val="right" w:leader="dot" w:pos="9350"/>
            </w:tabs>
            <w:rPr>
              <w:rFonts w:eastAsiaTheme="minorEastAsia"/>
              <w:noProof/>
            </w:rPr>
          </w:pPr>
          <w:hyperlink w:anchor="_Toc236180866" w:history="1">
            <w:r w:rsidRPr="0003785A">
              <w:rPr>
                <w:rStyle w:val="Hyperlink"/>
                <w:rFonts w:ascii="Times New Roman" w:hAnsi="Times New Roman" w:cs="Times New Roman"/>
                <w:noProof/>
              </w:rPr>
              <w:t>3. Technical Gaps</w:t>
            </w:r>
            <w:r>
              <w:rPr>
                <w:noProof/>
                <w:webHidden/>
              </w:rPr>
              <w:tab/>
            </w:r>
            <w:r>
              <w:rPr>
                <w:noProof/>
                <w:webHidden/>
              </w:rPr>
              <w:fldChar w:fldCharType="begin"/>
            </w:r>
            <w:r>
              <w:rPr>
                <w:noProof/>
                <w:webHidden/>
              </w:rPr>
              <w:instrText xml:space="preserve"> PAGEREF _Toc236180866 \h </w:instrText>
            </w:r>
            <w:r>
              <w:rPr>
                <w:noProof/>
                <w:webHidden/>
              </w:rPr>
            </w:r>
            <w:r>
              <w:rPr>
                <w:noProof/>
                <w:webHidden/>
              </w:rPr>
              <w:fldChar w:fldCharType="separate"/>
            </w:r>
            <w:r>
              <w:rPr>
                <w:noProof/>
                <w:webHidden/>
              </w:rPr>
              <w:t>5</w:t>
            </w:r>
            <w:r>
              <w:rPr>
                <w:noProof/>
                <w:webHidden/>
              </w:rPr>
              <w:fldChar w:fldCharType="end"/>
            </w:r>
          </w:hyperlink>
        </w:p>
        <w:p w14:paraId="1574A9F2" w14:textId="651673AD" w:rsidR="00D464D3" w:rsidRDefault="00D464D3">
          <w:pPr>
            <w:pStyle w:val="TOC1"/>
            <w:tabs>
              <w:tab w:val="right" w:leader="dot" w:pos="9350"/>
            </w:tabs>
            <w:rPr>
              <w:rFonts w:eastAsiaTheme="minorEastAsia"/>
              <w:noProof/>
            </w:rPr>
          </w:pPr>
          <w:hyperlink w:anchor="_Toc236180867" w:history="1">
            <w:r w:rsidRPr="0003785A">
              <w:rPr>
                <w:rStyle w:val="Hyperlink"/>
                <w:rFonts w:ascii="Times New Roman" w:hAnsi="Times New Roman" w:cs="Times New Roman"/>
                <w:noProof/>
              </w:rPr>
              <w:t>4. Proposed Direction</w:t>
            </w:r>
            <w:r>
              <w:rPr>
                <w:noProof/>
                <w:webHidden/>
              </w:rPr>
              <w:tab/>
            </w:r>
            <w:r>
              <w:rPr>
                <w:noProof/>
                <w:webHidden/>
              </w:rPr>
              <w:fldChar w:fldCharType="begin"/>
            </w:r>
            <w:r>
              <w:rPr>
                <w:noProof/>
                <w:webHidden/>
              </w:rPr>
              <w:instrText xml:space="preserve"> PAGEREF _Toc236180867 \h </w:instrText>
            </w:r>
            <w:r>
              <w:rPr>
                <w:noProof/>
                <w:webHidden/>
              </w:rPr>
            </w:r>
            <w:r>
              <w:rPr>
                <w:noProof/>
                <w:webHidden/>
              </w:rPr>
              <w:fldChar w:fldCharType="separate"/>
            </w:r>
            <w:r>
              <w:rPr>
                <w:noProof/>
                <w:webHidden/>
              </w:rPr>
              <w:t>6</w:t>
            </w:r>
            <w:r>
              <w:rPr>
                <w:noProof/>
                <w:webHidden/>
              </w:rPr>
              <w:fldChar w:fldCharType="end"/>
            </w:r>
          </w:hyperlink>
        </w:p>
        <w:p w14:paraId="37A8660E" w14:textId="79FCF587" w:rsidR="00D464D3" w:rsidRDefault="00D464D3">
          <w:pPr>
            <w:pStyle w:val="TOC1"/>
            <w:tabs>
              <w:tab w:val="right" w:leader="dot" w:pos="9350"/>
            </w:tabs>
            <w:rPr>
              <w:rFonts w:eastAsiaTheme="minorEastAsia"/>
              <w:noProof/>
            </w:rPr>
          </w:pPr>
          <w:hyperlink w:anchor="_Toc236180868" w:history="1">
            <w:r w:rsidRPr="0003785A">
              <w:rPr>
                <w:rStyle w:val="Hyperlink"/>
                <w:rFonts w:ascii="Times New Roman" w:hAnsi="Times New Roman" w:cs="Times New Roman"/>
                <w:noProof/>
              </w:rPr>
              <w:t>5. Bibliography</w:t>
            </w:r>
            <w:r>
              <w:rPr>
                <w:noProof/>
                <w:webHidden/>
              </w:rPr>
              <w:tab/>
            </w:r>
            <w:r>
              <w:rPr>
                <w:noProof/>
                <w:webHidden/>
              </w:rPr>
              <w:fldChar w:fldCharType="begin"/>
            </w:r>
            <w:r>
              <w:rPr>
                <w:noProof/>
                <w:webHidden/>
              </w:rPr>
              <w:instrText xml:space="preserve"> PAGEREF _Toc236180868 \h </w:instrText>
            </w:r>
            <w:r>
              <w:rPr>
                <w:noProof/>
                <w:webHidden/>
              </w:rPr>
            </w:r>
            <w:r>
              <w:rPr>
                <w:noProof/>
                <w:webHidden/>
              </w:rPr>
              <w:fldChar w:fldCharType="separate"/>
            </w:r>
            <w:r>
              <w:rPr>
                <w:noProof/>
                <w:webHidden/>
              </w:rPr>
              <w:t>6</w:t>
            </w:r>
            <w:r>
              <w:rPr>
                <w:noProof/>
                <w:webHidden/>
              </w:rPr>
              <w:fldChar w:fldCharType="end"/>
            </w:r>
          </w:hyperlink>
        </w:p>
        <w:p w14:paraId="13E9EDA0" w14:textId="7864283C" w:rsidR="00D464D3" w:rsidRDefault="00D464D3">
          <w:r>
            <w:rPr>
              <w:b/>
              <w:bCs/>
              <w:noProof/>
            </w:rPr>
            <w:fldChar w:fldCharType="end"/>
          </w:r>
        </w:p>
      </w:sdtContent>
    </w:sdt>
    <w:p w14:paraId="3E3816C7" w14:textId="77777777" w:rsidR="00D14D71" w:rsidRDefault="00D14D71" w:rsidP="00D14D71">
      <w:pPr>
        <w:jc w:val="center"/>
        <w:rPr>
          <w:rFonts w:ascii="Times New Roman" w:hAnsi="Times New Roman" w:cs="Times New Roman"/>
        </w:rPr>
      </w:pPr>
    </w:p>
    <w:p w14:paraId="78A16BB5" w14:textId="77777777" w:rsidR="00D14D71" w:rsidRDefault="00D14D71" w:rsidP="00D14D71">
      <w:pPr>
        <w:jc w:val="center"/>
        <w:rPr>
          <w:rFonts w:ascii="Times New Roman" w:hAnsi="Times New Roman" w:cs="Times New Roman"/>
        </w:rPr>
      </w:pPr>
    </w:p>
    <w:p w14:paraId="211E5C97" w14:textId="77777777" w:rsidR="00D14D71" w:rsidRDefault="00D14D71" w:rsidP="00D14D71">
      <w:pPr>
        <w:jc w:val="center"/>
        <w:rPr>
          <w:rFonts w:ascii="Times New Roman" w:hAnsi="Times New Roman" w:cs="Times New Roman"/>
        </w:rPr>
      </w:pPr>
    </w:p>
    <w:p w14:paraId="44DE6667" w14:textId="77777777" w:rsidR="00D14D71" w:rsidRDefault="00D14D71" w:rsidP="00D14D71">
      <w:pPr>
        <w:jc w:val="center"/>
        <w:rPr>
          <w:rFonts w:ascii="Times New Roman" w:hAnsi="Times New Roman" w:cs="Times New Roman"/>
        </w:rPr>
      </w:pPr>
    </w:p>
    <w:p w14:paraId="0664220A" w14:textId="77777777" w:rsidR="00D14D71" w:rsidRDefault="00D14D71" w:rsidP="00D14D71">
      <w:pPr>
        <w:jc w:val="center"/>
        <w:rPr>
          <w:rFonts w:ascii="Times New Roman" w:hAnsi="Times New Roman" w:cs="Times New Roman"/>
        </w:rPr>
      </w:pPr>
    </w:p>
    <w:p w14:paraId="59A6E6CD" w14:textId="77777777" w:rsidR="00D14D71" w:rsidRDefault="00D14D71" w:rsidP="00D14D71">
      <w:pPr>
        <w:jc w:val="center"/>
        <w:rPr>
          <w:rFonts w:ascii="Times New Roman" w:hAnsi="Times New Roman" w:cs="Times New Roman"/>
        </w:rPr>
      </w:pPr>
    </w:p>
    <w:p w14:paraId="28EFBD89" w14:textId="77777777" w:rsidR="00D14D71" w:rsidRDefault="00D14D71" w:rsidP="00D14D71">
      <w:pPr>
        <w:jc w:val="center"/>
        <w:rPr>
          <w:rFonts w:ascii="Times New Roman" w:hAnsi="Times New Roman" w:cs="Times New Roman"/>
        </w:rPr>
      </w:pPr>
    </w:p>
    <w:p w14:paraId="0EB9E801" w14:textId="77777777" w:rsidR="00D14D71" w:rsidRDefault="00D14D71" w:rsidP="00D14D71">
      <w:pPr>
        <w:jc w:val="center"/>
        <w:rPr>
          <w:rFonts w:ascii="Times New Roman" w:hAnsi="Times New Roman" w:cs="Times New Roman"/>
        </w:rPr>
      </w:pPr>
    </w:p>
    <w:p w14:paraId="411EB1D4" w14:textId="77777777" w:rsidR="00D14D71" w:rsidRDefault="00D14D71" w:rsidP="00D14D71">
      <w:pPr>
        <w:jc w:val="center"/>
        <w:rPr>
          <w:rFonts w:ascii="Times New Roman" w:hAnsi="Times New Roman" w:cs="Times New Roman"/>
        </w:rPr>
      </w:pPr>
    </w:p>
    <w:p w14:paraId="703B9DA5" w14:textId="77777777" w:rsidR="00D14D71" w:rsidRDefault="00D14D71" w:rsidP="00D14D71">
      <w:pPr>
        <w:jc w:val="center"/>
        <w:rPr>
          <w:rFonts w:ascii="Times New Roman" w:hAnsi="Times New Roman" w:cs="Times New Roman"/>
        </w:rPr>
      </w:pPr>
    </w:p>
    <w:p w14:paraId="60A4E389" w14:textId="77777777" w:rsidR="00D14D71" w:rsidRDefault="00D14D71" w:rsidP="00D14D71">
      <w:pPr>
        <w:jc w:val="center"/>
        <w:rPr>
          <w:rFonts w:ascii="Times New Roman" w:hAnsi="Times New Roman" w:cs="Times New Roman"/>
        </w:rPr>
      </w:pPr>
    </w:p>
    <w:p w14:paraId="67190EED" w14:textId="77777777" w:rsidR="00D14D71" w:rsidRDefault="00D14D71" w:rsidP="00D14D71">
      <w:pPr>
        <w:jc w:val="center"/>
        <w:rPr>
          <w:rFonts w:ascii="Times New Roman" w:hAnsi="Times New Roman" w:cs="Times New Roman"/>
        </w:rPr>
      </w:pPr>
    </w:p>
    <w:p w14:paraId="63D54D29" w14:textId="77777777" w:rsidR="00D14D71" w:rsidRDefault="00D14D71" w:rsidP="00D14D71">
      <w:pPr>
        <w:jc w:val="center"/>
        <w:rPr>
          <w:rFonts w:ascii="Times New Roman" w:hAnsi="Times New Roman" w:cs="Times New Roman"/>
        </w:rPr>
      </w:pPr>
    </w:p>
    <w:p w14:paraId="79BDA6DA" w14:textId="77777777" w:rsidR="00D14D71" w:rsidRDefault="00D14D71" w:rsidP="00D14D71">
      <w:pPr>
        <w:jc w:val="center"/>
        <w:rPr>
          <w:rFonts w:ascii="Times New Roman" w:hAnsi="Times New Roman" w:cs="Times New Roman"/>
        </w:rPr>
      </w:pPr>
    </w:p>
    <w:p w14:paraId="4FE1E5BA" w14:textId="77777777" w:rsidR="00D14D71" w:rsidRDefault="00D14D71" w:rsidP="00D14D71">
      <w:pPr>
        <w:jc w:val="center"/>
        <w:rPr>
          <w:rFonts w:ascii="Times New Roman" w:hAnsi="Times New Roman" w:cs="Times New Roman"/>
        </w:rPr>
      </w:pPr>
    </w:p>
    <w:p w14:paraId="1B4B16C0" w14:textId="77777777" w:rsidR="00D464D3" w:rsidRDefault="00D464D3" w:rsidP="00D14D71">
      <w:pPr>
        <w:jc w:val="center"/>
        <w:rPr>
          <w:rFonts w:ascii="Times New Roman" w:hAnsi="Times New Roman" w:cs="Times New Roman"/>
        </w:rPr>
      </w:pPr>
    </w:p>
    <w:p w14:paraId="6BAA3712" w14:textId="77777777" w:rsidR="00D464D3" w:rsidRDefault="00D464D3" w:rsidP="00D14D71">
      <w:pPr>
        <w:jc w:val="center"/>
        <w:rPr>
          <w:rFonts w:ascii="Times New Roman" w:hAnsi="Times New Roman" w:cs="Times New Roman"/>
        </w:rPr>
      </w:pPr>
    </w:p>
    <w:p w14:paraId="6E232588" w14:textId="44B83BBF" w:rsidR="001D6FB0" w:rsidRPr="00D14D71" w:rsidRDefault="001D6FB0" w:rsidP="001D6FB0">
      <w:pPr>
        <w:pStyle w:val="Heading1"/>
        <w:rPr>
          <w:rFonts w:ascii="Times New Roman" w:hAnsi="Times New Roman" w:cs="Times New Roman"/>
          <w:sz w:val="28"/>
          <w:szCs w:val="28"/>
        </w:rPr>
      </w:pPr>
      <w:bookmarkStart w:id="0" w:name="_Toc236180863"/>
      <w:r w:rsidRPr="00D14D71">
        <w:rPr>
          <w:rFonts w:ascii="Times New Roman" w:hAnsi="Times New Roman" w:cs="Times New Roman"/>
          <w:sz w:val="28"/>
          <w:szCs w:val="28"/>
        </w:rPr>
        <w:lastRenderedPageBreak/>
        <w:t>1.</w:t>
      </w:r>
      <w:r w:rsidRPr="00D14D71">
        <w:rPr>
          <w:rFonts w:ascii="Times New Roman" w:hAnsi="Times New Roman" w:cs="Times New Roman"/>
          <w:sz w:val="28"/>
          <w:szCs w:val="28"/>
        </w:rPr>
        <w:t xml:space="preserve"> Problem Definition</w:t>
      </w:r>
      <w:bookmarkEnd w:id="0"/>
    </w:p>
    <w:p w14:paraId="5563C173" w14:textId="77777777" w:rsidR="001D6FB0" w:rsidRPr="001D6FB0" w:rsidRDefault="001D6FB0" w:rsidP="00D14D71">
      <w:pPr>
        <w:spacing w:line="360" w:lineRule="auto"/>
        <w:jc w:val="both"/>
        <w:rPr>
          <w:rFonts w:ascii="Times New Roman" w:hAnsi="Times New Roman" w:cs="Times New Roman"/>
        </w:rPr>
      </w:pPr>
      <w:r w:rsidRPr="001D6FB0">
        <w:rPr>
          <w:rFonts w:ascii="Times New Roman" w:hAnsi="Times New Roman" w:cs="Times New Roman"/>
        </w:rPr>
        <w:t>Federated Learning (FL) has become a promising artificial intelligence paradigm for smart healthcare because it enables multiple hospitals, clinics, and Internet of Medical Things (IoMT) devices to collaboratively train machine learning models without sharing raw patient data. This decentralized learning process improves privacy and helps organizations comply with regulations such as GDPR and HIPAA. However, FL remains highly vulnerable to Byzantine attacks, where compromised or malicious participants intentionally upload manipulated model updates during the training process. These poisoned updates can significantly reduce model accuracy, corrupt the global model, and even cause complete training failure.</w:t>
      </w:r>
    </w:p>
    <w:p w14:paraId="6F013A1B" w14:textId="77777777" w:rsidR="001D6FB0" w:rsidRPr="001D6FB0" w:rsidRDefault="001D6FB0" w:rsidP="00D14D71">
      <w:pPr>
        <w:spacing w:line="360" w:lineRule="auto"/>
        <w:jc w:val="both"/>
        <w:rPr>
          <w:rFonts w:ascii="Times New Roman" w:hAnsi="Times New Roman" w:cs="Times New Roman"/>
        </w:rPr>
      </w:pPr>
      <w:r w:rsidRPr="001D6FB0">
        <w:rPr>
          <w:rFonts w:ascii="Times New Roman" w:hAnsi="Times New Roman" w:cs="Times New Roman"/>
        </w:rPr>
        <w:t xml:space="preserve">In IoMT-enabled healthcare systems, Byzantine attacks are particularly dangerous because medical devices such as wearable ECG monitors, glucose sensors, and remote patient monitoring systems continuously contribute data for model training. If attackers manipulate these updates, AI models may generate incorrect predictions, delayed diagnoses, or inappropriate treatment recommendations. Existing aggregation algorithms such as </w:t>
      </w:r>
      <w:proofErr w:type="spellStart"/>
      <w:r w:rsidRPr="001D6FB0">
        <w:rPr>
          <w:rFonts w:ascii="Times New Roman" w:hAnsi="Times New Roman" w:cs="Times New Roman"/>
        </w:rPr>
        <w:t>FedAvg</w:t>
      </w:r>
      <w:proofErr w:type="spellEnd"/>
      <w:r w:rsidRPr="001D6FB0">
        <w:rPr>
          <w:rFonts w:ascii="Times New Roman" w:hAnsi="Times New Roman" w:cs="Times New Roman"/>
        </w:rPr>
        <w:t xml:space="preserve"> are not designed to detect malicious updates and therefore cannot guarantee reliable learning in adversarial healthcare environments.</w:t>
      </w:r>
    </w:p>
    <w:p w14:paraId="4D874E25" w14:textId="5A2277D4" w:rsidR="001D6FB0" w:rsidRPr="001D6FB0" w:rsidRDefault="001D6FB0" w:rsidP="00D14D71">
      <w:pPr>
        <w:spacing w:line="360" w:lineRule="auto"/>
        <w:jc w:val="both"/>
        <w:rPr>
          <w:rFonts w:ascii="Times New Roman" w:hAnsi="Times New Roman" w:cs="Times New Roman"/>
        </w:rPr>
      </w:pPr>
      <w:r w:rsidRPr="00D14D71">
        <w:rPr>
          <w:rFonts w:ascii="Times New Roman" w:hAnsi="Times New Roman" w:cs="Times New Roman"/>
          <w:b/>
          <w:bCs/>
        </w:rPr>
        <w:t>Clinical Impact</w:t>
      </w:r>
      <w:r w:rsidR="00D14D71" w:rsidRPr="00D14D71">
        <w:rPr>
          <w:rFonts w:ascii="Times New Roman" w:hAnsi="Times New Roman" w:cs="Times New Roman"/>
          <w:b/>
          <w:bCs/>
        </w:rPr>
        <w:t>:</w:t>
      </w:r>
      <w:r w:rsidR="00D14D71">
        <w:rPr>
          <w:rFonts w:ascii="Times New Roman" w:hAnsi="Times New Roman" w:cs="Times New Roman"/>
        </w:rPr>
        <w:t xml:space="preserve"> </w:t>
      </w:r>
      <w:r w:rsidRPr="001D6FB0">
        <w:rPr>
          <w:rFonts w:ascii="Times New Roman" w:hAnsi="Times New Roman" w:cs="Times New Roman"/>
        </w:rPr>
        <w:t>Solving the Byzantine attack problem is critical for ensuring trustworthy AI-assisted healthcare. A secure federated learning framework can improve diagnostic reliability, support accurate disease prediction, and enhance remote patient monitoring while preserving patient privacy. Robust aggregation methods also reduce the risk of false clinical decisions, improve collaboration among healthcare institutions, and increase confidence in AI-based medical applications. As IoMT devices continue to expand in hospitals and home healthcare, developing Byzantine-resilient federated learning systems has become essential for protecting patient safety and ensuring dependable clinical outcomes.</w:t>
      </w:r>
    </w:p>
    <w:p w14:paraId="211F9852" w14:textId="1CD97C1D" w:rsidR="001D6FB0" w:rsidRPr="001D6FB0" w:rsidRDefault="001D6FB0" w:rsidP="001D6FB0">
      <w:pPr>
        <w:pStyle w:val="Heading1"/>
        <w:rPr>
          <w:rFonts w:ascii="Times New Roman" w:hAnsi="Times New Roman" w:cs="Times New Roman"/>
          <w:sz w:val="28"/>
          <w:szCs w:val="28"/>
        </w:rPr>
      </w:pPr>
      <w:bookmarkStart w:id="1" w:name="_Toc236180864"/>
      <w:r>
        <w:rPr>
          <w:rFonts w:ascii="Times New Roman" w:hAnsi="Times New Roman" w:cs="Times New Roman"/>
          <w:sz w:val="28"/>
          <w:szCs w:val="28"/>
        </w:rPr>
        <w:t>2</w:t>
      </w:r>
      <w:r w:rsidRPr="001D6FB0">
        <w:rPr>
          <w:rFonts w:ascii="Times New Roman" w:hAnsi="Times New Roman" w:cs="Times New Roman"/>
          <w:sz w:val="28"/>
          <w:szCs w:val="28"/>
        </w:rPr>
        <w:t>. State-of-the-Art (SOTA) Analysis</w:t>
      </w:r>
      <w:bookmarkEnd w:id="1"/>
    </w:p>
    <w:p w14:paraId="78A5761A" w14:textId="77777777" w:rsidR="00D14D71" w:rsidRDefault="001D6FB0" w:rsidP="00D14D71">
      <w:pPr>
        <w:spacing w:line="360" w:lineRule="auto"/>
        <w:jc w:val="both"/>
        <w:rPr>
          <w:rFonts w:ascii="Times New Roman" w:hAnsi="Times New Roman" w:cs="Times New Roman"/>
        </w:rPr>
      </w:pPr>
      <w:r w:rsidRPr="001D6FB0">
        <w:rPr>
          <w:rFonts w:ascii="Times New Roman" w:hAnsi="Times New Roman" w:cs="Times New Roman"/>
        </w:rPr>
        <w:t>Researchers have proposed several robust aggregation techniques to defend Federated Learning (FL) against Byzantine attacks in healthcare environments. These methods aim to identify and remove malicious model updates before generating the global model while maintaining high prediction accuracy and preserving patient privacy.</w:t>
      </w:r>
      <w:r w:rsidR="00D14D71">
        <w:rPr>
          <w:rFonts w:ascii="Times New Roman" w:hAnsi="Times New Roman" w:cs="Times New Roman"/>
        </w:rPr>
        <w:t xml:space="preserve"> </w:t>
      </w:r>
      <w:r w:rsidRPr="001D6FB0">
        <w:rPr>
          <w:rFonts w:ascii="Times New Roman" w:hAnsi="Times New Roman" w:cs="Times New Roman"/>
        </w:rPr>
        <w:t xml:space="preserve">Krum is one of the earliest robust aggregation </w:t>
      </w:r>
      <w:r w:rsidRPr="001D6FB0">
        <w:rPr>
          <w:rFonts w:ascii="Times New Roman" w:hAnsi="Times New Roman" w:cs="Times New Roman"/>
        </w:rPr>
        <w:lastRenderedPageBreak/>
        <w:t>algorithms that selects the model update closest to the majority of participants. It is effective against a limited number of Byzantine clients but its performance decreases when the number of malicious participants increases.</w:t>
      </w:r>
      <w:r w:rsidR="00D14D71">
        <w:rPr>
          <w:rFonts w:ascii="Times New Roman" w:hAnsi="Times New Roman" w:cs="Times New Roman"/>
        </w:rPr>
        <w:t xml:space="preserve"> </w:t>
      </w:r>
      <w:r w:rsidRPr="001D6FB0">
        <w:rPr>
          <w:rFonts w:ascii="Times New Roman" w:hAnsi="Times New Roman" w:cs="Times New Roman"/>
        </w:rPr>
        <w:t>Trimmed Mean improves robustness by removing the highest and lowest parameter values before aggregation.</w:t>
      </w:r>
    </w:p>
    <w:p w14:paraId="06F72AB9" w14:textId="77777777" w:rsidR="00D14D71" w:rsidRDefault="001D6FB0" w:rsidP="00D14D71">
      <w:pPr>
        <w:spacing w:line="360" w:lineRule="auto"/>
        <w:jc w:val="both"/>
        <w:rPr>
          <w:rFonts w:ascii="Times New Roman" w:hAnsi="Times New Roman" w:cs="Times New Roman"/>
        </w:rPr>
      </w:pPr>
      <w:r w:rsidRPr="001D6FB0">
        <w:rPr>
          <w:rFonts w:ascii="Times New Roman" w:hAnsi="Times New Roman" w:cs="Times New Roman"/>
        </w:rPr>
        <w:t xml:space="preserve"> It performs better than traditional </w:t>
      </w:r>
      <w:proofErr w:type="spellStart"/>
      <w:r w:rsidRPr="001D6FB0">
        <w:rPr>
          <w:rFonts w:ascii="Times New Roman" w:hAnsi="Times New Roman" w:cs="Times New Roman"/>
        </w:rPr>
        <w:t>FedAvg</w:t>
      </w:r>
      <w:proofErr w:type="spellEnd"/>
      <w:r w:rsidRPr="001D6FB0">
        <w:rPr>
          <w:rFonts w:ascii="Times New Roman" w:hAnsi="Times New Roman" w:cs="Times New Roman"/>
        </w:rPr>
        <w:t xml:space="preserve"> under moderate attack scenarios and has relatively low computational complexity. However, its effectiveness declines when attackers coordinate sophisticated poisoning strategies.</w:t>
      </w:r>
      <w:r w:rsidR="00D14D71">
        <w:rPr>
          <w:rFonts w:ascii="Times New Roman" w:hAnsi="Times New Roman" w:cs="Times New Roman"/>
        </w:rPr>
        <w:t xml:space="preserve"> </w:t>
      </w:r>
      <w:proofErr w:type="spellStart"/>
      <w:r w:rsidRPr="001D6FB0">
        <w:rPr>
          <w:rFonts w:ascii="Times New Roman" w:hAnsi="Times New Roman" w:cs="Times New Roman"/>
        </w:rPr>
        <w:t>Bulyan</w:t>
      </w:r>
      <w:proofErr w:type="spellEnd"/>
      <w:r w:rsidRPr="001D6FB0">
        <w:rPr>
          <w:rFonts w:ascii="Times New Roman" w:hAnsi="Times New Roman" w:cs="Times New Roman"/>
        </w:rPr>
        <w:t xml:space="preserve"> combines multiple robust aggregation techniques to achieve stronger protection against adversarial updates. It provides high model reliability and excellent attack resistance but introduces significant computational overhead, making it less suitable for resource-constrained IoMT devices.</w:t>
      </w:r>
      <w:r w:rsidR="00D14D71">
        <w:rPr>
          <w:rFonts w:ascii="Times New Roman" w:hAnsi="Times New Roman" w:cs="Times New Roman"/>
        </w:rPr>
        <w:t xml:space="preserve"> </w:t>
      </w:r>
      <w:r w:rsidRPr="001D6FB0">
        <w:rPr>
          <w:rFonts w:ascii="Times New Roman" w:hAnsi="Times New Roman" w:cs="Times New Roman"/>
        </w:rPr>
        <w:t>Recent studies have also combined Differential Privacy (DP) with robust aggregation.</w:t>
      </w:r>
    </w:p>
    <w:p w14:paraId="045710F4" w14:textId="6EDF48C2" w:rsidR="001D6FB0" w:rsidRDefault="001D6FB0" w:rsidP="00D14D71">
      <w:pPr>
        <w:spacing w:line="360" w:lineRule="auto"/>
        <w:jc w:val="both"/>
        <w:rPr>
          <w:rFonts w:ascii="Times New Roman" w:hAnsi="Times New Roman" w:cs="Times New Roman"/>
        </w:rPr>
      </w:pPr>
      <w:r w:rsidRPr="001D6FB0">
        <w:rPr>
          <w:rFonts w:ascii="Times New Roman" w:hAnsi="Times New Roman" w:cs="Times New Roman"/>
        </w:rPr>
        <w:t xml:space="preserve"> This approach simultaneously protects patient privacy and defends against malicious clients. However, the injected privacy noise may reduce model accuracy, especially for complex medical imaging and diagnostic tasks.</w:t>
      </w:r>
      <w:r w:rsidR="00D14D71">
        <w:rPr>
          <w:rFonts w:ascii="Times New Roman" w:hAnsi="Times New Roman" w:cs="Times New Roman"/>
        </w:rPr>
        <w:t xml:space="preserve"> </w:t>
      </w:r>
      <w:r w:rsidRPr="001D6FB0">
        <w:rPr>
          <w:rFonts w:ascii="Times New Roman" w:hAnsi="Times New Roman" w:cs="Times New Roman"/>
        </w:rPr>
        <w:t>More recent research focuses on adaptive robust aggregation using anomaly detection and trust-based client evaluation. These methods dynamically identify suspicious participants and improve resilience against evolving Byzantine attacks while maintaining better model performance in heterogeneous healthcare environments.</w:t>
      </w:r>
    </w:p>
    <w:p w14:paraId="4185BA85" w14:textId="50B97767" w:rsidR="00D14D71" w:rsidRPr="00D464D3" w:rsidRDefault="001D6FB0" w:rsidP="00D464D3">
      <w:pPr>
        <w:pStyle w:val="Heading2"/>
        <w:rPr>
          <w:rFonts w:ascii="Times New Roman" w:hAnsi="Times New Roman" w:cs="Times New Roman"/>
          <w:sz w:val="28"/>
          <w:szCs w:val="28"/>
        </w:rPr>
      </w:pPr>
      <w:bookmarkStart w:id="2" w:name="_Toc236180865"/>
      <w:r w:rsidRPr="001D6FB0">
        <w:rPr>
          <w:rFonts w:ascii="Times New Roman" w:hAnsi="Times New Roman" w:cs="Times New Roman"/>
          <w:sz w:val="28"/>
          <w:szCs w:val="28"/>
        </w:rPr>
        <w:t xml:space="preserve">2.1 </w:t>
      </w:r>
      <w:r w:rsidRPr="001D6FB0">
        <w:rPr>
          <w:rFonts w:ascii="Times New Roman" w:hAnsi="Times New Roman" w:cs="Times New Roman"/>
          <w:sz w:val="28"/>
          <w:szCs w:val="28"/>
        </w:rPr>
        <w:t>Comparison of Recent SOTA Methods (2023–2026)</w:t>
      </w:r>
      <w:bookmarkEnd w:id="2"/>
    </w:p>
    <w:tbl>
      <w:tblPr>
        <w:tblW w:w="9818" w:type="dxa"/>
        <w:tblCellSpacing w:w="15" w:type="dxa"/>
        <w:tblCellMar>
          <w:top w:w="15" w:type="dxa"/>
          <w:left w:w="15" w:type="dxa"/>
          <w:bottom w:w="15" w:type="dxa"/>
          <w:right w:w="15" w:type="dxa"/>
        </w:tblCellMar>
        <w:tblLook w:val="04A0" w:firstRow="1" w:lastRow="0" w:firstColumn="1" w:lastColumn="0" w:noHBand="0" w:noVBand="1"/>
      </w:tblPr>
      <w:tblGrid>
        <w:gridCol w:w="1525"/>
        <w:gridCol w:w="1405"/>
        <w:gridCol w:w="1043"/>
        <w:gridCol w:w="1522"/>
        <w:gridCol w:w="1215"/>
        <w:gridCol w:w="3108"/>
      </w:tblGrid>
      <w:tr w:rsidR="001D6FB0" w:rsidRPr="001D6FB0" w14:paraId="4074CFB5" w14:textId="77777777" w:rsidTr="00D14D71">
        <w:trPr>
          <w:tblHeader/>
          <w:tblCellSpacing w:w="15" w:type="dxa"/>
        </w:trPr>
        <w:tc>
          <w:tcPr>
            <w:tcW w:w="1480" w:type="dxa"/>
            <w:tcBorders>
              <w:top w:val="single" w:sz="4" w:space="0" w:color="auto"/>
              <w:left w:val="single" w:sz="4" w:space="0" w:color="auto"/>
              <w:right w:val="single" w:sz="4" w:space="0" w:color="auto"/>
            </w:tcBorders>
            <w:vAlign w:val="center"/>
            <w:hideMark/>
          </w:tcPr>
          <w:p w14:paraId="6854F5EF" w14:textId="77777777" w:rsidR="001D6FB0" w:rsidRPr="001D6FB0" w:rsidRDefault="001D6FB0" w:rsidP="00D14D71">
            <w:pPr>
              <w:jc w:val="center"/>
              <w:rPr>
                <w:rFonts w:ascii="Times New Roman" w:hAnsi="Times New Roman" w:cs="Times New Roman"/>
                <w:b/>
                <w:bCs/>
              </w:rPr>
            </w:pPr>
            <w:r w:rsidRPr="001D6FB0">
              <w:rPr>
                <w:rFonts w:ascii="Times New Roman" w:hAnsi="Times New Roman" w:cs="Times New Roman"/>
                <w:b/>
                <w:bCs/>
              </w:rPr>
              <w:t>Method</w:t>
            </w:r>
          </w:p>
        </w:tc>
        <w:tc>
          <w:tcPr>
            <w:tcW w:w="1375" w:type="dxa"/>
            <w:tcBorders>
              <w:top w:val="single" w:sz="4" w:space="0" w:color="auto"/>
              <w:right w:val="single" w:sz="4" w:space="0" w:color="auto"/>
            </w:tcBorders>
            <w:vAlign w:val="center"/>
            <w:hideMark/>
          </w:tcPr>
          <w:p w14:paraId="1E6BC6A4" w14:textId="77777777" w:rsidR="001D6FB0" w:rsidRPr="001D6FB0" w:rsidRDefault="001D6FB0" w:rsidP="00D14D71">
            <w:pPr>
              <w:jc w:val="center"/>
              <w:rPr>
                <w:rFonts w:ascii="Times New Roman" w:hAnsi="Times New Roman" w:cs="Times New Roman"/>
                <w:b/>
                <w:bCs/>
              </w:rPr>
            </w:pPr>
            <w:r w:rsidRPr="001D6FB0">
              <w:rPr>
                <w:rFonts w:ascii="Times New Roman" w:hAnsi="Times New Roman" w:cs="Times New Roman"/>
                <w:b/>
                <w:bCs/>
              </w:rPr>
              <w:t>Year</w:t>
            </w:r>
          </w:p>
        </w:tc>
        <w:tc>
          <w:tcPr>
            <w:tcW w:w="1013" w:type="dxa"/>
            <w:tcBorders>
              <w:top w:val="single" w:sz="4" w:space="0" w:color="auto"/>
              <w:right w:val="single" w:sz="4" w:space="0" w:color="auto"/>
            </w:tcBorders>
            <w:vAlign w:val="center"/>
            <w:hideMark/>
          </w:tcPr>
          <w:p w14:paraId="27B03BE0" w14:textId="77777777" w:rsidR="001D6FB0" w:rsidRPr="001D6FB0" w:rsidRDefault="001D6FB0" w:rsidP="00D14D71">
            <w:pPr>
              <w:jc w:val="center"/>
              <w:rPr>
                <w:rFonts w:ascii="Times New Roman" w:hAnsi="Times New Roman" w:cs="Times New Roman"/>
                <w:b/>
                <w:bCs/>
              </w:rPr>
            </w:pPr>
            <w:r w:rsidRPr="001D6FB0">
              <w:rPr>
                <w:rFonts w:ascii="Times New Roman" w:hAnsi="Times New Roman" w:cs="Times New Roman"/>
                <w:b/>
                <w:bCs/>
              </w:rPr>
              <w:t>Accuracy</w:t>
            </w:r>
          </w:p>
        </w:tc>
        <w:tc>
          <w:tcPr>
            <w:tcW w:w="1492" w:type="dxa"/>
            <w:tcBorders>
              <w:top w:val="single" w:sz="4" w:space="0" w:color="auto"/>
              <w:right w:val="single" w:sz="4" w:space="0" w:color="auto"/>
            </w:tcBorders>
            <w:vAlign w:val="center"/>
            <w:hideMark/>
          </w:tcPr>
          <w:p w14:paraId="2EF5BFFE" w14:textId="77777777" w:rsidR="001D6FB0" w:rsidRPr="001D6FB0" w:rsidRDefault="001D6FB0" w:rsidP="00D14D71">
            <w:pPr>
              <w:jc w:val="center"/>
              <w:rPr>
                <w:rFonts w:ascii="Times New Roman" w:hAnsi="Times New Roman" w:cs="Times New Roman"/>
                <w:b/>
                <w:bCs/>
              </w:rPr>
            </w:pPr>
            <w:r w:rsidRPr="001D6FB0">
              <w:rPr>
                <w:rFonts w:ascii="Times New Roman" w:hAnsi="Times New Roman" w:cs="Times New Roman"/>
                <w:b/>
                <w:bCs/>
              </w:rPr>
              <w:t>Privacy</w:t>
            </w:r>
          </w:p>
        </w:tc>
        <w:tc>
          <w:tcPr>
            <w:tcW w:w="1185" w:type="dxa"/>
            <w:tcBorders>
              <w:top w:val="single" w:sz="4" w:space="0" w:color="auto"/>
            </w:tcBorders>
            <w:vAlign w:val="center"/>
            <w:hideMark/>
          </w:tcPr>
          <w:p w14:paraId="24D32EEB" w14:textId="77777777" w:rsidR="001D6FB0" w:rsidRPr="001D6FB0" w:rsidRDefault="001D6FB0" w:rsidP="00D14D71">
            <w:pPr>
              <w:jc w:val="center"/>
              <w:rPr>
                <w:rFonts w:ascii="Times New Roman" w:hAnsi="Times New Roman" w:cs="Times New Roman"/>
                <w:b/>
                <w:bCs/>
              </w:rPr>
            </w:pPr>
            <w:r w:rsidRPr="001D6FB0">
              <w:rPr>
                <w:rFonts w:ascii="Times New Roman" w:hAnsi="Times New Roman" w:cs="Times New Roman"/>
                <w:b/>
                <w:bCs/>
              </w:rPr>
              <w:t>Latency</w:t>
            </w:r>
          </w:p>
        </w:tc>
        <w:tc>
          <w:tcPr>
            <w:tcW w:w="3063" w:type="dxa"/>
            <w:tcBorders>
              <w:top w:val="single" w:sz="4" w:space="0" w:color="auto"/>
              <w:left w:val="single" w:sz="4" w:space="0" w:color="auto"/>
              <w:right w:val="single" w:sz="4" w:space="0" w:color="auto"/>
            </w:tcBorders>
            <w:vAlign w:val="center"/>
            <w:hideMark/>
          </w:tcPr>
          <w:p w14:paraId="54BBB753" w14:textId="77777777" w:rsidR="001D6FB0" w:rsidRPr="001D6FB0" w:rsidRDefault="001D6FB0" w:rsidP="00D14D71">
            <w:pPr>
              <w:jc w:val="center"/>
              <w:rPr>
                <w:rFonts w:ascii="Times New Roman" w:hAnsi="Times New Roman" w:cs="Times New Roman"/>
                <w:b/>
                <w:bCs/>
              </w:rPr>
            </w:pPr>
            <w:r w:rsidRPr="001D6FB0">
              <w:rPr>
                <w:rFonts w:ascii="Times New Roman" w:hAnsi="Times New Roman" w:cs="Times New Roman"/>
                <w:b/>
                <w:bCs/>
              </w:rPr>
              <w:t>Main Limitation</w:t>
            </w:r>
          </w:p>
        </w:tc>
      </w:tr>
      <w:tr w:rsidR="001D6FB0" w:rsidRPr="001D6FB0" w14:paraId="239D2407" w14:textId="77777777" w:rsidTr="00D14D71">
        <w:trPr>
          <w:tblCellSpacing w:w="15" w:type="dxa"/>
        </w:trPr>
        <w:tc>
          <w:tcPr>
            <w:tcW w:w="1480" w:type="dxa"/>
            <w:tcBorders>
              <w:top w:val="single" w:sz="4" w:space="0" w:color="auto"/>
              <w:left w:val="single" w:sz="4" w:space="0" w:color="auto"/>
              <w:right w:val="single" w:sz="4" w:space="0" w:color="auto"/>
            </w:tcBorders>
            <w:vAlign w:val="center"/>
            <w:hideMark/>
          </w:tcPr>
          <w:p w14:paraId="5C512373"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Krum</w:t>
            </w:r>
          </w:p>
        </w:tc>
        <w:tc>
          <w:tcPr>
            <w:tcW w:w="1375" w:type="dxa"/>
            <w:tcBorders>
              <w:top w:val="single" w:sz="4" w:space="0" w:color="auto"/>
              <w:right w:val="single" w:sz="4" w:space="0" w:color="auto"/>
            </w:tcBorders>
            <w:vAlign w:val="center"/>
            <w:hideMark/>
          </w:tcPr>
          <w:p w14:paraId="2FC9E4AB"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2023</w:t>
            </w:r>
          </w:p>
        </w:tc>
        <w:tc>
          <w:tcPr>
            <w:tcW w:w="1013" w:type="dxa"/>
            <w:tcBorders>
              <w:top w:val="single" w:sz="4" w:space="0" w:color="auto"/>
              <w:right w:val="single" w:sz="4" w:space="0" w:color="auto"/>
            </w:tcBorders>
            <w:vAlign w:val="center"/>
            <w:hideMark/>
          </w:tcPr>
          <w:p w14:paraId="6F56518E"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High</w:t>
            </w:r>
          </w:p>
        </w:tc>
        <w:tc>
          <w:tcPr>
            <w:tcW w:w="1492" w:type="dxa"/>
            <w:tcBorders>
              <w:top w:val="single" w:sz="4" w:space="0" w:color="auto"/>
              <w:right w:val="single" w:sz="4" w:space="0" w:color="auto"/>
            </w:tcBorders>
            <w:vAlign w:val="center"/>
            <w:hideMark/>
          </w:tcPr>
          <w:p w14:paraId="5D83A1D4"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Medium</w:t>
            </w:r>
          </w:p>
        </w:tc>
        <w:tc>
          <w:tcPr>
            <w:tcW w:w="1185" w:type="dxa"/>
            <w:tcBorders>
              <w:top w:val="single" w:sz="4" w:space="0" w:color="auto"/>
            </w:tcBorders>
            <w:vAlign w:val="center"/>
            <w:hideMark/>
          </w:tcPr>
          <w:p w14:paraId="1DE43BED"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Medium</w:t>
            </w:r>
          </w:p>
        </w:tc>
        <w:tc>
          <w:tcPr>
            <w:tcW w:w="3063" w:type="dxa"/>
            <w:tcBorders>
              <w:top w:val="single" w:sz="4" w:space="0" w:color="auto"/>
              <w:left w:val="single" w:sz="4" w:space="0" w:color="auto"/>
              <w:right w:val="single" w:sz="4" w:space="0" w:color="auto"/>
            </w:tcBorders>
            <w:vAlign w:val="center"/>
            <w:hideMark/>
          </w:tcPr>
          <w:p w14:paraId="57DBBAE1"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Performance decreases with many malicious clients</w:t>
            </w:r>
          </w:p>
        </w:tc>
      </w:tr>
      <w:tr w:rsidR="001D6FB0" w:rsidRPr="001D6FB0" w14:paraId="042CD217" w14:textId="77777777" w:rsidTr="00D14D71">
        <w:trPr>
          <w:tblCellSpacing w:w="15" w:type="dxa"/>
        </w:trPr>
        <w:tc>
          <w:tcPr>
            <w:tcW w:w="1480" w:type="dxa"/>
            <w:tcBorders>
              <w:top w:val="single" w:sz="4" w:space="0" w:color="auto"/>
              <w:left w:val="single" w:sz="4" w:space="0" w:color="auto"/>
              <w:right w:val="single" w:sz="4" w:space="0" w:color="auto"/>
            </w:tcBorders>
            <w:vAlign w:val="center"/>
            <w:hideMark/>
          </w:tcPr>
          <w:p w14:paraId="5E7BF5A9"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Trimmed Mean</w:t>
            </w:r>
          </w:p>
        </w:tc>
        <w:tc>
          <w:tcPr>
            <w:tcW w:w="1375" w:type="dxa"/>
            <w:tcBorders>
              <w:top w:val="single" w:sz="4" w:space="0" w:color="auto"/>
              <w:right w:val="single" w:sz="4" w:space="0" w:color="auto"/>
            </w:tcBorders>
            <w:vAlign w:val="center"/>
            <w:hideMark/>
          </w:tcPr>
          <w:p w14:paraId="548C3B6C"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2023</w:t>
            </w:r>
          </w:p>
        </w:tc>
        <w:tc>
          <w:tcPr>
            <w:tcW w:w="1013" w:type="dxa"/>
            <w:tcBorders>
              <w:top w:val="single" w:sz="4" w:space="0" w:color="auto"/>
              <w:right w:val="single" w:sz="4" w:space="0" w:color="auto"/>
            </w:tcBorders>
            <w:vAlign w:val="center"/>
            <w:hideMark/>
          </w:tcPr>
          <w:p w14:paraId="22D06EB6"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High</w:t>
            </w:r>
          </w:p>
        </w:tc>
        <w:tc>
          <w:tcPr>
            <w:tcW w:w="1492" w:type="dxa"/>
            <w:tcBorders>
              <w:top w:val="single" w:sz="4" w:space="0" w:color="auto"/>
              <w:right w:val="single" w:sz="4" w:space="0" w:color="auto"/>
            </w:tcBorders>
            <w:vAlign w:val="center"/>
            <w:hideMark/>
          </w:tcPr>
          <w:p w14:paraId="3133F2BE"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Medium</w:t>
            </w:r>
          </w:p>
        </w:tc>
        <w:tc>
          <w:tcPr>
            <w:tcW w:w="1185" w:type="dxa"/>
            <w:tcBorders>
              <w:top w:val="single" w:sz="4" w:space="0" w:color="auto"/>
            </w:tcBorders>
            <w:vAlign w:val="center"/>
            <w:hideMark/>
          </w:tcPr>
          <w:p w14:paraId="30F42676"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Low</w:t>
            </w:r>
          </w:p>
        </w:tc>
        <w:tc>
          <w:tcPr>
            <w:tcW w:w="3063" w:type="dxa"/>
            <w:tcBorders>
              <w:top w:val="single" w:sz="4" w:space="0" w:color="auto"/>
              <w:left w:val="single" w:sz="4" w:space="0" w:color="auto"/>
              <w:right w:val="single" w:sz="4" w:space="0" w:color="auto"/>
            </w:tcBorders>
            <w:vAlign w:val="center"/>
            <w:hideMark/>
          </w:tcPr>
          <w:p w14:paraId="217442A1"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Weak against coordinated poisoning attacks</w:t>
            </w:r>
          </w:p>
        </w:tc>
      </w:tr>
      <w:tr w:rsidR="001D6FB0" w:rsidRPr="001D6FB0" w14:paraId="0C974639" w14:textId="77777777" w:rsidTr="00D14D71">
        <w:trPr>
          <w:tblCellSpacing w:w="15" w:type="dxa"/>
        </w:trPr>
        <w:tc>
          <w:tcPr>
            <w:tcW w:w="1480" w:type="dxa"/>
            <w:tcBorders>
              <w:top w:val="single" w:sz="4" w:space="0" w:color="auto"/>
              <w:left w:val="single" w:sz="4" w:space="0" w:color="auto"/>
              <w:right w:val="single" w:sz="4" w:space="0" w:color="auto"/>
            </w:tcBorders>
            <w:vAlign w:val="center"/>
            <w:hideMark/>
          </w:tcPr>
          <w:p w14:paraId="4684674A" w14:textId="77777777" w:rsidR="001D6FB0" w:rsidRPr="001D6FB0" w:rsidRDefault="001D6FB0" w:rsidP="00D14D71">
            <w:pPr>
              <w:jc w:val="center"/>
              <w:rPr>
                <w:rFonts w:ascii="Times New Roman" w:hAnsi="Times New Roman" w:cs="Times New Roman"/>
              </w:rPr>
            </w:pPr>
            <w:proofErr w:type="spellStart"/>
            <w:r w:rsidRPr="001D6FB0">
              <w:rPr>
                <w:rFonts w:ascii="Times New Roman" w:hAnsi="Times New Roman" w:cs="Times New Roman"/>
              </w:rPr>
              <w:t>Bulyan</w:t>
            </w:r>
            <w:proofErr w:type="spellEnd"/>
          </w:p>
        </w:tc>
        <w:tc>
          <w:tcPr>
            <w:tcW w:w="1375" w:type="dxa"/>
            <w:tcBorders>
              <w:top w:val="single" w:sz="4" w:space="0" w:color="auto"/>
              <w:right w:val="single" w:sz="4" w:space="0" w:color="auto"/>
            </w:tcBorders>
            <w:vAlign w:val="center"/>
            <w:hideMark/>
          </w:tcPr>
          <w:p w14:paraId="607B5ECB"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2024</w:t>
            </w:r>
          </w:p>
        </w:tc>
        <w:tc>
          <w:tcPr>
            <w:tcW w:w="1013" w:type="dxa"/>
            <w:tcBorders>
              <w:top w:val="single" w:sz="4" w:space="0" w:color="auto"/>
              <w:right w:val="single" w:sz="4" w:space="0" w:color="auto"/>
            </w:tcBorders>
            <w:vAlign w:val="center"/>
            <w:hideMark/>
          </w:tcPr>
          <w:p w14:paraId="77F07493"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Very High</w:t>
            </w:r>
          </w:p>
        </w:tc>
        <w:tc>
          <w:tcPr>
            <w:tcW w:w="1492" w:type="dxa"/>
            <w:tcBorders>
              <w:top w:val="single" w:sz="4" w:space="0" w:color="auto"/>
              <w:right w:val="single" w:sz="4" w:space="0" w:color="auto"/>
            </w:tcBorders>
            <w:vAlign w:val="center"/>
            <w:hideMark/>
          </w:tcPr>
          <w:p w14:paraId="5EB51BA5"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Medium</w:t>
            </w:r>
          </w:p>
        </w:tc>
        <w:tc>
          <w:tcPr>
            <w:tcW w:w="1185" w:type="dxa"/>
            <w:tcBorders>
              <w:top w:val="single" w:sz="4" w:space="0" w:color="auto"/>
            </w:tcBorders>
            <w:vAlign w:val="center"/>
            <w:hideMark/>
          </w:tcPr>
          <w:p w14:paraId="64F266AD"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High</w:t>
            </w:r>
          </w:p>
        </w:tc>
        <w:tc>
          <w:tcPr>
            <w:tcW w:w="3063" w:type="dxa"/>
            <w:tcBorders>
              <w:top w:val="single" w:sz="4" w:space="0" w:color="auto"/>
              <w:left w:val="single" w:sz="4" w:space="0" w:color="auto"/>
              <w:right w:val="single" w:sz="4" w:space="0" w:color="auto"/>
            </w:tcBorders>
            <w:vAlign w:val="center"/>
            <w:hideMark/>
          </w:tcPr>
          <w:p w14:paraId="4259DD9A"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High computational complexity</w:t>
            </w:r>
          </w:p>
        </w:tc>
      </w:tr>
      <w:tr w:rsidR="001D6FB0" w:rsidRPr="001D6FB0" w14:paraId="76A342F1" w14:textId="77777777" w:rsidTr="00D14D71">
        <w:trPr>
          <w:tblCellSpacing w:w="15" w:type="dxa"/>
        </w:trPr>
        <w:tc>
          <w:tcPr>
            <w:tcW w:w="1480" w:type="dxa"/>
            <w:tcBorders>
              <w:top w:val="single" w:sz="4" w:space="0" w:color="auto"/>
              <w:left w:val="single" w:sz="4" w:space="0" w:color="auto"/>
              <w:right w:val="single" w:sz="4" w:space="0" w:color="auto"/>
            </w:tcBorders>
            <w:vAlign w:val="center"/>
            <w:hideMark/>
          </w:tcPr>
          <w:p w14:paraId="226DB40D"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Differential Privacy + FL</w:t>
            </w:r>
          </w:p>
        </w:tc>
        <w:tc>
          <w:tcPr>
            <w:tcW w:w="1375" w:type="dxa"/>
            <w:tcBorders>
              <w:top w:val="single" w:sz="4" w:space="0" w:color="auto"/>
              <w:right w:val="single" w:sz="4" w:space="0" w:color="auto"/>
            </w:tcBorders>
            <w:vAlign w:val="center"/>
            <w:hideMark/>
          </w:tcPr>
          <w:p w14:paraId="65A12B2A"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2024</w:t>
            </w:r>
          </w:p>
        </w:tc>
        <w:tc>
          <w:tcPr>
            <w:tcW w:w="1013" w:type="dxa"/>
            <w:tcBorders>
              <w:top w:val="single" w:sz="4" w:space="0" w:color="auto"/>
              <w:right w:val="single" w:sz="4" w:space="0" w:color="auto"/>
            </w:tcBorders>
            <w:vAlign w:val="center"/>
            <w:hideMark/>
          </w:tcPr>
          <w:p w14:paraId="7301DF4B"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Medium–High</w:t>
            </w:r>
          </w:p>
        </w:tc>
        <w:tc>
          <w:tcPr>
            <w:tcW w:w="1492" w:type="dxa"/>
            <w:tcBorders>
              <w:top w:val="single" w:sz="4" w:space="0" w:color="auto"/>
              <w:right w:val="single" w:sz="4" w:space="0" w:color="auto"/>
            </w:tcBorders>
            <w:vAlign w:val="center"/>
            <w:hideMark/>
          </w:tcPr>
          <w:p w14:paraId="29E035CF"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Very High</w:t>
            </w:r>
          </w:p>
        </w:tc>
        <w:tc>
          <w:tcPr>
            <w:tcW w:w="1185" w:type="dxa"/>
            <w:tcBorders>
              <w:top w:val="single" w:sz="4" w:space="0" w:color="auto"/>
            </w:tcBorders>
            <w:vAlign w:val="center"/>
            <w:hideMark/>
          </w:tcPr>
          <w:p w14:paraId="197D1FE4"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Medium</w:t>
            </w:r>
          </w:p>
        </w:tc>
        <w:tc>
          <w:tcPr>
            <w:tcW w:w="3063" w:type="dxa"/>
            <w:tcBorders>
              <w:top w:val="single" w:sz="4" w:space="0" w:color="auto"/>
              <w:left w:val="single" w:sz="4" w:space="0" w:color="auto"/>
              <w:right w:val="single" w:sz="4" w:space="0" w:color="auto"/>
            </w:tcBorders>
            <w:vAlign w:val="center"/>
            <w:hideMark/>
          </w:tcPr>
          <w:p w14:paraId="703D3190"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Privacy noise reduces model accuracy</w:t>
            </w:r>
          </w:p>
        </w:tc>
      </w:tr>
      <w:tr w:rsidR="001D6FB0" w:rsidRPr="001D6FB0" w14:paraId="0F920AE9" w14:textId="77777777" w:rsidTr="00D14D71">
        <w:trPr>
          <w:trHeight w:val="1274"/>
          <w:tblCellSpacing w:w="15" w:type="dxa"/>
        </w:trPr>
        <w:tc>
          <w:tcPr>
            <w:tcW w:w="1480" w:type="dxa"/>
            <w:tcBorders>
              <w:top w:val="single" w:sz="4" w:space="0" w:color="auto"/>
              <w:left w:val="single" w:sz="4" w:space="0" w:color="auto"/>
              <w:bottom w:val="single" w:sz="4" w:space="0" w:color="auto"/>
              <w:right w:val="single" w:sz="4" w:space="0" w:color="auto"/>
            </w:tcBorders>
            <w:vAlign w:val="center"/>
            <w:hideMark/>
          </w:tcPr>
          <w:p w14:paraId="704C0B76"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lastRenderedPageBreak/>
              <w:t>Adaptive Robust Aggregation</w:t>
            </w:r>
          </w:p>
        </w:tc>
        <w:tc>
          <w:tcPr>
            <w:tcW w:w="1375" w:type="dxa"/>
            <w:tcBorders>
              <w:top w:val="single" w:sz="4" w:space="0" w:color="auto"/>
              <w:bottom w:val="single" w:sz="4" w:space="0" w:color="auto"/>
              <w:right w:val="single" w:sz="4" w:space="0" w:color="auto"/>
            </w:tcBorders>
            <w:vAlign w:val="center"/>
            <w:hideMark/>
          </w:tcPr>
          <w:p w14:paraId="3060AE12"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2025</w:t>
            </w:r>
          </w:p>
        </w:tc>
        <w:tc>
          <w:tcPr>
            <w:tcW w:w="1013" w:type="dxa"/>
            <w:tcBorders>
              <w:top w:val="single" w:sz="4" w:space="0" w:color="auto"/>
              <w:bottom w:val="single" w:sz="4" w:space="0" w:color="auto"/>
              <w:right w:val="single" w:sz="4" w:space="0" w:color="auto"/>
            </w:tcBorders>
            <w:vAlign w:val="center"/>
            <w:hideMark/>
          </w:tcPr>
          <w:p w14:paraId="0802BA4A"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Very High</w:t>
            </w:r>
          </w:p>
        </w:tc>
        <w:tc>
          <w:tcPr>
            <w:tcW w:w="1492" w:type="dxa"/>
            <w:tcBorders>
              <w:top w:val="single" w:sz="4" w:space="0" w:color="auto"/>
              <w:bottom w:val="single" w:sz="4" w:space="0" w:color="auto"/>
              <w:right w:val="single" w:sz="4" w:space="0" w:color="auto"/>
            </w:tcBorders>
            <w:vAlign w:val="center"/>
            <w:hideMark/>
          </w:tcPr>
          <w:p w14:paraId="6BB162E0"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High</w:t>
            </w:r>
          </w:p>
        </w:tc>
        <w:tc>
          <w:tcPr>
            <w:tcW w:w="1185" w:type="dxa"/>
            <w:tcBorders>
              <w:top w:val="single" w:sz="4" w:space="0" w:color="auto"/>
              <w:bottom w:val="single" w:sz="4" w:space="0" w:color="auto"/>
            </w:tcBorders>
            <w:vAlign w:val="center"/>
            <w:hideMark/>
          </w:tcPr>
          <w:p w14:paraId="0F2B1BD8"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Medium</w:t>
            </w:r>
          </w:p>
        </w:tc>
        <w:tc>
          <w:tcPr>
            <w:tcW w:w="3063" w:type="dxa"/>
            <w:tcBorders>
              <w:top w:val="single" w:sz="4" w:space="0" w:color="auto"/>
              <w:left w:val="single" w:sz="4" w:space="0" w:color="auto"/>
              <w:bottom w:val="single" w:sz="4" w:space="0" w:color="auto"/>
              <w:right w:val="single" w:sz="4" w:space="0" w:color="auto"/>
            </w:tcBorders>
            <w:vAlign w:val="center"/>
            <w:hideMark/>
          </w:tcPr>
          <w:p w14:paraId="03D7F9AD" w14:textId="77777777" w:rsidR="001D6FB0" w:rsidRPr="001D6FB0" w:rsidRDefault="001D6FB0" w:rsidP="00D14D71">
            <w:pPr>
              <w:jc w:val="center"/>
              <w:rPr>
                <w:rFonts w:ascii="Times New Roman" w:hAnsi="Times New Roman" w:cs="Times New Roman"/>
              </w:rPr>
            </w:pPr>
            <w:r w:rsidRPr="001D6FB0">
              <w:rPr>
                <w:rFonts w:ascii="Times New Roman" w:hAnsi="Times New Roman" w:cs="Times New Roman"/>
              </w:rPr>
              <w:t>Requires efficient anomaly detection and additional computation</w:t>
            </w:r>
          </w:p>
        </w:tc>
      </w:tr>
    </w:tbl>
    <w:p w14:paraId="484CA790" w14:textId="77777777" w:rsidR="00D14D71" w:rsidRDefault="00D14D71" w:rsidP="001D6FB0">
      <w:pPr>
        <w:rPr>
          <w:rFonts w:ascii="Times New Roman" w:hAnsi="Times New Roman" w:cs="Times New Roman"/>
        </w:rPr>
      </w:pPr>
    </w:p>
    <w:p w14:paraId="70B954CC" w14:textId="42516997" w:rsidR="001D6FB0" w:rsidRPr="001D6FB0" w:rsidRDefault="001D6FB0" w:rsidP="00D14D71">
      <w:pPr>
        <w:spacing w:line="360" w:lineRule="auto"/>
        <w:jc w:val="both"/>
        <w:rPr>
          <w:rFonts w:ascii="Times New Roman" w:hAnsi="Times New Roman" w:cs="Times New Roman"/>
        </w:rPr>
      </w:pPr>
      <w:r w:rsidRPr="001D6FB0">
        <w:rPr>
          <w:rFonts w:ascii="Times New Roman" w:hAnsi="Times New Roman" w:cs="Times New Roman"/>
        </w:rPr>
        <w:t>Overall, recent studies demonstrate that robust aggregation substantially improves the security of Federated Learning in healthcare. Nevertheless, no single method simultaneously provides maximum robustness, high diagnostic accuracy, low communication overhead, scalability, and strong privacy preservation. These trade-offs indicate that additional research is still required to develop practical Byzantine-resilient Federated Learning frameworks for real-world IoMT-based smart healthcare systems.</w:t>
      </w:r>
    </w:p>
    <w:p w14:paraId="21BFE30C" w14:textId="04AC179A" w:rsidR="001D6FB0" w:rsidRPr="001D6FB0" w:rsidRDefault="001D6FB0" w:rsidP="001D6FB0">
      <w:pPr>
        <w:pStyle w:val="Heading1"/>
        <w:rPr>
          <w:rFonts w:ascii="Times New Roman" w:hAnsi="Times New Roman" w:cs="Times New Roman"/>
          <w:sz w:val="28"/>
          <w:szCs w:val="28"/>
        </w:rPr>
      </w:pPr>
      <w:bookmarkStart w:id="3" w:name="_Toc236180866"/>
      <w:r w:rsidRPr="001D6FB0">
        <w:rPr>
          <w:rFonts w:ascii="Times New Roman" w:hAnsi="Times New Roman" w:cs="Times New Roman"/>
          <w:sz w:val="28"/>
          <w:szCs w:val="28"/>
        </w:rPr>
        <w:t>3.</w:t>
      </w:r>
      <w:r w:rsidRPr="001D6FB0">
        <w:rPr>
          <w:rFonts w:ascii="Times New Roman" w:hAnsi="Times New Roman" w:cs="Times New Roman"/>
          <w:sz w:val="28"/>
          <w:szCs w:val="28"/>
        </w:rPr>
        <w:t xml:space="preserve"> Technical Gaps</w:t>
      </w:r>
      <w:bookmarkEnd w:id="3"/>
    </w:p>
    <w:p w14:paraId="4739B02A" w14:textId="49D3223E" w:rsidR="001D6FB0" w:rsidRPr="001D6FB0" w:rsidRDefault="001D6FB0" w:rsidP="00D14D71">
      <w:pPr>
        <w:spacing w:line="360" w:lineRule="auto"/>
        <w:jc w:val="both"/>
        <w:rPr>
          <w:rFonts w:ascii="Times New Roman" w:hAnsi="Times New Roman" w:cs="Times New Roman"/>
        </w:rPr>
      </w:pPr>
      <w:r w:rsidRPr="001D6FB0">
        <w:rPr>
          <w:rFonts w:ascii="Times New Roman" w:hAnsi="Times New Roman" w:cs="Times New Roman"/>
        </w:rPr>
        <w:t>Although significant progress has been made in defending Federated Learning against Byzantine attacks, several important challenges remain unresolved. First, many existing robust aggregation algorithms assume a static network where the number of participating clients remains unchanged throughout the training process. In real IoMT-based healthcare environments, wearable devices, mobile sensors, and hospital systems frequently join and leave the network, making this assumption unrealistic.</w:t>
      </w:r>
      <w:r w:rsidR="00D14D71">
        <w:rPr>
          <w:rFonts w:ascii="Times New Roman" w:hAnsi="Times New Roman" w:cs="Times New Roman"/>
        </w:rPr>
        <w:t xml:space="preserve"> </w:t>
      </w:r>
      <w:r w:rsidRPr="001D6FB0">
        <w:rPr>
          <w:rFonts w:ascii="Times New Roman" w:hAnsi="Times New Roman" w:cs="Times New Roman"/>
        </w:rPr>
        <w:t xml:space="preserve">Second, most current methods focus primarily on security while overlooking the limited computational resources of IoMT devices. Advanced aggregation algorithms such as </w:t>
      </w:r>
      <w:proofErr w:type="spellStart"/>
      <w:r w:rsidRPr="001D6FB0">
        <w:rPr>
          <w:rFonts w:ascii="Times New Roman" w:hAnsi="Times New Roman" w:cs="Times New Roman"/>
        </w:rPr>
        <w:t>Bulyan</w:t>
      </w:r>
      <w:proofErr w:type="spellEnd"/>
      <w:r w:rsidRPr="001D6FB0">
        <w:rPr>
          <w:rFonts w:ascii="Times New Roman" w:hAnsi="Times New Roman" w:cs="Times New Roman"/>
        </w:rPr>
        <w:t xml:space="preserve"> and other trust-based methods require high computational power and memory, which increases energy consumption and training time on resource-constrained medical devices.</w:t>
      </w:r>
      <w:r w:rsidR="00D14D71">
        <w:rPr>
          <w:rFonts w:ascii="Times New Roman" w:hAnsi="Times New Roman" w:cs="Times New Roman"/>
        </w:rPr>
        <w:t xml:space="preserve"> </w:t>
      </w:r>
      <w:r w:rsidRPr="001D6FB0">
        <w:rPr>
          <w:rFonts w:ascii="Times New Roman" w:hAnsi="Times New Roman" w:cs="Times New Roman"/>
        </w:rPr>
        <w:t>Third, communication overhead remains a major limitation. Robust aggregation often requires multiple rounds of parameter verification and client evaluation, increasing communication latency between healthcare institutions and the central server. This delay can negatively affect real-time clinical applications such as remote patient monitoring and emergency diagnosis.</w:t>
      </w:r>
    </w:p>
    <w:p w14:paraId="1B67F5A3" w14:textId="6F0776D8" w:rsidR="001D6FB0" w:rsidRPr="001D6FB0" w:rsidRDefault="001D6FB0" w:rsidP="00D14D71">
      <w:pPr>
        <w:spacing w:line="360" w:lineRule="auto"/>
        <w:jc w:val="both"/>
        <w:rPr>
          <w:rFonts w:ascii="Times New Roman" w:hAnsi="Times New Roman" w:cs="Times New Roman"/>
        </w:rPr>
      </w:pPr>
      <w:r w:rsidRPr="001D6FB0">
        <w:rPr>
          <w:rFonts w:ascii="Times New Roman" w:hAnsi="Times New Roman" w:cs="Times New Roman"/>
        </w:rPr>
        <w:t>Another important challenge is the trade-off between privacy and model accuracy. Integrating Differential Privacy or encryption techniques strengthens data protection but introduces additional noise into model updates, which may reduce diagnostic performance for complex healthcare datasets.</w:t>
      </w:r>
      <w:r w:rsidR="00D14D71">
        <w:rPr>
          <w:rFonts w:ascii="Times New Roman" w:hAnsi="Times New Roman" w:cs="Times New Roman"/>
        </w:rPr>
        <w:t xml:space="preserve"> </w:t>
      </w:r>
      <w:r w:rsidRPr="001D6FB0">
        <w:rPr>
          <w:rFonts w:ascii="Times New Roman" w:hAnsi="Times New Roman" w:cs="Times New Roman"/>
        </w:rPr>
        <w:t xml:space="preserve">Finally, existing methods are often evaluated under limited attack scenarios. Modern </w:t>
      </w:r>
      <w:r w:rsidRPr="001D6FB0">
        <w:rPr>
          <w:rFonts w:ascii="Times New Roman" w:hAnsi="Times New Roman" w:cs="Times New Roman"/>
        </w:rPr>
        <w:lastRenderedPageBreak/>
        <w:t>attackers can launch adaptive and coordinated Byzantine attacks that continuously modify their behavior to avoid detection. Current aggregation strategies are not sufficiently robust against these evolving threats, particularly in heterogeneous healthcare environments where data distributions differ significantly across hospitals and IoMT devices.</w:t>
      </w:r>
    </w:p>
    <w:p w14:paraId="7E4729C8" w14:textId="6BC9D16B" w:rsidR="001D6FB0" w:rsidRPr="001D6FB0" w:rsidRDefault="001D6FB0" w:rsidP="001D6FB0">
      <w:pPr>
        <w:pStyle w:val="Heading1"/>
        <w:rPr>
          <w:rFonts w:ascii="Times New Roman" w:hAnsi="Times New Roman" w:cs="Times New Roman"/>
          <w:sz w:val="28"/>
          <w:szCs w:val="28"/>
        </w:rPr>
      </w:pPr>
      <w:bookmarkStart w:id="4" w:name="_Toc236180867"/>
      <w:r w:rsidRPr="001D6FB0">
        <w:rPr>
          <w:rFonts w:ascii="Times New Roman" w:hAnsi="Times New Roman" w:cs="Times New Roman"/>
          <w:sz w:val="28"/>
          <w:szCs w:val="28"/>
        </w:rPr>
        <w:t>4.</w:t>
      </w:r>
      <w:r w:rsidRPr="001D6FB0">
        <w:rPr>
          <w:rFonts w:ascii="Times New Roman" w:hAnsi="Times New Roman" w:cs="Times New Roman"/>
          <w:sz w:val="28"/>
          <w:szCs w:val="28"/>
        </w:rPr>
        <w:t xml:space="preserve"> Proposed Direction</w:t>
      </w:r>
      <w:bookmarkEnd w:id="4"/>
    </w:p>
    <w:p w14:paraId="25FCB6D6" w14:textId="0D1361B8" w:rsidR="001D6FB0" w:rsidRPr="001D6FB0" w:rsidRDefault="001D6FB0" w:rsidP="00D14D71">
      <w:pPr>
        <w:spacing w:line="360" w:lineRule="auto"/>
        <w:jc w:val="both"/>
        <w:rPr>
          <w:rFonts w:ascii="Times New Roman" w:hAnsi="Times New Roman" w:cs="Times New Roman"/>
        </w:rPr>
      </w:pPr>
      <w:r w:rsidRPr="001D6FB0">
        <w:rPr>
          <w:rFonts w:ascii="Times New Roman" w:hAnsi="Times New Roman" w:cs="Times New Roman"/>
        </w:rPr>
        <w:t>A promising solution is the development of a Hybrid Adaptive Byzantine-Resilient Federated Learning Framework for IoMT-based smart healthcare. The proposed framework combines adaptive robust aggregation, lightweight anomaly detection, trust-based client scoring, and Differential Privacy within a single learning architecture.</w:t>
      </w:r>
      <w:r w:rsidR="00D14D71">
        <w:rPr>
          <w:rFonts w:ascii="Times New Roman" w:hAnsi="Times New Roman" w:cs="Times New Roman"/>
        </w:rPr>
        <w:t xml:space="preserve"> </w:t>
      </w:r>
      <w:r w:rsidRPr="001D6FB0">
        <w:rPr>
          <w:rFonts w:ascii="Times New Roman" w:hAnsi="Times New Roman" w:cs="Times New Roman"/>
        </w:rPr>
        <w:t>Instead of treating every client equally, the framework continuously evaluates the reliability of each participant based on its historical behavior and update consistency. Suspicious model updates are filtered through lightweight anomaly detection before the aggregation process begins. Trust scores are then used to assign different aggregation weights, allowing reliable healthcare institutions to contribute more significantly to the global model.</w:t>
      </w:r>
      <w:r w:rsidR="00D14D71">
        <w:rPr>
          <w:rFonts w:ascii="Times New Roman" w:hAnsi="Times New Roman" w:cs="Times New Roman"/>
        </w:rPr>
        <w:t xml:space="preserve"> </w:t>
      </w:r>
      <w:r w:rsidRPr="001D6FB0">
        <w:rPr>
          <w:rFonts w:ascii="Times New Roman" w:hAnsi="Times New Roman" w:cs="Times New Roman"/>
        </w:rPr>
        <w:t>To reduce communication overhead, edge computing can perform preliminary aggregation near IoMT devices before transmitting compressed model updates to the central server. Differential Privacy is applied adaptively according to the sensitivity of the medical data, minimizing the loss of diagnostic accuracy while preserving patient confidentiality.</w:t>
      </w:r>
      <w:r w:rsidR="00D14D71">
        <w:rPr>
          <w:rFonts w:ascii="Times New Roman" w:hAnsi="Times New Roman" w:cs="Times New Roman"/>
        </w:rPr>
        <w:t xml:space="preserve"> </w:t>
      </w:r>
      <w:r w:rsidRPr="001D6FB0">
        <w:rPr>
          <w:rFonts w:ascii="Times New Roman" w:hAnsi="Times New Roman" w:cs="Times New Roman"/>
        </w:rPr>
        <w:t>This hybrid framework is expected to improve Byzantine attack resilience, reduce communication latency, preserve patient privacy, and maintain high diagnostic accuracy, making Federated Learning more practical for large-scale smart healthcare systems.</w:t>
      </w:r>
    </w:p>
    <w:p w14:paraId="6AFEFC2B" w14:textId="55690343" w:rsidR="001D6FB0" w:rsidRPr="001D6FB0" w:rsidRDefault="001D6FB0" w:rsidP="001D6FB0">
      <w:pPr>
        <w:pStyle w:val="Heading1"/>
        <w:rPr>
          <w:rFonts w:ascii="Times New Roman" w:hAnsi="Times New Roman" w:cs="Times New Roman"/>
          <w:sz w:val="28"/>
          <w:szCs w:val="28"/>
        </w:rPr>
      </w:pPr>
      <w:bookmarkStart w:id="5" w:name="_Toc236180868"/>
      <w:r w:rsidRPr="001D6FB0">
        <w:rPr>
          <w:rFonts w:ascii="Times New Roman" w:hAnsi="Times New Roman" w:cs="Times New Roman"/>
          <w:sz w:val="28"/>
          <w:szCs w:val="28"/>
        </w:rPr>
        <w:t>5.</w:t>
      </w:r>
      <w:r w:rsidRPr="001D6FB0">
        <w:rPr>
          <w:rFonts w:ascii="Times New Roman" w:hAnsi="Times New Roman" w:cs="Times New Roman"/>
          <w:sz w:val="28"/>
          <w:szCs w:val="28"/>
        </w:rPr>
        <w:t xml:space="preserve"> Bibliography</w:t>
      </w:r>
      <w:bookmarkEnd w:id="5"/>
      <w:r w:rsidRPr="001D6FB0">
        <w:rPr>
          <w:rFonts w:ascii="Times New Roman" w:hAnsi="Times New Roman" w:cs="Times New Roman"/>
          <w:sz w:val="28"/>
          <w:szCs w:val="28"/>
        </w:rPr>
        <w:t xml:space="preserve"> </w:t>
      </w:r>
    </w:p>
    <w:p w14:paraId="531CE1F3" w14:textId="77777777" w:rsidR="001D6FB0" w:rsidRPr="001D6FB0" w:rsidRDefault="001D6FB0" w:rsidP="00D14D71">
      <w:pPr>
        <w:spacing w:line="360" w:lineRule="auto"/>
        <w:jc w:val="both"/>
        <w:rPr>
          <w:rFonts w:ascii="Times New Roman" w:hAnsi="Times New Roman" w:cs="Times New Roman"/>
        </w:rPr>
      </w:pPr>
      <w:r w:rsidRPr="001D6FB0">
        <w:rPr>
          <w:rFonts w:ascii="Times New Roman" w:hAnsi="Times New Roman" w:cs="Times New Roman"/>
        </w:rPr>
        <w:t xml:space="preserve">[1] S. R. Ahmed </w:t>
      </w:r>
      <w:r w:rsidRPr="001D6FB0">
        <w:rPr>
          <w:rFonts w:ascii="Times New Roman" w:hAnsi="Times New Roman" w:cs="Times New Roman"/>
          <w:i/>
          <w:iCs/>
        </w:rPr>
        <w:t>et al.</w:t>
      </w:r>
      <w:r w:rsidRPr="001D6FB0">
        <w:rPr>
          <w:rFonts w:ascii="Times New Roman" w:hAnsi="Times New Roman" w:cs="Times New Roman"/>
        </w:rPr>
        <w:t xml:space="preserve">, “Federated Learning in Smart Healthcare: A Comprehensive Review on Privacy, Security, and Predictive Analytics with IoT Integration,” </w:t>
      </w:r>
      <w:r w:rsidRPr="001D6FB0">
        <w:rPr>
          <w:rFonts w:ascii="Times New Roman" w:hAnsi="Times New Roman" w:cs="Times New Roman"/>
          <w:i/>
          <w:iCs/>
        </w:rPr>
        <w:t>Healthcare</w:t>
      </w:r>
      <w:r w:rsidRPr="001D6FB0">
        <w:rPr>
          <w:rFonts w:ascii="Times New Roman" w:hAnsi="Times New Roman" w:cs="Times New Roman"/>
        </w:rPr>
        <w:t>, vol. 12, 2025.</w:t>
      </w:r>
    </w:p>
    <w:p w14:paraId="16150983" w14:textId="77777777" w:rsidR="001D6FB0" w:rsidRPr="001D6FB0" w:rsidRDefault="001D6FB0" w:rsidP="00D14D71">
      <w:pPr>
        <w:spacing w:line="360" w:lineRule="auto"/>
        <w:jc w:val="both"/>
        <w:rPr>
          <w:rFonts w:ascii="Times New Roman" w:hAnsi="Times New Roman" w:cs="Times New Roman"/>
        </w:rPr>
      </w:pPr>
      <w:r w:rsidRPr="001D6FB0">
        <w:rPr>
          <w:rFonts w:ascii="Times New Roman" w:hAnsi="Times New Roman" w:cs="Times New Roman"/>
        </w:rPr>
        <w:t xml:space="preserve">[2] Y. Bao, Y. Sun, S. Yang, Y. Lou, and B. Dai, “BOBA: Byzantine-Robust Federated Learning via Bipartite Optimization,” </w:t>
      </w:r>
      <w:r w:rsidRPr="001D6FB0">
        <w:rPr>
          <w:rFonts w:ascii="Times New Roman" w:hAnsi="Times New Roman" w:cs="Times New Roman"/>
          <w:i/>
          <w:iCs/>
        </w:rPr>
        <w:t>Proceedings of the 27th International Conference on Artificial Intelligence and Statistics (AISTATS)</w:t>
      </w:r>
      <w:r w:rsidRPr="001D6FB0">
        <w:rPr>
          <w:rFonts w:ascii="Times New Roman" w:hAnsi="Times New Roman" w:cs="Times New Roman"/>
        </w:rPr>
        <w:t>, 2024.</w:t>
      </w:r>
    </w:p>
    <w:p w14:paraId="401A9F16" w14:textId="77777777" w:rsidR="001D6FB0" w:rsidRPr="001D6FB0" w:rsidRDefault="001D6FB0" w:rsidP="00D14D71">
      <w:pPr>
        <w:spacing w:line="360" w:lineRule="auto"/>
        <w:jc w:val="both"/>
        <w:rPr>
          <w:rFonts w:ascii="Times New Roman" w:hAnsi="Times New Roman" w:cs="Times New Roman"/>
        </w:rPr>
      </w:pPr>
      <w:r w:rsidRPr="001D6FB0">
        <w:rPr>
          <w:rFonts w:ascii="Times New Roman" w:hAnsi="Times New Roman" w:cs="Times New Roman"/>
        </w:rPr>
        <w:t xml:space="preserve">[3] X. Wang, H. Zhang, and J. Li, “Adaptive Byzantine-Resilient Aggregation for Federated Learning in Healthcare IoT,” </w:t>
      </w:r>
      <w:r w:rsidRPr="001D6FB0">
        <w:rPr>
          <w:rFonts w:ascii="Times New Roman" w:hAnsi="Times New Roman" w:cs="Times New Roman"/>
          <w:i/>
          <w:iCs/>
        </w:rPr>
        <w:t>IEEE Internet of Things Journal</w:t>
      </w:r>
      <w:r w:rsidRPr="001D6FB0">
        <w:rPr>
          <w:rFonts w:ascii="Times New Roman" w:hAnsi="Times New Roman" w:cs="Times New Roman"/>
        </w:rPr>
        <w:t>, 2024.</w:t>
      </w:r>
    </w:p>
    <w:p w14:paraId="5855E72E" w14:textId="77777777" w:rsidR="001D6FB0" w:rsidRPr="001D6FB0" w:rsidRDefault="001D6FB0" w:rsidP="00D14D71">
      <w:pPr>
        <w:spacing w:line="360" w:lineRule="auto"/>
        <w:jc w:val="both"/>
        <w:rPr>
          <w:rFonts w:ascii="Times New Roman" w:hAnsi="Times New Roman" w:cs="Times New Roman"/>
        </w:rPr>
      </w:pPr>
      <w:r w:rsidRPr="001D6FB0">
        <w:rPr>
          <w:rFonts w:ascii="Times New Roman" w:hAnsi="Times New Roman" w:cs="Times New Roman"/>
        </w:rPr>
        <w:lastRenderedPageBreak/>
        <w:t xml:space="preserve">[4] M. </w:t>
      </w:r>
      <w:proofErr w:type="spellStart"/>
      <w:r w:rsidRPr="001D6FB0">
        <w:rPr>
          <w:rFonts w:ascii="Times New Roman" w:hAnsi="Times New Roman" w:cs="Times New Roman"/>
        </w:rPr>
        <w:t>Karimireddy</w:t>
      </w:r>
      <w:proofErr w:type="spellEnd"/>
      <w:r w:rsidRPr="001D6FB0">
        <w:rPr>
          <w:rFonts w:ascii="Times New Roman" w:hAnsi="Times New Roman" w:cs="Times New Roman"/>
        </w:rPr>
        <w:t xml:space="preserve">, L. He, and M. Jaggi, “Byzantine-Robust Learning on Heterogeneous Federated Networks,” </w:t>
      </w:r>
      <w:r w:rsidRPr="001D6FB0">
        <w:rPr>
          <w:rFonts w:ascii="Times New Roman" w:hAnsi="Times New Roman" w:cs="Times New Roman"/>
          <w:i/>
          <w:iCs/>
        </w:rPr>
        <w:t>IEEE Transactions on Neural Networks and Learning Systems</w:t>
      </w:r>
      <w:r w:rsidRPr="001D6FB0">
        <w:rPr>
          <w:rFonts w:ascii="Times New Roman" w:hAnsi="Times New Roman" w:cs="Times New Roman"/>
        </w:rPr>
        <w:t>, 2025.</w:t>
      </w:r>
    </w:p>
    <w:p w14:paraId="7292C7E5" w14:textId="77777777" w:rsidR="001D6FB0" w:rsidRPr="001D6FB0" w:rsidRDefault="001D6FB0" w:rsidP="00D14D71">
      <w:pPr>
        <w:spacing w:line="360" w:lineRule="auto"/>
        <w:jc w:val="both"/>
        <w:rPr>
          <w:rFonts w:ascii="Times New Roman" w:hAnsi="Times New Roman" w:cs="Times New Roman"/>
        </w:rPr>
      </w:pPr>
      <w:r w:rsidRPr="001D6FB0">
        <w:rPr>
          <w:rFonts w:ascii="Times New Roman" w:hAnsi="Times New Roman" w:cs="Times New Roman"/>
        </w:rPr>
        <w:t xml:space="preserve">[5] Z. Li, Y. Chen, and X. Liu, “Privacy-Preserving Byzantine-Robust Federated Learning for Medical Internet of Things,” </w:t>
      </w:r>
      <w:r w:rsidRPr="001D6FB0">
        <w:rPr>
          <w:rFonts w:ascii="Times New Roman" w:hAnsi="Times New Roman" w:cs="Times New Roman"/>
          <w:i/>
          <w:iCs/>
        </w:rPr>
        <w:t>Future Generation Computer Systems</w:t>
      </w:r>
      <w:r w:rsidRPr="001D6FB0">
        <w:rPr>
          <w:rFonts w:ascii="Times New Roman" w:hAnsi="Times New Roman" w:cs="Times New Roman"/>
        </w:rPr>
        <w:t>, 2025.</w:t>
      </w:r>
    </w:p>
    <w:p w14:paraId="0B6D1106" w14:textId="77777777" w:rsidR="00CA040D" w:rsidRPr="001D6FB0" w:rsidRDefault="00CA040D">
      <w:pPr>
        <w:rPr>
          <w:rFonts w:ascii="Times New Roman" w:hAnsi="Times New Roman" w:cs="Times New Roman"/>
        </w:rPr>
      </w:pPr>
    </w:p>
    <w:sectPr w:rsidR="00CA040D" w:rsidRPr="001D6FB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6325A" w14:textId="77777777" w:rsidR="004F169A" w:rsidRDefault="004F169A" w:rsidP="00D14D71">
      <w:pPr>
        <w:spacing w:after="0" w:line="240" w:lineRule="auto"/>
      </w:pPr>
      <w:r>
        <w:separator/>
      </w:r>
    </w:p>
  </w:endnote>
  <w:endnote w:type="continuationSeparator" w:id="0">
    <w:p w14:paraId="044A4749" w14:textId="77777777" w:rsidR="004F169A" w:rsidRDefault="004F169A" w:rsidP="00D14D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0EB55" w14:textId="77777777" w:rsidR="004F169A" w:rsidRDefault="004F169A" w:rsidP="00D14D71">
      <w:pPr>
        <w:spacing w:after="0" w:line="240" w:lineRule="auto"/>
      </w:pPr>
      <w:r>
        <w:separator/>
      </w:r>
    </w:p>
  </w:footnote>
  <w:footnote w:type="continuationSeparator" w:id="0">
    <w:p w14:paraId="0C5234D6" w14:textId="77777777" w:rsidR="004F169A" w:rsidRDefault="004F169A" w:rsidP="00D14D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2546474"/>
      <w:docPartObj>
        <w:docPartGallery w:val="Page Numbers (Top of Page)"/>
        <w:docPartUnique/>
      </w:docPartObj>
    </w:sdtPr>
    <w:sdtEndPr>
      <w:rPr>
        <w:noProof/>
      </w:rPr>
    </w:sdtEndPr>
    <w:sdtContent>
      <w:p w14:paraId="7B664492" w14:textId="42820A76" w:rsidR="00D14D71" w:rsidRDefault="00D14D7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4A0284D" w14:textId="77777777" w:rsidR="00D14D71" w:rsidRDefault="00D14D7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FB0"/>
    <w:rsid w:val="001D6FB0"/>
    <w:rsid w:val="00220110"/>
    <w:rsid w:val="004F169A"/>
    <w:rsid w:val="00610999"/>
    <w:rsid w:val="00C719EA"/>
    <w:rsid w:val="00CA040D"/>
    <w:rsid w:val="00D14D71"/>
    <w:rsid w:val="00D46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4D299"/>
  <w15:chartTrackingRefBased/>
  <w15:docId w15:val="{E920B9D4-9033-40F9-90C2-7FD21C500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F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D6F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6F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6F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6F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6F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F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F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F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F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D6F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6F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6F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6F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6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FB0"/>
    <w:rPr>
      <w:rFonts w:eastAsiaTheme="majorEastAsia" w:cstheme="majorBidi"/>
      <w:color w:val="272727" w:themeColor="text1" w:themeTint="D8"/>
    </w:rPr>
  </w:style>
  <w:style w:type="paragraph" w:styleId="Title">
    <w:name w:val="Title"/>
    <w:basedOn w:val="Normal"/>
    <w:next w:val="Normal"/>
    <w:link w:val="TitleChar"/>
    <w:uiPriority w:val="10"/>
    <w:qFormat/>
    <w:rsid w:val="001D6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FB0"/>
    <w:pPr>
      <w:spacing w:before="160"/>
      <w:jc w:val="center"/>
    </w:pPr>
    <w:rPr>
      <w:i/>
      <w:iCs/>
      <w:color w:val="404040" w:themeColor="text1" w:themeTint="BF"/>
    </w:rPr>
  </w:style>
  <w:style w:type="character" w:customStyle="1" w:styleId="QuoteChar">
    <w:name w:val="Quote Char"/>
    <w:basedOn w:val="DefaultParagraphFont"/>
    <w:link w:val="Quote"/>
    <w:uiPriority w:val="29"/>
    <w:rsid w:val="001D6FB0"/>
    <w:rPr>
      <w:i/>
      <w:iCs/>
      <w:color w:val="404040" w:themeColor="text1" w:themeTint="BF"/>
    </w:rPr>
  </w:style>
  <w:style w:type="paragraph" w:styleId="ListParagraph">
    <w:name w:val="List Paragraph"/>
    <w:basedOn w:val="Normal"/>
    <w:uiPriority w:val="34"/>
    <w:qFormat/>
    <w:rsid w:val="001D6FB0"/>
    <w:pPr>
      <w:ind w:left="720"/>
      <w:contextualSpacing/>
    </w:pPr>
  </w:style>
  <w:style w:type="character" w:styleId="IntenseEmphasis">
    <w:name w:val="Intense Emphasis"/>
    <w:basedOn w:val="DefaultParagraphFont"/>
    <w:uiPriority w:val="21"/>
    <w:qFormat/>
    <w:rsid w:val="001D6FB0"/>
    <w:rPr>
      <w:i/>
      <w:iCs/>
      <w:color w:val="2F5496" w:themeColor="accent1" w:themeShade="BF"/>
    </w:rPr>
  </w:style>
  <w:style w:type="paragraph" w:styleId="IntenseQuote">
    <w:name w:val="Intense Quote"/>
    <w:basedOn w:val="Normal"/>
    <w:next w:val="Normal"/>
    <w:link w:val="IntenseQuoteChar"/>
    <w:uiPriority w:val="30"/>
    <w:qFormat/>
    <w:rsid w:val="001D6F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6FB0"/>
    <w:rPr>
      <w:i/>
      <w:iCs/>
      <w:color w:val="2F5496" w:themeColor="accent1" w:themeShade="BF"/>
    </w:rPr>
  </w:style>
  <w:style w:type="character" w:styleId="IntenseReference">
    <w:name w:val="Intense Reference"/>
    <w:basedOn w:val="DefaultParagraphFont"/>
    <w:uiPriority w:val="32"/>
    <w:qFormat/>
    <w:rsid w:val="001D6FB0"/>
    <w:rPr>
      <w:b/>
      <w:bCs/>
      <w:smallCaps/>
      <w:color w:val="2F5496" w:themeColor="accent1" w:themeShade="BF"/>
      <w:spacing w:val="5"/>
    </w:rPr>
  </w:style>
  <w:style w:type="paragraph" w:styleId="Header">
    <w:name w:val="header"/>
    <w:basedOn w:val="Normal"/>
    <w:link w:val="HeaderChar"/>
    <w:uiPriority w:val="99"/>
    <w:unhideWhenUsed/>
    <w:rsid w:val="00D14D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4D71"/>
  </w:style>
  <w:style w:type="paragraph" w:styleId="Footer">
    <w:name w:val="footer"/>
    <w:basedOn w:val="Normal"/>
    <w:link w:val="FooterChar"/>
    <w:uiPriority w:val="99"/>
    <w:unhideWhenUsed/>
    <w:rsid w:val="00D14D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4D71"/>
  </w:style>
  <w:style w:type="paragraph" w:styleId="TOCHeading">
    <w:name w:val="TOC Heading"/>
    <w:basedOn w:val="Heading1"/>
    <w:next w:val="Normal"/>
    <w:uiPriority w:val="39"/>
    <w:unhideWhenUsed/>
    <w:qFormat/>
    <w:rsid w:val="00D14D7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14D71"/>
    <w:pPr>
      <w:spacing w:after="100"/>
    </w:pPr>
  </w:style>
  <w:style w:type="paragraph" w:styleId="TOC2">
    <w:name w:val="toc 2"/>
    <w:basedOn w:val="Normal"/>
    <w:next w:val="Normal"/>
    <w:autoRedefine/>
    <w:uiPriority w:val="39"/>
    <w:unhideWhenUsed/>
    <w:rsid w:val="00D14D71"/>
    <w:pPr>
      <w:spacing w:after="100"/>
      <w:ind w:left="240"/>
    </w:pPr>
  </w:style>
  <w:style w:type="character" w:styleId="Hyperlink">
    <w:name w:val="Hyperlink"/>
    <w:basedOn w:val="DefaultParagraphFont"/>
    <w:uiPriority w:val="99"/>
    <w:unhideWhenUsed/>
    <w:rsid w:val="00D14D7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F0E88-8E5F-4077-A981-A303C64A8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1494</Words>
  <Characters>8518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Joyashish Ghosh</dc:creator>
  <cp:keywords/>
  <dc:description/>
  <cp:lastModifiedBy>Joyashish Ghosh</cp:lastModifiedBy>
  <cp:revision>1</cp:revision>
  <dcterms:created xsi:type="dcterms:W3CDTF">2026-07-28T19:06:00Z</dcterms:created>
  <dcterms:modified xsi:type="dcterms:W3CDTF">2026-07-28T19:28:00Z</dcterms:modified>
</cp:coreProperties>
</file>