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ACFA" w14:textId="13E1AA16" w:rsidR="006F5714" w:rsidRDefault="006F5714" w:rsidP="006F5714">
      <w:pPr>
        <w:pStyle w:val="a9"/>
        <w:numPr>
          <w:ilvl w:val="0"/>
          <w:numId w:val="3"/>
        </w:numPr>
      </w:pPr>
      <w:r>
        <w:rPr>
          <w:rFonts w:hint="eastAsia"/>
        </w:rPr>
        <w:t>普朗克常数h的测定</w:t>
      </w:r>
    </w:p>
    <w:p w14:paraId="0C628360" w14:textId="268A939D" w:rsidR="004059CD" w:rsidRDefault="006A7F3E" w:rsidP="006A7F3E">
      <w:pPr>
        <w:jc w:val="center"/>
        <w:rPr>
          <w:rFonts w:eastAsia="Yu Mincho"/>
          <w:lang w:eastAsia="ja-JP"/>
        </w:rPr>
      </w:pPr>
      <w:r w:rsidRPr="006A7F3E">
        <w:rPr>
          <w:rFonts w:hint="eastAsia"/>
        </w:rPr>
        <w:drawing>
          <wp:inline distT="0" distB="0" distL="0" distR="0" wp14:anchorId="6B8BCF37" wp14:editId="705D1DB0">
            <wp:extent cx="4281170" cy="1981200"/>
            <wp:effectExtent l="0" t="0" r="5080" b="0"/>
            <wp:docPr id="378152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36D6" w14:textId="4C06C5A1" w:rsidR="006F5714" w:rsidRDefault="006A7F3E" w:rsidP="006A7F3E">
      <w:pPr>
        <w:jc w:val="center"/>
        <w:rPr>
          <w:rFonts w:eastAsia="Yu Mincho" w:hint="eastAsia"/>
          <w:lang w:eastAsia="ja-JP"/>
        </w:rPr>
      </w:pPr>
      <w:r>
        <w:rPr>
          <w:noProof/>
        </w:rPr>
        <w:drawing>
          <wp:inline distT="0" distB="0" distL="0" distR="0" wp14:anchorId="031C6C45" wp14:editId="6B5A47E8">
            <wp:extent cx="5500255" cy="2849880"/>
            <wp:effectExtent l="0" t="0" r="5715" b="7620"/>
            <wp:docPr id="25761270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BB2852" w14:textId="509DC598" w:rsidR="006A7F3E" w:rsidRDefault="006F5714" w:rsidP="006F5714">
      <w:pPr>
        <w:widowControl/>
      </w:pPr>
      <w:r>
        <w:rPr>
          <w:rFonts w:eastAsia="Yu Mincho" w:hint="eastAsia"/>
          <w:lang w:eastAsia="ja-JP"/>
        </w:rPr>
        <w:br w:type="page"/>
      </w:r>
    </w:p>
    <w:p w14:paraId="095977B7" w14:textId="0EC12288" w:rsidR="006F5714" w:rsidRPr="006F5714" w:rsidRDefault="006F5714" w:rsidP="006F5714">
      <w:pPr>
        <w:pStyle w:val="a9"/>
        <w:widowControl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光电管伏安特性曲线</w:t>
      </w:r>
    </w:p>
    <w:p w14:paraId="08F7EBA3" w14:textId="334D9712" w:rsidR="006A7F3E" w:rsidRDefault="006F5714" w:rsidP="006A7F3E">
      <w:pPr>
        <w:jc w:val="center"/>
      </w:pPr>
      <w:r w:rsidRPr="006F5714">
        <w:drawing>
          <wp:inline distT="0" distB="0" distL="0" distR="0" wp14:anchorId="114CE9A4" wp14:editId="69538AF2">
            <wp:extent cx="5274310" cy="2660650"/>
            <wp:effectExtent l="0" t="0" r="2540" b="6350"/>
            <wp:docPr id="15337747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D1E5" w14:textId="454E3AC2" w:rsidR="006F5714" w:rsidRDefault="006F5714" w:rsidP="006A7F3E">
      <w:pPr>
        <w:jc w:val="center"/>
      </w:pPr>
      <w:r w:rsidRPr="006F5714">
        <w:rPr>
          <w:rFonts w:hint="eastAsia"/>
        </w:rPr>
        <w:drawing>
          <wp:inline distT="0" distB="0" distL="0" distR="0" wp14:anchorId="01F5B9B5" wp14:editId="2D5F3B67">
            <wp:extent cx="5274310" cy="2660650"/>
            <wp:effectExtent l="0" t="0" r="2540" b="6350"/>
            <wp:docPr id="13568662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9FA92" wp14:editId="2CAA7335">
            <wp:extent cx="5274310" cy="2743200"/>
            <wp:effectExtent l="0" t="0" r="2540" b="3810"/>
            <wp:docPr id="177776304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D29286E-AE1B-5ADC-91B3-DA0331E63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49886A" w14:textId="4BE32532" w:rsidR="006F5714" w:rsidRDefault="006F5714" w:rsidP="006F5714">
      <w:pPr>
        <w:pStyle w:val="a9"/>
        <w:numPr>
          <w:ilvl w:val="0"/>
          <w:numId w:val="3"/>
        </w:numPr>
        <w:rPr>
          <w:rFonts w:hint="eastAsia"/>
        </w:rPr>
      </w:pPr>
      <w:r w:rsidRPr="006F5714">
        <w:rPr>
          <w:rFonts w:hint="eastAsia"/>
        </w:rPr>
        <w:lastRenderedPageBreak/>
        <w:t>验证光的饱和电流与入射光强之间的关系</w:t>
      </w:r>
    </w:p>
    <w:p w14:paraId="4FF6ACC1" w14:textId="5B0340AB" w:rsidR="006F5714" w:rsidRDefault="006F5714" w:rsidP="006F5714">
      <w:pPr>
        <w:widowControl/>
        <w:jc w:val="center"/>
      </w:pPr>
      <w:r w:rsidRPr="006F5714">
        <w:rPr>
          <w:rFonts w:hint="eastAsia"/>
        </w:rPr>
        <w:drawing>
          <wp:inline distT="0" distB="0" distL="0" distR="0" wp14:anchorId="4587C2C2" wp14:editId="4E587A89">
            <wp:extent cx="4662170" cy="1419860"/>
            <wp:effectExtent l="0" t="0" r="5080" b="8890"/>
            <wp:docPr id="1448102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BA57" w14:textId="380D33E3" w:rsidR="006F5714" w:rsidRDefault="00123D75" w:rsidP="006F5714">
      <w:pPr>
        <w:widowControl/>
        <w:jc w:val="center"/>
      </w:pPr>
      <w:r w:rsidRPr="00123D75">
        <w:drawing>
          <wp:inline distT="0" distB="0" distL="0" distR="0" wp14:anchorId="7A6E00C4" wp14:editId="09AEC943">
            <wp:extent cx="5274310" cy="852805"/>
            <wp:effectExtent l="0" t="0" r="2540" b="4445"/>
            <wp:docPr id="7406674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7CC8" w14:textId="277F1D43" w:rsidR="006F5714" w:rsidRPr="006F5714" w:rsidRDefault="00123D75" w:rsidP="006F5714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9267EF" wp14:editId="29DA8F25">
            <wp:extent cx="5274310" cy="2840182"/>
            <wp:effectExtent l="0" t="0" r="2540" b="17780"/>
            <wp:docPr id="211394274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F5714" w:rsidRPr="006F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19CA"/>
    <w:multiLevelType w:val="hybridMultilevel"/>
    <w:tmpl w:val="ADFAD3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037F33"/>
    <w:multiLevelType w:val="hybridMultilevel"/>
    <w:tmpl w:val="6FF6CA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E25D43"/>
    <w:multiLevelType w:val="hybridMultilevel"/>
    <w:tmpl w:val="3CCE1A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5878048">
    <w:abstractNumId w:val="0"/>
  </w:num>
  <w:num w:numId="2" w16cid:durableId="881016134">
    <w:abstractNumId w:val="2"/>
  </w:num>
  <w:num w:numId="3" w16cid:durableId="53674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2"/>
    <w:rsid w:val="00123D75"/>
    <w:rsid w:val="002D3F2F"/>
    <w:rsid w:val="004059CD"/>
    <w:rsid w:val="0044497F"/>
    <w:rsid w:val="00562A72"/>
    <w:rsid w:val="006A7F3E"/>
    <w:rsid w:val="006F5714"/>
    <w:rsid w:val="007123A0"/>
    <w:rsid w:val="009D41AA"/>
    <w:rsid w:val="00A85A5C"/>
    <w:rsid w:val="00C02E2F"/>
    <w:rsid w:val="00DD0DC5"/>
    <w:rsid w:val="00E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E2012"/>
  <w15:chartTrackingRefBased/>
  <w15:docId w15:val="{92591D2C-53FD-431A-9CD9-D3718F0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2A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A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A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A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A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A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A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A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2A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2A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2A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2A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2A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2A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2A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2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2A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2A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2A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2A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20108;&#19978;\&#29289;&#29702;&#23454;&#39564;\&#33258;&#24049;&#30340;&#22791;&#20221;\&#20809;&#30005;&#25928;&#24212;&#26222;&#26391;&#20811;&#24120;&#25968;\&#20809;&#30005;&#25928;&#24212;&#26222;&#26391;&#20811;&#24120;&#37327;%20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20108;&#19978;\&#29289;&#29702;&#23454;&#39564;\&#33258;&#24049;&#30340;&#22791;&#20221;\&#20809;&#30005;&#25928;&#24212;&#26222;&#26391;&#20811;&#24120;&#25968;\&#20809;&#30005;&#25928;&#24212;&#26222;&#26391;&#20811;&#24120;&#37327;%20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20108;&#19978;\&#29289;&#29702;&#23454;&#39564;\&#33258;&#24049;&#30340;&#22791;&#20221;\&#20809;&#30005;&#25928;&#24212;&#26222;&#26391;&#20811;&#24120;&#25968;\&#20809;&#30005;&#25928;&#24212;&#26222;&#26391;&#20811;&#24120;&#37327;%20&#25968;&#25454;&#22788;&#2970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8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/>
              <a:t>U</a:t>
            </a:r>
            <a:r>
              <a:rPr lang="en-US" altLang="zh-CN" sz="1200" b="0" baseline="-25000">
                <a:solidFill>
                  <a:schemeClr val="tx2"/>
                </a:solidFill>
                <a:uFillTx/>
              </a:rPr>
              <a:t>C</a:t>
            </a:r>
            <a:r>
              <a:rPr lang="en-US" altLang="zh-CN" sz="1400" b="0"/>
              <a:t>-v</a:t>
            </a:r>
            <a:r>
              <a:rPr lang="zh-CN" altLang="en-US" sz="1400" b="0"/>
              <a:t>关系曲线</a:t>
            </a:r>
          </a:p>
        </c:rich>
      </c:tx>
      <c:layout>
        <c:manualLayout>
          <c:xMode val="edge"/>
          <c:yMode val="edge"/>
          <c:x val="0.37478067036013601"/>
          <c:y val="3.1262141541667197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08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 alt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46354017729499"/>
          <c:y val="0.18239182692307701"/>
          <c:w val="0.77357735201601396"/>
          <c:h val="0.6795072115384620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6919379237792499E-2"/>
                  <c:y val="7.18277439176950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2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Sheet1!$O$7:$O$11</c:f>
              <c:numCache>
                <c:formatCode>0.000_ </c:formatCode>
                <c:ptCount val="5"/>
                <c:pt idx="0">
                  <c:v>8.2140000000000004</c:v>
                </c:pt>
                <c:pt idx="1">
                  <c:v>7.4080000000000004</c:v>
                </c:pt>
                <c:pt idx="2">
                  <c:v>6.8789999999999996</c:v>
                </c:pt>
                <c:pt idx="3">
                  <c:v>5.49</c:v>
                </c:pt>
                <c:pt idx="4">
                  <c:v>5.1959999999999997</c:v>
                </c:pt>
              </c:numCache>
            </c:numRef>
          </c:xVal>
          <c:yVal>
            <c:numRef>
              <c:f>Sheet1!$P$7:$P$11</c:f>
              <c:numCache>
                <c:formatCode>0.000_ </c:formatCode>
                <c:ptCount val="5"/>
                <c:pt idx="0">
                  <c:v>1.8240000000000001</c:v>
                </c:pt>
                <c:pt idx="1">
                  <c:v>1.506</c:v>
                </c:pt>
                <c:pt idx="2">
                  <c:v>1.304</c:v>
                </c:pt>
                <c:pt idx="3">
                  <c:v>0.73199999999999998</c:v>
                </c:pt>
                <c:pt idx="4">
                  <c:v>0.60599999999999998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0A-4CB1-BD83-5F776E3FE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321284"/>
        <c:axId val="916619087"/>
      </c:scatterChart>
      <c:valAx>
        <c:axId val="3073212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6619087"/>
        <c:crosses val="autoZero"/>
        <c:crossBetween val="midCat"/>
      </c:valAx>
      <c:valAx>
        <c:axId val="91661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73212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 sz="900"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光电管伏安特性曲线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1645105199226757E-2"/>
          <c:y val="0.10930915154353064"/>
          <c:w val="0.7333151593972177"/>
          <c:h val="0.7919193534264513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Sheet1!$C$14</c:f>
              <c:strCache>
                <c:ptCount val="1"/>
                <c:pt idx="0">
                  <c:v>波长435.8nm光照射下光电管伏安特性曲线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(Sheet1!$D$15:$L$15,Sheet1!$D$17:$L$17,Sheet1!$D$19:$L$19,Sheet1!$D$21:$L$21,Sheet1!$D$23:$K$23)</c:f>
              <c:numCache>
                <c:formatCode>0.0_ </c:formatCode>
                <c:ptCount val="44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2.5</c:v>
                </c:pt>
                <c:pt idx="8">
                  <c:v>3</c:v>
                </c:pt>
                <c:pt idx="9">
                  <c:v>3.5</c:v>
                </c:pt>
                <c:pt idx="10">
                  <c:v>4</c:v>
                </c:pt>
                <c:pt idx="11">
                  <c:v>4.5</c:v>
                </c:pt>
                <c:pt idx="12">
                  <c:v>5</c:v>
                </c:pt>
                <c:pt idx="13">
                  <c:v>5.5</c:v>
                </c:pt>
                <c:pt idx="14">
                  <c:v>6</c:v>
                </c:pt>
                <c:pt idx="15">
                  <c:v>6.5</c:v>
                </c:pt>
                <c:pt idx="16">
                  <c:v>7</c:v>
                </c:pt>
                <c:pt idx="17">
                  <c:v>7.5</c:v>
                </c:pt>
                <c:pt idx="18">
                  <c:v>8</c:v>
                </c:pt>
                <c:pt idx="19">
                  <c:v>8.5</c:v>
                </c:pt>
                <c:pt idx="20">
                  <c:v>9</c:v>
                </c:pt>
                <c:pt idx="21">
                  <c:v>9.5</c:v>
                </c:pt>
                <c:pt idx="22">
                  <c:v>10</c:v>
                </c:pt>
                <c:pt idx="23">
                  <c:v>10.5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  <c:pt idx="28">
                  <c:v>15</c:v>
                </c:pt>
                <c:pt idx="29">
                  <c:v>16</c:v>
                </c:pt>
                <c:pt idx="30">
                  <c:v>17</c:v>
                </c:pt>
                <c:pt idx="31">
                  <c:v>18</c:v>
                </c:pt>
                <c:pt idx="32">
                  <c:v>19</c:v>
                </c:pt>
                <c:pt idx="33">
                  <c:v>20</c:v>
                </c:pt>
                <c:pt idx="34">
                  <c:v>22</c:v>
                </c:pt>
                <c:pt idx="35">
                  <c:v>24</c:v>
                </c:pt>
                <c:pt idx="36" formatCode="General">
                  <c:v>26</c:v>
                </c:pt>
                <c:pt idx="37" formatCode="General">
                  <c:v>28</c:v>
                </c:pt>
                <c:pt idx="38" formatCode="General">
                  <c:v>30</c:v>
                </c:pt>
                <c:pt idx="39" formatCode="General">
                  <c:v>34</c:v>
                </c:pt>
                <c:pt idx="40" formatCode="General">
                  <c:v>38</c:v>
                </c:pt>
                <c:pt idx="41" formatCode="General">
                  <c:v>42</c:v>
                </c:pt>
                <c:pt idx="42" formatCode="General">
                  <c:v>46</c:v>
                </c:pt>
                <c:pt idx="43" formatCode="General">
                  <c:v>50</c:v>
                </c:pt>
              </c:numCache>
            </c:numRef>
          </c:xVal>
          <c:yVal>
            <c:numRef>
              <c:f>(Sheet1!$D$16:$L$16,Sheet1!$D$18:$L$18,Sheet1!$D$20:$L$20,Sheet1!$D$22:$L$22,Sheet1!$D$24:$K$24)</c:f>
              <c:numCache>
                <c:formatCode>General</c:formatCode>
                <c:ptCount val="44"/>
                <c:pt idx="0">
                  <c:v>0</c:v>
                </c:pt>
                <c:pt idx="1">
                  <c:v>3</c:v>
                </c:pt>
                <c:pt idx="2">
                  <c:v>10</c:v>
                </c:pt>
                <c:pt idx="3">
                  <c:v>17</c:v>
                </c:pt>
                <c:pt idx="4">
                  <c:v>25</c:v>
                </c:pt>
                <c:pt idx="5">
                  <c:v>34</c:v>
                </c:pt>
                <c:pt idx="6">
                  <c:v>42</c:v>
                </c:pt>
                <c:pt idx="7">
                  <c:v>48</c:v>
                </c:pt>
                <c:pt idx="8">
                  <c:v>56</c:v>
                </c:pt>
                <c:pt idx="9">
                  <c:v>64</c:v>
                </c:pt>
                <c:pt idx="10">
                  <c:v>71</c:v>
                </c:pt>
                <c:pt idx="11">
                  <c:v>78</c:v>
                </c:pt>
                <c:pt idx="12">
                  <c:v>85</c:v>
                </c:pt>
                <c:pt idx="13">
                  <c:v>92</c:v>
                </c:pt>
                <c:pt idx="14">
                  <c:v>100</c:v>
                </c:pt>
                <c:pt idx="15">
                  <c:v>108</c:v>
                </c:pt>
                <c:pt idx="16">
                  <c:v>113</c:v>
                </c:pt>
                <c:pt idx="17">
                  <c:v>120</c:v>
                </c:pt>
                <c:pt idx="18">
                  <c:v>126</c:v>
                </c:pt>
                <c:pt idx="19">
                  <c:v>132</c:v>
                </c:pt>
                <c:pt idx="20">
                  <c:v>137</c:v>
                </c:pt>
                <c:pt idx="21">
                  <c:v>142</c:v>
                </c:pt>
                <c:pt idx="22">
                  <c:v>146</c:v>
                </c:pt>
                <c:pt idx="23">
                  <c:v>150</c:v>
                </c:pt>
                <c:pt idx="24">
                  <c:v>153</c:v>
                </c:pt>
                <c:pt idx="25">
                  <c:v>160</c:v>
                </c:pt>
                <c:pt idx="26">
                  <c:v>164</c:v>
                </c:pt>
                <c:pt idx="27">
                  <c:v>168</c:v>
                </c:pt>
                <c:pt idx="28">
                  <c:v>170</c:v>
                </c:pt>
                <c:pt idx="29">
                  <c:v>176</c:v>
                </c:pt>
                <c:pt idx="30">
                  <c:v>179</c:v>
                </c:pt>
                <c:pt idx="31">
                  <c:v>182</c:v>
                </c:pt>
                <c:pt idx="32">
                  <c:v>184</c:v>
                </c:pt>
                <c:pt idx="33">
                  <c:v>186</c:v>
                </c:pt>
                <c:pt idx="34">
                  <c:v>192</c:v>
                </c:pt>
                <c:pt idx="35">
                  <c:v>195</c:v>
                </c:pt>
                <c:pt idx="36">
                  <c:v>202</c:v>
                </c:pt>
                <c:pt idx="37">
                  <c:v>206</c:v>
                </c:pt>
                <c:pt idx="38">
                  <c:v>209</c:v>
                </c:pt>
                <c:pt idx="39">
                  <c:v>216</c:v>
                </c:pt>
                <c:pt idx="40">
                  <c:v>222</c:v>
                </c:pt>
                <c:pt idx="41">
                  <c:v>228</c:v>
                </c:pt>
                <c:pt idx="42">
                  <c:v>234</c:v>
                </c:pt>
                <c:pt idx="43">
                  <c:v>239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60-455C-831D-478DB3B11467}"/>
            </c:ext>
          </c:extLst>
        </c:ser>
        <c:ser>
          <c:idx val="1"/>
          <c:order val="1"/>
          <c:tx>
            <c:strRef>
              <c:f>Sheet1!$C$26</c:f>
              <c:strCache>
                <c:ptCount val="1"/>
                <c:pt idx="0">
                  <c:v>波长546.1nm光照射下光电管伏安特性曲线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(Sheet1!$D$27:$L$27,Sheet1!$D$29:$L$29,Sheet1!$D$31:$L$31,Sheet1!$D$33:$L$33,Sheet1!$D$35:$K$35)</c:f>
              <c:numCache>
                <c:formatCode>0.0_ </c:formatCode>
                <c:ptCount val="44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2.5</c:v>
                </c:pt>
                <c:pt idx="8">
                  <c:v>3</c:v>
                </c:pt>
                <c:pt idx="9">
                  <c:v>3.5</c:v>
                </c:pt>
                <c:pt idx="10">
                  <c:v>4</c:v>
                </c:pt>
                <c:pt idx="11">
                  <c:v>4.5</c:v>
                </c:pt>
                <c:pt idx="12">
                  <c:v>5</c:v>
                </c:pt>
                <c:pt idx="13">
                  <c:v>5.5</c:v>
                </c:pt>
                <c:pt idx="14">
                  <c:v>6</c:v>
                </c:pt>
                <c:pt idx="15">
                  <c:v>6.5</c:v>
                </c:pt>
                <c:pt idx="16">
                  <c:v>7</c:v>
                </c:pt>
                <c:pt idx="17">
                  <c:v>7.5</c:v>
                </c:pt>
                <c:pt idx="18">
                  <c:v>8</c:v>
                </c:pt>
                <c:pt idx="19">
                  <c:v>8.5</c:v>
                </c:pt>
                <c:pt idx="20">
                  <c:v>9</c:v>
                </c:pt>
                <c:pt idx="21">
                  <c:v>9.5</c:v>
                </c:pt>
                <c:pt idx="22">
                  <c:v>10</c:v>
                </c:pt>
                <c:pt idx="23">
                  <c:v>10.5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  <c:pt idx="28">
                  <c:v>15</c:v>
                </c:pt>
                <c:pt idx="29">
                  <c:v>16</c:v>
                </c:pt>
                <c:pt idx="30">
                  <c:v>17</c:v>
                </c:pt>
                <c:pt idx="31">
                  <c:v>18</c:v>
                </c:pt>
                <c:pt idx="32">
                  <c:v>19</c:v>
                </c:pt>
                <c:pt idx="33">
                  <c:v>20</c:v>
                </c:pt>
                <c:pt idx="34">
                  <c:v>22</c:v>
                </c:pt>
                <c:pt idx="35">
                  <c:v>24</c:v>
                </c:pt>
                <c:pt idx="36" formatCode="General">
                  <c:v>26</c:v>
                </c:pt>
                <c:pt idx="37" formatCode="General">
                  <c:v>28</c:v>
                </c:pt>
                <c:pt idx="38" formatCode="General">
                  <c:v>30</c:v>
                </c:pt>
                <c:pt idx="39" formatCode="General">
                  <c:v>34</c:v>
                </c:pt>
                <c:pt idx="40" formatCode="General">
                  <c:v>38</c:v>
                </c:pt>
                <c:pt idx="41" formatCode="General">
                  <c:v>42</c:v>
                </c:pt>
                <c:pt idx="42" formatCode="General">
                  <c:v>46</c:v>
                </c:pt>
                <c:pt idx="43" formatCode="General">
                  <c:v>50</c:v>
                </c:pt>
              </c:numCache>
            </c:numRef>
          </c:xVal>
          <c:yVal>
            <c:numRef>
              <c:f>(Sheet1!$D$28:$L$28,Sheet1!$D$30:$L$30,Sheet1!$D$32:$L$32,Sheet1!$D$34:$L$34,Sheet1!$D$36:$K$36)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12</c:v>
                </c:pt>
                <c:pt idx="4">
                  <c:v>18</c:v>
                </c:pt>
                <c:pt idx="5">
                  <c:v>22</c:v>
                </c:pt>
                <c:pt idx="6">
                  <c:v>27</c:v>
                </c:pt>
                <c:pt idx="7">
                  <c:v>32</c:v>
                </c:pt>
                <c:pt idx="8">
                  <c:v>37</c:v>
                </c:pt>
                <c:pt idx="9">
                  <c:v>43</c:v>
                </c:pt>
                <c:pt idx="10">
                  <c:v>48</c:v>
                </c:pt>
                <c:pt idx="11">
                  <c:v>52</c:v>
                </c:pt>
                <c:pt idx="12">
                  <c:v>56</c:v>
                </c:pt>
                <c:pt idx="13">
                  <c:v>60</c:v>
                </c:pt>
                <c:pt idx="14">
                  <c:v>65</c:v>
                </c:pt>
                <c:pt idx="15">
                  <c:v>70</c:v>
                </c:pt>
                <c:pt idx="16">
                  <c:v>73</c:v>
                </c:pt>
                <c:pt idx="17">
                  <c:v>77</c:v>
                </c:pt>
                <c:pt idx="18">
                  <c:v>80</c:v>
                </c:pt>
                <c:pt idx="19">
                  <c:v>85</c:v>
                </c:pt>
                <c:pt idx="20">
                  <c:v>87</c:v>
                </c:pt>
                <c:pt idx="21">
                  <c:v>90</c:v>
                </c:pt>
                <c:pt idx="22">
                  <c:v>92</c:v>
                </c:pt>
                <c:pt idx="23">
                  <c:v>94</c:v>
                </c:pt>
                <c:pt idx="24">
                  <c:v>96</c:v>
                </c:pt>
                <c:pt idx="25">
                  <c:v>100</c:v>
                </c:pt>
                <c:pt idx="26">
                  <c:v>102</c:v>
                </c:pt>
                <c:pt idx="27">
                  <c:v>103</c:v>
                </c:pt>
                <c:pt idx="28">
                  <c:v>105</c:v>
                </c:pt>
                <c:pt idx="29">
                  <c:v>106</c:v>
                </c:pt>
                <c:pt idx="30">
                  <c:v>107</c:v>
                </c:pt>
                <c:pt idx="31">
                  <c:v>107</c:v>
                </c:pt>
                <c:pt idx="32">
                  <c:v>108</c:v>
                </c:pt>
                <c:pt idx="33">
                  <c:v>109</c:v>
                </c:pt>
                <c:pt idx="34">
                  <c:v>111</c:v>
                </c:pt>
                <c:pt idx="35">
                  <c:v>112</c:v>
                </c:pt>
                <c:pt idx="36">
                  <c:v>113</c:v>
                </c:pt>
                <c:pt idx="37">
                  <c:v>115</c:v>
                </c:pt>
                <c:pt idx="38">
                  <c:v>116</c:v>
                </c:pt>
                <c:pt idx="39">
                  <c:v>118</c:v>
                </c:pt>
                <c:pt idx="40">
                  <c:v>121</c:v>
                </c:pt>
                <c:pt idx="41">
                  <c:v>124</c:v>
                </c:pt>
                <c:pt idx="42">
                  <c:v>126</c:v>
                </c:pt>
                <c:pt idx="43">
                  <c:v>129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60-455C-831D-478DB3B11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550880"/>
        <c:axId val="481548000"/>
      </c:scatterChart>
      <c:valAx>
        <c:axId val="481550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  <a:r>
                  <a:rPr lang="en-US" altLang="zh-CN" baseline="-25000"/>
                  <a:t>AC</a:t>
                </a:r>
                <a:r>
                  <a:rPr lang="en-US" altLang="zh-CN" baseline="0"/>
                  <a:t>(V)</a:t>
                </a:r>
                <a:endParaRPr lang="zh-CN" altLang="en-US" baseline="-25000"/>
              </a:p>
            </c:rich>
          </c:tx>
          <c:layout>
            <c:manualLayout>
              <c:xMode val="edge"/>
              <c:yMode val="edge"/>
              <c:x val="0.735624656241049"/>
              <c:y val="0.856333606890374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1548000"/>
        <c:crosses val="autoZero"/>
        <c:crossBetween val="midCat"/>
      </c:valAx>
      <c:valAx>
        <c:axId val="48154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I(×10</a:t>
                </a:r>
                <a:r>
                  <a:rPr lang="en-US" altLang="zh-CN" baseline="30000"/>
                  <a:t>-11</a:t>
                </a:r>
                <a:r>
                  <a:rPr lang="en-US" altLang="zh-CN"/>
                  <a:t>A)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7.2519111914392018E-2"/>
              <c:y val="9.89612990206875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1550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16099145348063"/>
          <c:y val="0.18996697829508455"/>
          <c:w val="0.1882751001762922"/>
          <c:h val="0.470079984883294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观测不同照射距离下</a:t>
            </a:r>
            <a:r>
              <a:rPr lang="en-US" altLang="zh-CN"/>
              <a:t>,</a:t>
            </a:r>
            <a:r>
              <a:rPr lang="zh-CN" altLang="en-US"/>
              <a:t>饱和电流与入射光强的关系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11242529946031"/>
                  <c:y val="6.03508771929825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Sheet1!$AS$87:$AW$87</c:f>
              <c:numCache>
                <c:formatCode>General</c:formatCode>
                <c:ptCount val="5"/>
                <c:pt idx="0">
                  <c:v>1.111E-5</c:v>
                </c:pt>
                <c:pt idx="1">
                  <c:v>9.7599999999999997E-6</c:v>
                </c:pt>
                <c:pt idx="2">
                  <c:v>8.6500000000000002E-6</c:v>
                </c:pt>
                <c:pt idx="3">
                  <c:v>6.9299999999999997E-6</c:v>
                </c:pt>
                <c:pt idx="4">
                  <c:v>6.2500000000000003E-6</c:v>
                </c:pt>
              </c:numCache>
            </c:numRef>
          </c:xVal>
          <c:yVal>
            <c:numRef>
              <c:f>Sheet1!$AS$88:$AW$88</c:f>
              <c:numCache>
                <c:formatCode>General</c:formatCode>
                <c:ptCount val="5"/>
                <c:pt idx="0">
                  <c:v>279</c:v>
                </c:pt>
                <c:pt idx="1">
                  <c:v>234</c:v>
                </c:pt>
                <c:pt idx="2">
                  <c:v>196</c:v>
                </c:pt>
                <c:pt idx="3">
                  <c:v>146</c:v>
                </c:pt>
                <c:pt idx="4">
                  <c:v>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48-4715-AE5B-E8081DAD5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57514"/>
        <c:axId val="157891911"/>
      </c:scatterChart>
      <c:valAx>
        <c:axId val="11975751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1/L</a:t>
                </a:r>
                <a:r>
                  <a:rPr lang="en-US" altLang="zh-CN" baseline="30000"/>
                  <a:t>2</a:t>
                </a:r>
                <a:r>
                  <a:rPr lang="en-US" altLang="zh-CN"/>
                  <a:t>(mm</a:t>
                </a:r>
                <a:r>
                  <a:rPr lang="en-US" altLang="zh-CN" baseline="30000"/>
                  <a:t>-2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891911"/>
        <c:crosses val="autoZero"/>
        <c:crossBetween val="midCat"/>
      </c:valAx>
      <c:valAx>
        <c:axId val="157891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饱和电流</a:t>
                </a:r>
                <a:r>
                  <a:rPr lang="en-US" altLang="zh-CN"/>
                  <a:t>I</a:t>
                </a:r>
                <a:r>
                  <a:rPr lang="en-US" altLang="zh-CN" baseline="-25000"/>
                  <a:t>M</a:t>
                </a:r>
                <a:r>
                  <a:rPr lang="en-US" altLang="zh-CN"/>
                  <a:t>(×10</a:t>
                </a:r>
                <a:r>
                  <a:rPr lang="en-US" altLang="zh-CN" baseline="30000"/>
                  <a:t>-11</a:t>
                </a:r>
                <a:r>
                  <a:rPr lang="en-US" altLang="zh-CN"/>
                  <a:t>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757514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0.77417</cdr:x>
      <cdr:y>0.76614</cdr:y>
    </cdr:from>
    <cdr:to>
      <cdr:x>0.96531</cdr:x>
      <cdr:y>0.96787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3528695" y="1680845"/>
          <a:ext cx="871220" cy="4425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r>
            <a:rPr lang="en-US" altLang="zh-CN" sz="900"/>
            <a:t>v(</a:t>
          </a:r>
          <a:r>
            <a:rPr lang="zh-CN" altLang="en-US" sz="700"/>
            <a:t>×</a:t>
          </a:r>
          <a:r>
            <a:rPr lang="en-US" altLang="zh-CN" sz="900"/>
            <a:t>10</a:t>
          </a:r>
          <a:r>
            <a:rPr lang="en-US" altLang="zh-CN" sz="900" baseline="30000"/>
            <a:t>14</a:t>
          </a:r>
          <a:r>
            <a:rPr lang="en-US" altLang="zh-CN" sz="900"/>
            <a:t>Hz)</a:t>
          </a:r>
        </a:p>
      </cdr:txBody>
    </cdr:sp>
  </cdr:relSizeAnchor>
  <cdr:relSizeAnchor xmlns:cdr="http://schemas.openxmlformats.org/drawingml/2006/chartDrawing">
    <cdr:from>
      <cdr:x>0.0404</cdr:x>
      <cdr:y>0.04718</cdr:y>
    </cdr:from>
    <cdr:to>
      <cdr:x>0.22304</cdr:x>
      <cdr:y>0.25094</cdr:y>
    </cdr:to>
    <cdr:sp macro="" textlink="">
      <cdr:nvSpPr>
        <cdr:cNvPr id="3" name="矩形 2"/>
        <cdr:cNvSpPr/>
      </cdr:nvSpPr>
      <cdr:spPr>
        <a:xfrm xmlns:a="http://schemas.openxmlformats.org/drawingml/2006/main">
          <a:off x="184150" y="103505"/>
          <a:ext cx="832485" cy="4470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horzOverflow="clip" wrap="square" rtlCol="0" anchor="t"/>
        <a:lstStyle xmlns:a="http://schemas.openxmlformats.org/drawingml/2006/main"/>
        <a:p xmlns:a="http://schemas.openxmlformats.org/drawingml/2006/main">
          <a:r>
            <a:rPr lang="en-US" altLang="zh-CN" sz="900"/>
            <a:t>U</a:t>
          </a:r>
          <a:r>
            <a:rPr lang="en-US" altLang="zh-CN" sz="900" baseline="-25000"/>
            <a:t>C</a:t>
          </a:r>
          <a:r>
            <a:rPr lang="en-US" altLang="zh-CN" sz="900"/>
            <a:t>(V)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</Words>
  <Characters>43</Characters>
  <Application>Microsoft Office Word</Application>
  <DocSecurity>0</DocSecurity>
  <Lines>12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3</cp:revision>
  <cp:lastPrinted>2024-12-16T08:23:00Z</cp:lastPrinted>
  <dcterms:created xsi:type="dcterms:W3CDTF">2024-12-16T08:04:00Z</dcterms:created>
  <dcterms:modified xsi:type="dcterms:W3CDTF">2024-12-16T08:56:00Z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787bf199360214e58f9a39013de066a55cd47dbdf8fbf0fe58cbc88a8a10b140</vt:lpwstr>
  </property>
</Properties>
</file>