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TMC1小分子候选研究｜第二轮终局摘要</w:t>
      </w:r>
    </w:p>
    <w:p>
      <w:r>
        <w:t>版本：2026年9月29日终局稿。</w:t>
      </w:r>
    </w:p>
    <w:p>
      <w:pPr>
        <w:pStyle w:val="Heading2"/>
      </w:pPr>
      <w:r>
        <w:t>研究问题</w:t>
      </w:r>
    </w:p>
    <w:p>
      <w:r>
        <w:t>在公开小鼠TMC1–CIB2–TMIE预测复合物和预设孔道中区中，比较公开分子排序、AI辅助预算分配和受约束设计能否改善计算候选优先排序。所有分数和中区接触均为静态Vina代理，不能证明TMC1结合、激活、抑制、选择性或治疗效果。</w:t>
      </w:r>
    </w:p>
    <w:p>
      <w:pPr>
        <w:pStyle w:val="Heading2"/>
      </w:pPr>
      <w:r>
        <w:t>数据与方法</w:t>
      </w:r>
    </w:p>
    <w:p>
      <w:r>
        <w:t>共23,475条来源记录，标准化后21,356个独立母体；17,645个性质合格，16,698个前向池，9,098个满足对接适用域。历史935条质控分数用于五次骨架留出回放和AI训练。正式随机、描述符Ridge、主动AI各固定120次尝试，05独立质控均120/120；360次尝试对应319个唯一物理作业。</w:t>
      </w:r>
    </w:p>
    <w:p>
      <w:pPr>
        <w:pStyle w:val="Heading2"/>
      </w:pPr>
      <w:r>
        <w:t>主要发现</w:t>
      </w:r>
    </w:p>
    <w:p>
      <w:r>
        <w:t>正式三臂分数阈值（−8.0796 kcal/mol）达标：随机36、Ridge86、AI115；中区4 Å接触：91、119、107；联合达标：29、85、103。AI在本次固定预算静态筛选中收益较高，但Ridge和AI均为MW≥350空间，随机臂含39/120个MW&lt;350，骨架、相似度和电荷分布不均；历史五切分回放中AI未稳定超过Ridge，不能外推普遍泛化或实验活性。</w:t>
      </w:r>
    </w:p>
    <w:p>
      <w:r>
        <w:t>从三臂结果按事前规则选出6个不同骨架：LIB_YWDIXVZCRMMQQY、LIB_MYAFDHCCQBIZLC、LIB_ZNDXPRCORYDEAP、LIB_FCRHJSNRFAAYQD、LIB_DNDVGFIEWOHGAH、LIB_ZVHBDYFMHCQADD。四条件确认（ALL seed28/29、M_PUB_CORE seed27、H_AF seed27）共24/24独立QC通过、24/24分数达标、22/24中区接触、0荷电警告。LIB_MYAFDHCCQBIZLC与LIB_ZVHBDYFMHCQADD在M_CORE分别出现−0.047 Å和0.060 Å盒边界，且无中区接触，需谨慎解释。</w:t>
      </w:r>
    </w:p>
    <w:p>
      <w:pPr>
        <w:pStyle w:val="Heading2"/>
      </w:pPr>
      <w:r>
        <w:t>设计与后续</w:t>
      </w:r>
    </w:p>
    <w:p>
      <w:r>
        <w:t>原固定生成40条的技术QC+分数+中区联合结果为0/40；独立探索16条为代理组1/12、匹配随机0/4，唯一结构后续出现姿势迁移和化学可实施性警示。后续应在TMC1/TMC2对照体系开展剂量、洗脱、机械刺激电流和细胞状态控制实验。正式319药理背景与六项确认联表已归档，未提供TMC1机制证据。</w:t>
      </w:r>
    </w:p>
    <w:p>
      <w:r>
        <w:t>证据入口：第二轮核心总报告.md、科研图表/图表登记.csv、候选整合/候选表.csv。</w:t>
      </w:r>
    </w:p>
    <w:sectPr w:rsidR="00FC693F" w:rsidRPr="0006063C" w:rsidSect="00034616">
      <w:footerReference w:type="default" r:id="rId9"/>
      <w:pgSz w:w="12240" w:h="15840"/>
      <w:pgMar w:top="964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第二轮核心研究阶段整合 · 以原始证据和最终复核为准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307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