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b/>
          <w:sz w:val="36"/>
        </w:rPr>
        <w:t>赛道三项目摘要（第二轮草稿）</w:t>
      </w:r>
    </w:p>
    <w:p>
      <w:pPr>
        <w:jc w:val="center"/>
      </w:pPr>
      <w:r>
        <w:rPr>
          <w:rFonts w:ascii="微软雅黑" w:hAnsi="微软雅黑"/>
          <w:sz w:val="20"/>
        </w:rPr>
        <w:t>匿名提交稿｜版本：2026年9月30日</w:t>
      </w:r>
    </w:p>
    <w:p>
      <w:r>
        <w:t>在赛道三离子通道小分子虚拟筛选任务中，本项目以TMC1为研究对象，建立“结构核验—口袋定位—分子整理—分层对接—独立复核—实验接入”的候选优先排序流程。我们汇总23,475条公开来源记录，标准化得到21,356个独立母体，其中16,698个进入前向筛选池，9,098个满足对接适用域。正式比较设置随机、描述符Ridge和主动AI三臂，各固定120次尝试，共319个去重物理作业。以−8.0796 kcal/mol为静态分数阈值、以孔道中区4 Å接触作为结构代理指标，三臂联合达标数分别为29、85和103。AI在本次固定预算的静态排序中表现较高，但历史五切分回放和分层差异提示该结果不能外推为普遍泛化或实测药效。按事前规则选出6个不同骨架，四条件独立质控24/24通过，22/24保留中区接触。上述结果属于计算证据，不能直接证明TMC1结合、激活、抑制、选择性或治疗效果；后续需在TMC1/TMC2对照体系中开展剂量反应、机械刺激电流、洗脱和细胞状态验证。</w:t>
      </w:r>
    </w:p>
    <w:p>
      <w:r>
        <w:t>关键词：TMC1；离子通道；小分子虚拟筛选；主动学习；候选优先排序</w:t>
      </w:r>
    </w:p>
    <w:p>
      <w:r>
        <w:t>说明：正文依据第二轮终局计算证据整理，未将预测结果写成湿实验实测；正式提交前需由报名系统复核字数及字段。</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lastModifiedBy/>
  <cp:revision>1</cp:revision>
  <dcterms:created xsi:type="dcterms:W3CDTF">2013-12-23T23:15:00Z</dcterms:created>
  <dcterms:modified xsi:type="dcterms:W3CDTF">2013-12-23T23:15:00Z</dcterms:modified>
  <cp:category/>
</cp:coreProperties>
</file>