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候选身份、既有药理与ADMET预测补充报告</w:t>
      </w:r>
    </w:p>
    <w:p>
      <w:r>
        <w:t>赛道三｜2026年10月1日｜六正式候选与五探索／对照的证据分层</w:t>
      </w:r>
    </w:p>
    <w:p>
      <w:r>
        <w:t>本报告补充正式六候选的来源身份、已有非TMC1药理、相似化合物和计算性质。结论用于安排后续验证，不改变原R1/R2/R3结果、阈值及候选名单。公开文献实验、模型预测、本团队计算与未来实验分别呈现。</w:t>
      </w:r>
    </w:p>
    <w:p>
      <w:pPr>
        <w:pStyle w:val="Heading1"/>
      </w:pPr>
      <w:r>
        <w:t>1. 研究判断与参照来源</w:t>
      </w:r>
    </w:p>
    <w:p>
      <w:r>
        <w:t>六候选应定位为已知研究化合物的新用途候选。已有激酶相关药理及细胞毒性记录，加之吸收、溶解性、CYP和潜在安全性预测风险，使选择性、细胞耐受和有效暴露成为后续关键问题。当前证据不支持“六个获批老药”“新化学实体”“成药性良好”或治疗有效的结论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集合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核实范围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解释边界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论文药效团训练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13个训练名称；另加3个MET对接参照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名称集合与结构文件覆盖分别统计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作者活性SDF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10份文件，78条重复记录，12个独立结构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UoS-5247未被这些文件覆盖；不否定论文训练使用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文献染料实验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15个可购得命中中12个降低AM1-43摄取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小鼠耳蜗外植体读出；不是直接人TMC1结合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六候选与作者训练结构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母体标准化后完整InChIKey交集0/12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仅是有限集合的身份不重叠，不证明新颖性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所谓68成员参照库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尚无可逐成员追溯的完整来源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不报告68库零重叠或生物活性召回率</w:t>
            </w:r>
          </w:p>
        </w:tc>
      </w:tr>
    </w:tbl>
    <w:p>
      <w:r>
        <w:t>作者仓库冻结提交：74274dad76201258adbd76c7058b705170c4b857。论文DOI：10.1038/s42003-025-07943-x。项目代理训练使用的935条历史Vina记录与上述文献集合不同。来源文件见science_supplement/A1_reference_sources。</w:t>
      </w:r>
    </w:p>
    <w:p>
      <w:pPr/>
      <w:r>
        <w:t>独立N几何敏感性分析：补回的ZINC12986242、ZINC24739924、ZINC58438263在原制备规则下均阻断；另立非环状、非酰胺叔胺N几何分析，3母体×2种几何共6次对接，独立QC6/6、中区接触3/6、原分数阈值达标0/6，联合0/6。两几何分数差分别为0.461、0.560、0.135 kcal/mol；区间反映模型敏感性，不是亲和力或实测不确定度。该追加分析与原R2结果、参照3/8及染料下降亚组3/6分开统计，不修改任何旧分母。来源：science_supplement/A1_reference_sources/n_geometry_sensitivity。</w:t>
      </w:r>
    </w:p>
    <w:p>
      <w:r>
        <w:br w:type="page"/>
      </w:r>
    </w:p>
    <w:p>
      <w:pPr>
        <w:pStyle w:val="Heading1"/>
      </w:pPr>
      <w:r>
        <w:t>2. 六候选已有药理与相似化合物</w:t>
      </w:r>
    </w:p>
    <w:p>
      <w:r>
        <w:t>官方ChEMBL相似接口两档检索共1,458条候选—邻居配对，按ChEMBL ID去重为847条。每个候选≥0.6数量另作接口复核；以下为实际返回数量，未补入自匹配。官方相似度百分数除以100，不等同本项目Morgan1024分数。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ChEMBL编号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≥0.4邻居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≥0.6邻居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CHEMBL1079964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427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CHEMBL1080362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258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63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CHEMBL1081740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150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62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CHEMBL1080669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158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CHEMBL1076497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292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CHEMBL1080205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173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34</w:t>
            </w:r>
          </w:p>
        </w:tc>
      </w:tr>
    </w:tbl>
    <w:p>
      <w:r>
        <w:t>按预先登记规则，选取各候选≥0.6前三个非正式候选邻居、0.4—0.6前两个邻居及带临床阶段的邻居，连同六候选共33个分子，实际获得622条实验活动、422个assay及48篇来源文献。其余邻居未查询药理，不等于无活性。不能由邻居药理推定候选活性或临床状态。</w:t>
      </w:r>
    </w:p>
    <w:p>
      <w:r>
        <w:t>六候选ChEMBL首批上市年份及最高临床阶段字段为空；这不是获批身份的证据，也不单凭字段缺失断言全球不存在任何临床记录。以下药理表按候选自身精确ChEMBL编号匹配。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候选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靶标/细胞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已载明测定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assay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CHEMBL1079964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EphB4抑制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Inhibition = 36 %（10 μM）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CHEMBL1109418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CHEMBL1080362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EphB4抑制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IC50 = 50000 nM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CHEMBL1109419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CHEMBL1081740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EphB4抑制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IC50 = 850 nM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CHEMBL1109419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CHEMBL1080669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EphB4抑制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IC50 = 10500 nM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CHEMBL1109419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CHEMBL1076497</w:t>
            </w:r>
          </w:p>
        </w:tc>
        <w:tc>
          <w:tcPr>
            <w:tcW w:type="dxa" w:w="2381"/>
          </w:tcPr>
          <w:p>
            <w:r>
              <w:t>人重组B-Raf抑制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IC50 = 44 nM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CHEMBL1114817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CHEMBL1076497</w:t>
            </w:r>
          </w:p>
        </w:tc>
        <w:tc>
          <w:tcPr>
            <w:tcW w:type="dxa" w:w="2381"/>
          </w:tcPr>
          <w:p>
            <w:r>
              <w:t>HT-29细胞毒性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IC50 = 740 nM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CHEMBL1114818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CHEMBL1076497</w:t>
            </w:r>
          </w:p>
        </w:tc>
        <w:tc>
          <w:tcPr>
            <w:tcW w:type="dxa" w:w="2381"/>
          </w:tcPr>
          <w:p>
            <w:r>
              <w:t>WM266.4细胞毒性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IC50 = 310 nM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CHEMBL1114819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CHEMBL1080205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EphB4抑制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Inhibition = 32 %（10 μM）</w:t>
            </w:r>
          </w:p>
        </w:tc>
        <w:tc>
          <w:tcPr>
            <w:tcW w:type="dxa" w:w="2381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CHEMBL1109418</w:t>
            </w:r>
          </w:p>
        </w:tc>
      </w:tr>
    </w:tbl>
    <w:p>
      <w:r>
        <w:t>EphB4记录来自DOI 10.1016/j.bmcl.2009.10.037；其靶标为同源指派，不能自行补为纯化人EphB4实验。B-Raf和细胞毒性来自DOI 10.1016/j.bmcl.2009.10.049。后两条是肿瘤细胞终点，不是对正常毛细胞毒性的直接测定。已核ChEMBL原始activity、assay及文献元数据；本轮未逐表复核这两篇期刊全文。</w:t>
      </w:r>
    </w:p>
    <w:p>
      <w:r>
        <w:br w:type="page"/>
      </w:r>
    </w:p>
    <w:p>
      <w:pPr>
        <w:pStyle w:val="Heading1"/>
      </w:pPr>
      <w:r>
        <w:t>3. 预测输入、工具与执行范围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范围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输入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正式候选6个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CHEMBL1079964、1080362、1081740、1080669、1076497、1080205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原六候选名单保持不变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探索/对照4个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Lumacaftor；JMW甲基酰胺设计物；Trilaciclib；LDAG生成物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Lumacaftor是JMW直接亲本；Trilaciclib仅为历史对照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固定比较对照1个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GEN_YUOYQOBVJWRGGY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LDAG原冻结分子量/电荷匹配随机对照；不代表全部ADMET维度匹配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工具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实际完成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数据解释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SwissADME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网页实际返回5+6=11个不同输入；完整InChIKey 11/11一致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保留原始CSV；与源输入逐项绑定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本地RDKit SA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11个输入，Ertl–Schuffenhauer实现；复核RDKit 2025.09.6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结构合成难度估计；不是已验证合成路线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ADMET-AI 2.0.1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11×41=451个端点值；31分类、10回归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官方预训练模型；没有宣称本项目自训练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ADMET-AI环境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Chemprop 2.3.1、PyTorch 2.8.0、RDKit 2026.3.6；10模型文件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模型及版本SHA见推理清单；不混同SA环境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ADMETlab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本次官方接口失败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没有结果，不写成成功预测</w:t>
            </w:r>
          </w:p>
        </w:tc>
      </w:tr>
    </w:tbl>
    <w:p>
      <w:r>
        <w:t>SwissADME与ADMET-AI结果分列，不取平均或强行统一。SA、LogP、原子计数与可旋转键等存在不同实现和结构表达口径，保留各自来源；不能使用一套数值覆盖另一套风险提示。网站预测及预训练模型未取得本项目候选集的独立适用域校准，不宣称已验证可靠的体内预测。</w:t>
      </w:r>
    </w:p>
    <w:p>
      <w:r>
        <w:br w:type="page"/>
      </w:r>
    </w:p>
    <w:p>
      <w:pPr>
        <w:pStyle w:val="Heading1"/>
      </w:pPr>
      <w:r>
        <w:t>4. 六候选预测结果与验证重点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候选简称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Swiss SA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RDKit SA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GI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BBB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ESOL log S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YWD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3.71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2.424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Low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No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-6.47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MYA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3.63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2.450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Low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No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-6.44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ZND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3.61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2.677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Low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No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-5.93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FCR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3.93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2.543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Low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No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-6.33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DND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3.95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2.665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High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No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-6.18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ZVH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3.63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2.580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Low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No</w:t>
            </w:r>
          </w:p>
        </w:tc>
        <w:tc>
          <w:tcPr>
            <w:tcW w:type="dxa" w:w="1587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-5.79</w:t>
            </w:r>
          </w:p>
        </w:tc>
      </w:tr>
    </w:tbl>
    <w:p>
      <w:r>
        <w:t>简称与完整ID在输入表一一对应。GI为胃肠吸收类别；BBB为血脑屏障通透分类；ESOL log S是以mol/L为基准的对数溶解度模型估计。六候选中5个GI为Low，全部BBB为No。不能用BBB预测推断血迷路屏障通透性或耳蜗暴露；局部给药可否绕开暴露限制也需单独验证。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候选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CYP2C19抑制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CYP3A4抑制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hERG模型输出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DILI模型输出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YWD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Yes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Yes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0.907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0.996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MYA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Yes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Yes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0.949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0.991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ZND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Yes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Yes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0.964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0.994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FCR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Yes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Yes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0.965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0.997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DND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Yes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Yes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0.977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0.985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ZVH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Yes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Yes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0.941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0.995</w:t>
            </w:r>
          </w:p>
        </w:tc>
      </w:tr>
    </w:tbl>
    <w:p>
      <w:r>
        <w:t>CYP列为SwissADME分类；hERG与DILI列为ADMET-AI模型输出，不是候选实测抑制、肝损伤发生率或患者个体风险概率。正式六候选hERG与DILI输出较高，应视为需要优先复核的潜在风险，不能仅因结构规则零命中或SA较低而忽略。预测没有确立安全窗口。</w:t>
      </w:r>
    </w:p>
    <w:p>
      <w:r>
        <w:t>451个ADMET-AI预测值中，10个超出元数据物理范围：蛋白结合率&gt;100%、分布容积&lt;0或肝细胞清除率&lt;0。原始异常值完整保留并另表标记；本报告不裁剪、不将其解释为合理绝对量、不据其计算综合成药性排名。</w:t>
      </w:r>
    </w:p>
    <w:p>
      <w:r>
        <w:br w:type="page"/>
      </w:r>
    </w:p>
    <w:p>
      <w:pPr>
        <w:pStyle w:val="Heading1"/>
      </w:pPr>
      <w:r>
        <w:t>5. 探索分子与比较物的使用边界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名称/简称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Swiss SA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RDKit SA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GI / BBB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hERG输出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Lumacaftor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3.28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2.756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High / No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0.462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Trilaciclib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4.11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3.526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High / No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0.893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JMW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3.42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2.790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High / No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0.756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LDAG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2.95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2.434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High / No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0.749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GEN_YUOYQOBVJWRGGY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1.91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1.601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High / Yes</w:t>
            </w:r>
          </w:p>
        </w:tc>
        <w:tc>
          <w:tcPr>
            <w:tcW w:type="dxa" w:w="190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0.604</w:t>
            </w:r>
          </w:p>
        </w:tc>
      </w:tr>
    </w:tbl>
    <w:p>
      <w:r>
        <w:t>JMW与Lumacaftor构成明确结构改造配对。Trilaciclib在历史探索中为比较物，不能称LDAG的直接亲本。LDAG及其冻结随机对照仅属于探索性比较；SA或QED较好不证明TMC1活性，也不能替代主生成0/40与追加0/10的联合达标结果。11个输入不是11个正式候选。</w:t>
      </w:r>
    </w:p>
    <w:p>
      <w:r>
        <w:t>合成可及性分数用于估计结构层面的复杂度与片段先验，并非合成路线、产率、采购可得性或预算报价。相似分子或已知药物性质也不能直接转移到设计产物。需要对具体盐型、纯度、稳定性和实验暴露条件逐项确认。</w:t>
      </w:r>
    </w:p>
    <w:p>
      <w:pPr>
        <w:pStyle w:val="Heading1"/>
      </w:pPr>
      <w:r>
        <w:t>6. 后续验证安排与证据索引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优先问题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拟核查事项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判定边界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身份与暴露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具体盐型/立体、纯度、溶解性、聚集与溶剂耐受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不足时不按名义加药浓度解释结果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非TMC1作用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已有激酶反筛、细胞活性/毒性、染料读数干扰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有细胞作用不等于TMC1特异作用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通道功能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机械刺激电流、浓度反应、洗脱、同批溶剂漂移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电流变化须排除非特异膜作用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靶点与亚型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TMC1扰动及救援；可比TMC1/TMC2反筛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依赖性与选择性是两个评价问题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疾病代偿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MYO7A异常模型先核残余MET，再检验功能改善</w:t>
            </w:r>
          </w:p>
        </w:tc>
        <w:tc>
          <w:tcPr>
            <w:tcW w:type="dxa" w:w="3175"/>
          </w:tcPr>
          <w:p>
            <w:pPr>
              <w:spacing w:after="60" w:before="40"/>
            </w:pPr>
            <w:r>
              <w:rPr>
                <w:rFonts w:ascii="Calibri" w:hAnsi="Calibri" w:eastAsia="宋体"/>
                <w:sz w:val="18"/>
              </w:rPr>
              <w:t>不能由对接或预测直接推论听力恢复</w:t>
            </w:r>
          </w:p>
        </w:tc>
      </w:tr>
    </w:tbl>
    <w:p>
      <w:r>
        <w:t>主要数据：science_supplement/A1_reference_sources（来源成员）、A2_chembl_neighbors（完整邻居与药理）、A3_ADMET_SA（11输入与全部预测）；本报告保留展示表，全精度原值和异常表见对应CSV。科学补充包数据仅用于学术分析，来源与许可随包保留。</w:t>
      </w:r>
    </w:p>
    <w:p>
      <w:r>
        <w:t>原始论文：https://doi.org/10.1038/s42003-025-07943-x；EphB4：https://doi.org/10.1016/j.bmcl.2009.10.037；B-Raf：https://doi.org/10.1016/j.bmcl.2009.10.049。</w:t>
      </w:r>
    </w:p>
    <w:p>
      <w:r>
        <w:t>SwissADME：https://doi.org/10.1038/srep42717；https://www.swissadme.ch/faq.php。ADMET-AI官方实现：https://github.com/swansonk14/admet_ai。RDKit SA：https://github.com/rdkit/rdkit/blob/master/Contrib/SA_Score/sascorer.py。ChEMBL原始及派生数据遵守CC BY-SA 3.0，见https://chembl.gitbook.io/chembl-interface-documentation/frequently-asked-questions/general-questions。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459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459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24596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宋体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候选身份、既有药理与ADMET预测补充报告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