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仿宋" w:hAnsi="仿宋" w:eastAsia="仿宋"/>
          <w:sz w:val="32"/>
        </w:rPr>
        <w:t>靶向TMC1机械转导通道的小分子变构调节剂AI辅助筛选——用于Usher综合征1B的听力代偿保护策略</w:t>
      </w:r>
    </w:p>
    <w:p>
      <w:pPr>
        <w:spacing w:after="140"/>
      </w:pPr>
      <w:r>
        <w:t>参赛片区：西部赛区｜参赛组别：本科生组</w:t>
      </w:r>
    </w:p>
    <w:p>
      <w:pPr>
        <w:spacing w:after="140"/>
      </w:pPr>
      <w:r>
        <w:t>赛道三：离子通道、GPCR等药靶的小分子药物虚拟筛选</w:t>
      </w:r>
    </w:p>
    <w:p>
      <w:pPr>
        <w:spacing w:after="140"/>
      </w:pPr>
      <w:r>
        <w:t>项目简介：</w:t>
      </w:r>
    </w:p>
    <w:p>
      <w:pPr>
        <w:spacing w:after="140"/>
      </w:pPr>
      <w:r>
        <w:t>Usher综合征1B（USH1B）的MYO7A缺陷可影响毛细胞机械转导。本项目对标赛道三，以TMC1为下游靶点，从已知研究化合物中优选实验候选；听力代偿以模型保留残余功能为前提。</w:t>
        <w:br/>
        <w:br/>
        <w:t>23,475条来源记录形成21,356个母体，9,098个结构满足对接适用域。随机、Ridge、AI各120次尝试，对应319项去重计算。分子量≥350子集中，AI与随机分数达标率为95.8%与43.2%，区域接触率为89.2%与86.4%，Ridge接触率为99.2%；仅支持本协议的静态排序评价。</w:t>
        <w:br/>
        <w:br/>
        <w:t>六候选四条件确认24次计算均通过几何质控，22/24保留区域接触；三物种24格矩阵仅作描述性比较，线虫全部10项首姿势均有省略组分近距冲突。生成主结果联合0/40，追加0/10。</w:t>
        <w:br/>
        <w:br/>
        <w:t>补充六候选的既有药理与类似物，以及六候选加五比较物的SwissADME、SA和ADMET-AI预测。既有激酶作用、细胞毒性记录及吸收、溶解性、代谢和安全性预测风险提示须优先反筛。后续以电流浓度反应和洗脱检验作用方向，以靶点扰动检验依赖性，亚型反筛评价选择性；变构作用和听力保护仍待实验验证。</w:t>
      </w:r>
    </w:p>
    <w:p>
      <w:pPr>
        <w:spacing w:after="140"/>
      </w:pPr>
      <w:r>
        <w:t>关键词：Usher综合征1B；MYO7A；TMC1；AI辅助虚拟筛选；候选优先排序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靶向TMC1机械转导通道的小分子变构调节剂AI辅助筛选——用于Usher综合征1B的听力代偿保护策略｜摘要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