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Recovering MD-Sampled Conformational Dynamics from AlphaFold2 MSA-Depth Ensembles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Project summary, draft introduction, and methods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*Working draft — written both as a manuscript intro/methods skeleton and as a protocol to follow for data generation. Methods are in a forward-looking ("will be") voice that converts trivially to past tense once the data are in. Reference list is provisional; volume/page details flagged for final verification against the journal of record.*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Project summary and decisions to date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question.** AlphaFold2 (AF2) predicts a single high-confidence structure per sequence, but a receptor's function lives in the *transitions* between conformational substates. Reducing the depth of AF2's input multiple-sequence alignment (MSA) is a known, cheap way to coax AF2 into sampling alternative conformations. Separately, normal mode analysis (NMA) on an elastic network is a long-standing, near-free proxy for the slow collective motions that molecular dynamics (MD) recovers expensively. This project asks whether the two combined — an **MSA-subsampled AF2 ensemble plus NMA** — can reproduce the conformational subspace that MD actually samples for a GPCR, and if so, **at what MSA depth and with how large a compute speedup**.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**Reference frame.** MD is the gold standard for dynamics. The deliverable here is therefore an *accuracy-and-speedup* result measured against a converged MD essential-dynamics subspace, not a similarity result against static experimental structures. Cryo-EM/crystal structures enter only as fixed landmarks that define the activation axis.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**Single variable.** The study is **apo** by design. Removing the ligand isolates MSA depth as the only manipulated variable and targets the receptor's *intrinsic* conformational landscape, in the tradition of the MSA-subsampling (del Alamo et al., 2022) and MSA-clustering (Wayment-Steele et al., 2024) approaches. Ligand-dependent dynamics is explicitly **out of scope** and is the subject of a separate study.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**Relationship to companion work.** This is a distinct paper from the Boltz2-vs-cryo-EM ensemble comparison (which uses experimental structures as the reference and includes ligands). Keeping the reference frames separate — experimental states there, MD dynamics here — is deliberate.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**Locked-in design choices.**</w:t>
      </w:r>
    </w:p>
    <w:p w:rsidR="00000000" w:rsidDel="00000000" w:rsidP="00000000" w:rsidRDefault="00000000" w:rsidRPr="00000000" w14:paraId="00000014">
      <w:pPr>
        <w:rPr/>
      </w:pPr>
      <w:r w:rsidDel="00000000" w:rsidR="00000000" w:rsidRPr="00000000">
        <w:rPr>
          <w:rtl w:val="0"/>
        </w:rPr>
        <w:t xml:space="preserve">- Model system: a well-characterized class A GPCR outside the author's subfield, with published apo MD for external validation — primary recommendation **A2A adenosine receptor (ADORA2A)**.</w:t>
      </w:r>
    </w:p>
    <w:p w:rsidR="00000000" w:rsidDel="00000000" w:rsidP="00000000" w:rsidRDefault="00000000" w:rsidRPr="00000000" w14:paraId="00000015">
      <w:pPr>
        <w:rPr/>
      </w:pPr>
      <w:r w:rsidDel="00000000" w:rsidR="00000000" w:rsidRPr="00000000">
        <w:rPr>
          <w:rtl w:val="0"/>
        </w:rPr>
        <w:t xml:space="preserve">- Conformational sampling: **apo AF2 via ColabFold**, no templates, across a ladder of MSA depths.</w:t>
      </w:r>
    </w:p>
    <w:p w:rsidR="00000000" w:rsidDel="00000000" w:rsidP="00000000" w:rsidRDefault="00000000" w:rsidRPr="00000000" w14:paraId="00000016">
      <w:pPr>
        <w:rPr/>
      </w:pPr>
      <w:r w:rsidDel="00000000" w:rsidR="00000000" w:rsidRPr="00000000">
        <w:rPr>
          <w:rtl w:val="0"/>
        </w:rPr>
        <w:t xml:space="preserve">- Dynamics reference: **fresh all-atom MD in GROMACS**, replicated, validated against GPCRmd.</w:t>
      </w:r>
    </w:p>
    <w:p w:rsidR="00000000" w:rsidDel="00000000" w:rsidP="00000000" w:rsidRDefault="00000000" w:rsidRPr="00000000" w14:paraId="00000017">
      <w:pPr>
        <w:rPr/>
      </w:pPr>
      <w:r w:rsidDel="00000000" w:rsidR="00000000" w:rsidRPr="00000000">
        <w:rPr>
          <w:rtl w:val="0"/>
        </w:rPr>
        <w:t xml:space="preserve">- Readouts: ensemble PCA (inter-state variance) + ANM-NMA (harmonic fluctuation), compared to the MD essential subspace by RMSIP, subspace overlap, per-residue fluctuation correlation, endpoint coverage, and physical activation-descriptor distributions; plus a compute-cost comparison.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**Open decisions flagged for the advisor** (see §7): replicate count and per-replica MD length; inactive-only vs inactive+active MD starting states; whether to include a second receptor as a generality probe; the exact common-residue set; and bilayer composition (pure POPC vs added cholesterol, matched to the validation reference).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2. Introduction (draft)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AlphaFold2 transformed structure prediction but returns, by default, a single conformer per sequence, even though a protein's biological function frequently depends on interconversion among conformational substates (Jumper et al., 2021; Wayment-Steele et al., 2024). G-protein-coupled receptors (GPCRs) are the paradigmatic case: signaling requires a transition between an inactive state, in which the conserved TM3–TM6 ionic lock is formed, and an active state, in which TM6 swings outward to open the intracellular G-protein–binding cavity and the NPxxY motif rearranges (Latorraca et al., 2017). Capturing this conformational plasticity — not merely a single endpoint — is central to understanding receptor function and to structure-based drug design.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Molecular dynamics (MD) remains the reference method for accessing this plasticity at atomic resolution and has become increasingly tractable, but converged sampling of a GPCR's slow modes still demands substantial compute. A cheaper route has long existed: elastic-network normal mode analysis (NMA) extracts a protein's intrinsic, shape-dictated soft modes from a single structure, and these low-frequency modes overlap substantially with the dominant directions of motion seen in MD and in experimental ensembles (Atilgan et al., 2001; Tama &amp; Sanejouand, 2001; Bahar et al., 2010). NMA, however, requires a structure to start from and describes harmonic fluctuation about it; it does not by itself generate the inter-state spread that distinguishes one conformational basin from another.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Recent work shows that AF2 itself can be driven to produce such a spread by manipulating its MSA. Stochastically subsampling the MSA to shallow depths yields diverse conformational ensembles of transporters and receptors rather than single static models, with the most accurate models often found at the extremes of the resulting distribution (del Alamo et al., 2022); clustering the MSA by sequence similarity (AF-Cluster) likewise recovers alternative states of metamorphic proteins (Wayment-Steele et al., 2024). These methods make a cheap structural *ensemble* attainable in GPU-minutes.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raises the question addressed here: can an MSA-subsampled AF2 ensemble, augmented with NMA to supply the harmonic component, reproduce the conformational subspace that MD samples for a GPCR — and is there an MSA depth that maximizes that agreement before structural quality degrades? Using the apo A2A adenosine receptor, a system with well-resolved inactive and active structures, canonical activation descriptors, and published apo MD, we generate apo AF2 ensembles across a depth ladder, characterize each ensemble by principal component analysis (inter-state variance) and ANM-NMA (intra-state fluctuation), and compare the resulting dynamics to a converged, replicated MD essential-dynamics subspace. We map agreement as a function of MSA depth, identify the depth at which physically meaningful inter-state variance dominates over noise, and quantify the compute speedup of the AF2-plus-NMA pipeline relative to MD.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hypothesize (i) a non-monotonic agreement curve — collapse toward a single state at full depth, growing inter-state spread as depth decreases, and degradation into unphysical noise at the shallowest depths — with an intermediate sweet spot; and (ii) that the pipeline recovers the *geometry of the accessible subspace* rather than its Boltzmann populations, kinetics, or barriers, positioning it as a rapid pre-screen for the conformational range a receptor can access rather than a replacement for MD.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 Methods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3.1 Model system and structural references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primary system is the human A2A adenosine receptor (ADORA2A; UniProt P29274). It is chosen for three reasons: it is extensively characterized structurally and dynamically; it carries an unambiguous, well-validated activation coordinate; and published apo MD exists for external validation of our own runs.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**Endpoint landmarks.** The inactive reference is the high-resolution antagonist-bound structure 4EIY (Liu et al., 2012). The active reference is the mini-Gs–bound structure 5G53 (Carpenter et al., 2016), cross-checked against the Gs-complex structure 6GDG (García-Nafría et al., 2018). The agonist-bound intermediate 2YDO (Lebon et al., 2011) is retained as a third landmark. These define the inactive→active difference vector used for projection.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**Activation descriptors.** Two coordinates, used throughout for physical interpretation and as a state-sensitive readout: the TM3–TM6 ionic-lock distance, measured between the Cα (or guanidinium/carboxylate) atoms of R102³·⁵⁰ and E228⁶·³⁰; and the position of Y288⁷·⁵³ (NPxxY), measured as RMSD from its inactive-state placement. Both are computed for every AF2 model, every MD frame, and each crystal landmark, on a common footing.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**Common residue set.** All NMA, PCA, and overlap calculations are performed on a single shared set of Cα atoms: the seven-transmembrane core and ordered connecting loops resolved in both the inactive and active endpoints, after mutual structural superposition. Disordered termini, intracellular loop 3 (ICL3, which is replaced by a fusion partner in several constructs), and any residues missing from either endpoint are excluded. Restricting analysis to this set is the agreed convention and resolves the prep mismatch between AF2 (given the full sequence) and the membrane-embedded MD system: only shared, well-ordered residues contribute to any comparison.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**Training-set note (carried into limitations).** A2A's inactive and active structures predate AF2's training cutoff and are therefore in the training set. Because the aim is to benchmark recovery of an MD-sampled subspace against trusted experimental states — not de novo prediction of an unknown conformation — this is treated as appropriate for a benchmark and stated explicitly.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3.2 AlphaFold2 conformational ensemble generation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Apo ensembles are generated with ColabFold (LocalColabFold / `colabfold_batch`), using the receptor sequence with no ligand and no oligomeric partner (AF2-ptm monomer models). MSAs are built with the ColabFold MMseqs2 pipeline (UniRef + environmental). **Templates are disabled** so that diversity arises from the MSA and stochasticity rather than from anchoring to a known structure (del Alamo et al., 2022). The full receptor sequence (signal peptide and disordered termini optionally trimmed) is predicted; every output structure is subsequently trimmed to the common residue set (§3.1) for analysis.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MSA depth is swept across eight levels via the `--max-msa` flag, which sets `max_seq:max_extra_seq`. The ladder spans the default-like depth down to single-sequence input: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Level | `max_seq:max_extra_seq` | Regime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1 | 512:5120 | Default depth (expected collapse to one state) |</w:t>
      </w:r>
    </w:p>
    <w:p w:rsidR="00000000" w:rsidDel="00000000" w:rsidP="00000000" w:rsidRDefault="00000000" w:rsidRPr="00000000" w14:paraId="00000042">
      <w:pPr>
        <w:rPr/>
      </w:pPr>
      <w:r w:rsidDel="00000000" w:rsidR="00000000" w:rsidRPr="00000000">
        <w:rPr>
          <w:rtl w:val="0"/>
        </w:rPr>
        <w:t xml:space="preserve">| 2 | 256:2560 | |</w:t>
      </w:r>
    </w:p>
    <w:p w:rsidR="00000000" w:rsidDel="00000000" w:rsidP="00000000" w:rsidRDefault="00000000" w:rsidRPr="00000000" w14:paraId="00000043">
      <w:pPr>
        <w:rPr/>
      </w:pPr>
      <w:r w:rsidDel="00000000" w:rsidR="00000000" w:rsidRPr="00000000">
        <w:rPr>
          <w:rtl w:val="0"/>
        </w:rPr>
        <w:t xml:space="preserve">| 3 | 128:1280 | |</w:t>
      </w:r>
    </w:p>
    <w:p w:rsidR="00000000" w:rsidDel="00000000" w:rsidP="00000000" w:rsidRDefault="00000000" w:rsidRPr="00000000" w14:paraId="00000044">
      <w:pPr>
        <w:rPr/>
      </w:pPr>
      <w:r w:rsidDel="00000000" w:rsidR="00000000" w:rsidRPr="00000000">
        <w:rPr>
          <w:rtl w:val="0"/>
        </w:rPr>
        <w:t xml:space="preserve">| 4 | 64:640  | Expected onset of inter-state spread |</w:t>
      </w:r>
    </w:p>
    <w:p w:rsidR="00000000" w:rsidDel="00000000" w:rsidP="00000000" w:rsidRDefault="00000000" w:rsidRPr="00000000" w14:paraId="00000045">
      <w:pPr>
        <w:rPr/>
      </w:pPr>
      <w:r w:rsidDel="00000000" w:rsidR="00000000" w:rsidRPr="00000000">
        <w:rPr>
          <w:rtl w:val="0"/>
        </w:rPr>
        <w:t xml:space="preserve">| 5 | 32:320  | |</w:t>
      </w:r>
    </w:p>
    <w:p w:rsidR="00000000" w:rsidDel="00000000" w:rsidP="00000000" w:rsidRDefault="00000000" w:rsidRPr="00000000" w14:paraId="00000046">
      <w:pPr>
        <w:rPr/>
      </w:pPr>
      <w:r w:rsidDel="00000000" w:rsidR="00000000" w:rsidRPr="00000000">
        <w:rPr>
          <w:rtl w:val="0"/>
        </w:rPr>
        <w:t xml:space="preserve">| 6 | 16:160  | Shallow (lower bound of usable diversity in prior work) |</w:t>
      </w:r>
    </w:p>
    <w:p w:rsidR="00000000" w:rsidDel="00000000" w:rsidP="00000000" w:rsidRDefault="00000000" w:rsidRPr="00000000" w14:paraId="00000047">
      <w:pPr>
        <w:rPr/>
      </w:pPr>
      <w:r w:rsidDel="00000000" w:rsidR="00000000" w:rsidRPr="00000000">
        <w:rPr>
          <w:rtl w:val="0"/>
        </w:rPr>
        <w:t xml:space="preserve">| 7 | 8:80    | Very shallow |</w:t>
      </w:r>
    </w:p>
    <w:p w:rsidR="00000000" w:rsidDel="00000000" w:rsidP="00000000" w:rsidRDefault="00000000" w:rsidRPr="00000000" w14:paraId="00000048">
      <w:pPr>
        <w:rPr/>
      </w:pPr>
      <w:r w:rsidDel="00000000" w:rsidR="00000000" w:rsidRPr="00000000">
        <w:rPr>
          <w:rtl w:val="0"/>
        </w:rPr>
        <w:t xml:space="preserve">| 8 | 1:2     | Single-sequence (degenerate floor)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For each depth, all five AF2-ptm models are run with **~16–20 random seeds** and **dropout enabled** (an additional stochasticity source), yielding ~80–100 structures per depth and ~640–800 in total. The number of recycles is held fixed (3) across all depths so that depth is the only manipulated variable. Per-residue pLDDT and the full PAE matrix are retained for every structure; mean pLDDT becomes the reliability axis of the depth–quality tradeoff, and a pLDDT filter is applied as a sensitivity analysis (results reported with and without it).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step is deliberately cheap: apo AF2 runs *faster* at shallow MSA depth, which strengthens rather than weakens the speedup comparison in §3.6.</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3.3 Reference molecular dynamics simulations (GROMACS)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Fresh all-atom MD is run in GROMACS (2026 series; current 2026.2) with the CHARMM36m protein force field, CHARMM36 lipids, and the CHARMM-modified TIP3P water model (Huang et al., 2017; Abraham et al., 2015).</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**System preparation (CHARMM-GUI Membrane Builder; Jo et al., 2008; Lee et al., 2016).**</w:t>
      </w:r>
    </w:p>
    <w:p w:rsidR="00000000" w:rsidDel="00000000" w:rsidP="00000000" w:rsidRDefault="00000000" w:rsidRPr="00000000" w14:paraId="00000053">
      <w:pPr>
        <w:rPr/>
      </w:pPr>
      <w:r w:rsidDel="00000000" w:rsidR="00000000" w:rsidRPr="00000000">
        <w:rPr>
          <w:rtl w:val="0"/>
        </w:rPr>
        <w:t xml:space="preserve">1. Start from the inactive endpoint (4EIY). Remove the antagonist, the fusion partner (e.g., BRIL), crystallographic lipids/detergent, and the bound sodium and ordered waters as appropriate.</w:t>
      </w:r>
    </w:p>
    <w:p w:rsidR="00000000" w:rsidDel="00000000" w:rsidP="00000000" w:rsidRDefault="00000000" w:rsidRPr="00000000" w14:paraId="00000054">
      <w:pPr>
        <w:rPr/>
      </w:pPr>
      <w:r w:rsidDel="00000000" w:rsidR="00000000" w:rsidRPr="00000000">
        <w:rPr>
          <w:rtl w:val="0"/>
        </w:rPr>
        <w:t xml:space="preserve">2. Revert thermostabilizing point mutations to the wild-type ADORA2A sequence; model ICL3 (replaced by the fusion in the construct) and any other missing loops; cap the N- and C-termini.</w:t>
      </w:r>
    </w:p>
    <w:p w:rsidR="00000000" w:rsidDel="00000000" w:rsidP="00000000" w:rsidRDefault="00000000" w:rsidRPr="00000000" w14:paraId="00000055">
      <w:pPr>
        <w:rPr/>
      </w:pPr>
      <w:r w:rsidDel="00000000" w:rsidR="00000000" w:rsidRPr="00000000">
        <w:rPr>
          <w:rtl w:val="0"/>
        </w:rPr>
        <w:t xml:space="preserve">3. Assign protonation states at pH 7.0 (e.g., PROPKA), giving explicit attention to the conserved D2.50 and the NPxxY region.</w:t>
      </w:r>
    </w:p>
    <w:p w:rsidR="00000000" w:rsidDel="00000000" w:rsidP="00000000" w:rsidRDefault="00000000" w:rsidRPr="00000000" w14:paraId="00000056">
      <w:pPr>
        <w:rPr/>
      </w:pPr>
      <w:r w:rsidDel="00000000" w:rsidR="00000000" w:rsidRPr="00000000">
        <w:rPr>
          <w:rtl w:val="0"/>
        </w:rPr>
        <w:t xml:space="preserve">4. Embed in a lipid bilayer — baseline **POPC**; optionally POPC:cholesterol (e.g., 90:10) given A2A's documented cholesterol sensitivity — solvate with ~15–22.5 Å of water on each membrane face, and add 0.15 M NaCl with neutralizing counter-ions.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**Energy minimization.** Steepest descent to a maximum force tolerance (~1000 kJ mol⁻¹ nm⁻¹).</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**Equilibration.** The standard six-step CHARMM-GUI protocol: two NVT stages (1 fs step) followed by four NPT stages (1→2 fs step), with position restraints on protein heavy atoms and lipid headgroups released stepwise.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**Production MD — key parameters.**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Parameter | Setting |</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 Integrator / timestep | leap-frog (`md`) / 2 fs |</w:t>
      </w:r>
    </w:p>
    <w:p w:rsidR="00000000" w:rsidDel="00000000" w:rsidP="00000000" w:rsidRDefault="00000000" w:rsidRPr="00000000" w14:paraId="00000061">
      <w:pPr>
        <w:rPr/>
      </w:pPr>
      <w:r w:rsidDel="00000000" w:rsidR="00000000" w:rsidRPr="00000000">
        <w:rPr>
          <w:rtl w:val="0"/>
        </w:rPr>
        <w:t xml:space="preserve">| Ensemble | NPT, semiisotropic pressure coupling (membrane)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Temperature | 310.15 K; Nosé–Hoover thermostat (v-rescale during equilibration), τ_T ≈ 1 ps, separate coupling groups for protein+membrane and solvent+ions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Pressure | 1 bar; Parrinello–Rahman barostat (C-rescale during equilibration), τ_P ≈ 5 ps, compressibility 4.5×10⁻⁵ bar⁻¹ |</w:t>
      </w:r>
    </w:p>
    <w:p w:rsidR="00000000" w:rsidDel="00000000" w:rsidP="00000000" w:rsidRDefault="00000000" w:rsidRPr="00000000" w14:paraId="00000064">
      <w:pPr>
        <w:rPr/>
      </w:pPr>
      <w:r w:rsidDel="00000000" w:rsidR="00000000" w:rsidRPr="00000000">
        <w:rPr>
          <w:rtl w:val="0"/>
        </w:rPr>
        <w:t xml:space="preserve">| Neighbor search | Verlet cutoff scheme |</w:t>
      </w:r>
    </w:p>
    <w:p w:rsidR="00000000" w:rsidDel="00000000" w:rsidP="00000000" w:rsidRDefault="00000000" w:rsidRPr="00000000" w14:paraId="00000065">
      <w:pPr>
        <w:rPr/>
      </w:pPr>
      <w:r w:rsidDel="00000000" w:rsidR="00000000" w:rsidRPr="00000000">
        <w:rPr>
          <w:rtl w:val="0"/>
        </w:rPr>
        <w:t xml:space="preserve">| Electrostatics | PME, `rcoulomb` = 1.2 nm |</w:t>
      </w:r>
    </w:p>
    <w:p w:rsidR="00000000" w:rsidDel="00000000" w:rsidP="00000000" w:rsidRDefault="00000000" w:rsidRPr="00000000" w14:paraId="00000066">
      <w:pPr>
        <w:rPr/>
      </w:pPr>
      <w:r w:rsidDel="00000000" w:rsidR="00000000" w:rsidRPr="00000000">
        <w:rPr>
          <w:rtl w:val="0"/>
        </w:rPr>
        <w:t xml:space="preserve">| Van der Waals | cutoff with **force-switch** (`rvdw-switch` = 1.0 nm, `rvdw` = 1.2 nm) — required for CHARMM36 |</w:t>
      </w:r>
    </w:p>
    <w:p w:rsidR="00000000" w:rsidDel="00000000" w:rsidP="00000000" w:rsidRDefault="00000000" w:rsidRPr="00000000" w14:paraId="00000067">
      <w:pPr>
        <w:rPr/>
      </w:pPr>
      <w:r w:rsidDel="00000000" w:rsidR="00000000" w:rsidRPr="00000000">
        <w:rPr>
          <w:rtl w:val="0"/>
        </w:rPr>
        <w:t xml:space="preserve">| Constraints | hydrogen bonds via LINCS |</w:t>
      </w:r>
    </w:p>
    <w:p w:rsidR="00000000" w:rsidDel="00000000" w:rsidP="00000000" w:rsidRDefault="00000000" w:rsidRPr="00000000" w14:paraId="00000068">
      <w:pPr>
        <w:rPr/>
      </w:pPr>
      <w:r w:rsidDel="00000000" w:rsidR="00000000" w:rsidRPr="00000000">
        <w:rPr>
          <w:rtl w:val="0"/>
        </w:rPr>
        <w:t xml:space="preserve">| Trajectory output | coordinates every 100 ps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**Replicates, length, and starting states.** Run **3–5 independent replicas** of **500 ns–1 µs each** (target aggregate ≥1.5 µs, ideally ≥2.5 µs), each seeded with independent initial velocities (different `gen-seed`). The primary set starts from the inactive apo state. Optionally, a second set is started from the active apo state (5G53/6GDG with mini-Gs and agonist removed) to broaden the sampled subspace and reduce single-basin bias; if used, replicas are balanced across the two starting states and either pooled for the reference PCA or reported per state. Adequate replication is essential here because the MD essential subspace is the reference against which everything else is scored.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**External validation.** Activation-descriptor distributions and the per-residue RMSF profile from these fresh trajectories are compared against published A2A MD, including the standardized apo runs in GPCRmd (Rodríguez-Espigares et al., 2020), as an independent sanity check that the setup behaves as expected.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3.4 Normal mode analysis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ANM-NMA is computed with ProDy (`calcANM`; Bakan et al., 2011), with Bio3D (`nma`; Grant et al., 2006) as a cross-check. The anisotropic network model uses a 15 Å cutoff and uniform spring constant; the first ~10–20 non-zero modes are retained. NMA supplies the *harmonic* (intra-basin) component of the AF2-plus-NMA dynamics: it is applied to each ensemble member (and to a representative/average MD structure for comparison), and per-residue square fluctuations are obtained with `calcSqFlucts`.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3.5 Conformational subspace / essential dynamics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*inter-state* component comes from the spread of the ensemble itself. For each MSA depth, the AF2 models are superposed (common-set Cα) into a `PDBEnsemble` and analyzed by PCA (`calcPCA`/`PCA`), retaining the top ~10 principal components. The MD reference subspace is obtained identically: Cα covariance PCA over the pooled (and per-replica) frames after RMSD superposition to a common reference, top ~10 PCs. The combined AF2-plus-NMA description (ensemble PCA for inter-state variance, ANM modes for harmonic fluctuation) is what is compared to the single MD essential-dynamics subspace, which mixes both kinds of motion.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3.6 Comparison metrics and compute benchmarking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All metrics are computed on common-set Cα after superposition.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**RMSIP** (root-mean-square inner product) between the top-*k* (k = 10) AF2 subspace and the top-*k* MD subspace, defined as the square root of the mean squared dot products over all pairs of basis vectors; computed for both the AF2-PCA and the ANM mode sets against MD-PCA (Amadei et al., 1999).</w:t>
      </w:r>
    </w:p>
    <w:p w:rsidR="00000000" w:rsidDel="00000000" w:rsidP="00000000" w:rsidRDefault="00000000" w:rsidRPr="00000000" w14:paraId="0000007B">
      <w:pPr>
        <w:rPr/>
      </w:pPr>
      <w:r w:rsidDel="00000000" w:rsidR="00000000" w:rsidRPr="00000000">
        <w:rPr>
          <w:rtl w:val="0"/>
        </w:rPr>
        <w:t xml:space="preserve">- **Subspace / cumulative overlap** and, optionally, the covariance (Hess) overlap, to quantify what fraction of the MD essential subspace the AF2 ensemble recovers.</w:t>
      </w:r>
    </w:p>
    <w:p w:rsidR="00000000" w:rsidDel="00000000" w:rsidP="00000000" w:rsidRDefault="00000000" w:rsidRPr="00000000" w14:paraId="0000007C">
      <w:pPr>
        <w:rPr/>
      </w:pPr>
      <w:r w:rsidDel="00000000" w:rsidR="00000000" w:rsidRPr="00000000">
        <w:rPr>
          <w:rtl w:val="0"/>
        </w:rPr>
        <w:t xml:space="preserve">- **Per-residue fluctuation correlation:** Pearson correlation between MD per-residue RMSF and (a) AF2-ensemble RMSF and (b) ANM-predicted square fluctuations.</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**Projection onto MD PC1–PC2:** AF2 models are projected into the MD essential plane; the fraction falling within the MD-sampled region is reported. Models are additionally projected onto the endpoint-defined inactive→active vector (the PC1-style axis used by del Alamo et al., 2022).</w:t>
      </w:r>
    </w:p>
    <w:p w:rsidR="00000000" w:rsidDel="00000000" w:rsidP="00000000" w:rsidRDefault="00000000" w:rsidRPr="00000000" w14:paraId="0000007E">
      <w:pPr>
        <w:rPr/>
      </w:pPr>
      <w:r w:rsidDel="00000000" w:rsidR="00000000" w:rsidRPr="00000000">
        <w:rPr>
          <w:rtl w:val="0"/>
        </w:rPr>
        <w:t xml:space="preserve">- **Endpoint coverage vs depth:** minimum Cα-RMSD (and TM-score) of the AF2 ensemble to the active and to the inactive landmark, as a function of MSA depth — does shallow MSA unlock the active basin?</w:t>
      </w:r>
    </w:p>
    <w:p w:rsidR="00000000" w:rsidDel="00000000" w:rsidP="00000000" w:rsidRDefault="00000000" w:rsidRPr="00000000" w14:paraId="0000007F">
      <w:pPr>
        <w:rPr/>
      </w:pPr>
      <w:r w:rsidDel="00000000" w:rsidR="00000000" w:rsidRPr="00000000">
        <w:rPr>
          <w:rtl w:val="0"/>
        </w:rPr>
        <w:t xml:space="preserve">- **Activation-descriptor distributions vs depth:** the ionic-lock distance and Y288⁷·⁵³ displacement, plotted as distributions for each AF2 depth, for MD, and as crystal reference values. Because these are physical, state-discriminating coordinates, they reveal genuine inter-state differences that coarse ENM modes can wash out — directly addressing whether the ensemble samples distinct states or merely jitters around one.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**Compute benchmarking.** Wall-clock and GPU-hours are logged for (a) MSA generation plus AF2 ensemble generation at each depth, (b) NMA/PCA (CPU-seconds), and (c) the aggregate MD on comparable GPU hardware. The headline speedup is reported at the MSA depth that best matches the MD subspace.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3.7 Controls and convergence checks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**Common residue set** used for every comparison (§3.1).</w:t>
      </w:r>
    </w:p>
    <w:p w:rsidR="00000000" w:rsidDel="00000000" w:rsidP="00000000" w:rsidRDefault="00000000" w:rsidRPr="00000000" w14:paraId="00000086">
      <w:pPr>
        <w:rPr/>
      </w:pPr>
      <w:r w:rsidDel="00000000" w:rsidR="00000000" w:rsidRPr="00000000">
        <w:rPr>
          <w:rtl w:val="0"/>
        </w:rPr>
        <w:t xml:space="preserve">- **AF2 ensemble convergence:** split-half RMSIP within each depth, to confirm the top PCs are stable at the chosen ensemble size; the size needed for stability is reported.</w:t>
      </w:r>
    </w:p>
    <w:p w:rsidR="00000000" w:rsidDel="00000000" w:rsidP="00000000" w:rsidRDefault="00000000" w:rsidRPr="00000000" w14:paraId="00000087">
      <w:pPr>
        <w:rPr/>
      </w:pPr>
      <w:r w:rsidDel="00000000" w:rsidR="00000000" w:rsidRPr="00000000">
        <w:rPr>
          <w:rtl w:val="0"/>
        </w:rPr>
        <w:t xml:space="preserve">- **MD convergence:** per-replica vs pooled PCA, inter-replica RMSIP, and the cosine content of PC1 (a value near 1 indicates diffusive, under-converged sampling), plus block analysis of the descriptor time series.</w:t>
      </w:r>
    </w:p>
    <w:p w:rsidR="00000000" w:rsidDel="00000000" w:rsidP="00000000" w:rsidRDefault="00000000" w:rsidRPr="00000000" w14:paraId="00000088">
      <w:pPr>
        <w:rPr/>
      </w:pPr>
      <w:r w:rsidDel="00000000" w:rsidR="00000000" w:rsidRPr="00000000">
        <w:rPr>
          <w:rtl w:val="0"/>
        </w:rPr>
        <w:t xml:space="preserve">- **Single-variable integrity:** templates off, recycles fixed, and the same five models across all depths, so MSA depth is the only thing that changes.</w:t>
      </w:r>
    </w:p>
    <w:p w:rsidR="00000000" w:rsidDel="00000000" w:rsidP="00000000" w:rsidRDefault="00000000" w:rsidRPr="00000000" w14:paraId="00000089">
      <w:pPr>
        <w:rPr/>
      </w:pPr>
      <w:r w:rsidDel="00000000" w:rsidR="00000000" w:rsidRPr="00000000">
        <w:rPr>
          <w:rtl w:val="0"/>
        </w:rPr>
        <w:t xml:space="preserve">- **Physical-noise control at shallow depth:** confirm that low-depth spread tracks the activation coordinate (descriptor distributions) rather than random distortion, cross-referenced against pLDDT; analyses reported with and without a pLDDT filter.</w:t>
      </w:r>
    </w:p>
    <w:p w:rsidR="00000000" w:rsidDel="00000000" w:rsidP="00000000" w:rsidRDefault="00000000" w:rsidRPr="00000000" w14:paraId="0000008A">
      <w:pPr>
        <w:rPr/>
      </w:pPr>
      <w:r w:rsidDel="00000000" w:rsidR="00000000" w:rsidRPr="00000000">
        <w:rPr>
          <w:rtl w:val="0"/>
        </w:rPr>
        <w:t xml:space="preserve">- **External MD validation** against GPCRmd A2A trajectories.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4. Expected outcomes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central figure is agreement-with-MD as a function of MSA depth: RMSIP, fluctuation correlation, subspace overlap, endpoint coverage, and descriptor-distribution overlap on one depth axis, with mean pLDDT on a secondary axis. The anticipated shape is non-monotonic — low agreement at full depth (collapsed ensemble), rising agreement as inter-state spread appears, and a fall-off at the shallowest depths as structures degrade and PCA begins capturing noise directions orthogonal to MD's physical modes. The sweet spot is the depth at which physical inter-state variance dominates over noise; pLDDT and endpoint coverage are what distinguish useful diversity from garbage at the shallow end. At that operating point, the compute speedup over MD is expected to span orders of magnitude.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5. Limitations (to state plainly)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**Training-set membership:** A2A's endpoints predate AF2's cutoff; framed as a benchmark, this is acceptable, but it means the result speaks to recovery of known states, not de novo discovery.</w:t>
      </w:r>
    </w:p>
    <w:p w:rsidR="00000000" w:rsidDel="00000000" w:rsidP="00000000" w:rsidRDefault="00000000" w:rsidRPr="00000000" w14:paraId="00000097">
      <w:pPr>
        <w:rPr/>
      </w:pPr>
      <w:r w:rsidDel="00000000" w:rsidR="00000000" w:rsidRPr="00000000">
        <w:rPr>
          <w:rtl w:val="0"/>
        </w:rPr>
        <w:t xml:space="preserve">- **No Boltzmann weighting:** the AF2 ensemble recovers the *geometry of the accessible subspace*, not populations, free-energy differences, barriers, or kinetics. The claim is subspace recovery plus speedup, not MD replacement.</w:t>
      </w:r>
    </w:p>
    <w:p w:rsidR="00000000" w:rsidDel="00000000" w:rsidP="00000000" w:rsidRDefault="00000000" w:rsidRPr="00000000" w14:paraId="00000098">
      <w:pPr>
        <w:rPr/>
      </w:pPr>
      <w:r w:rsidDel="00000000" w:rsidR="00000000" w:rsidRPr="00000000">
        <w:rPr>
          <w:rtl w:val="0"/>
        </w:rPr>
        <w:t xml:space="preserve">- **ENM sensitivity:** elastic-network NMA captures harmonic, fold-topology-dominated motion and can be insensitive to state changes; this is mitigated by the ensemble-PCA (inter-state) component and by the physical activation descriptors.</w:t>
      </w:r>
    </w:p>
    <w:p w:rsidR="00000000" w:rsidDel="00000000" w:rsidP="00000000" w:rsidRDefault="00000000" w:rsidRPr="00000000" w14:paraId="00000099">
      <w:pPr>
        <w:rPr/>
      </w:pPr>
      <w:r w:rsidDel="00000000" w:rsidR="00000000" w:rsidRPr="00000000">
        <w:rPr>
          <w:rtl w:val="0"/>
        </w:rPr>
        <w:t xml:space="preserve">- **Apo scope:** the design is apo to isolate MSA depth and target the intrinsic landscape; ligand-dependent dynamics is explicitly excluded and is treated in companion work.</w:t>
      </w:r>
    </w:p>
    <w:p w:rsidR="00000000" w:rsidDel="00000000" w:rsidP="00000000" w:rsidRDefault="00000000" w:rsidRPr="00000000" w14:paraId="0000009A">
      <w:pPr>
        <w:rPr/>
      </w:pPr>
      <w:r w:rsidDel="00000000" w:rsidR="00000000" w:rsidRPr="00000000">
        <w:rPr>
          <w:rtl w:val="0"/>
        </w:rPr>
        <w:t xml:space="preserve">- **Single-system generality:** addressed only partially, via an optional second-receptor probe.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6. Open decisions to confirm with advisor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1. **Replicate budget and length** — proposed 3–5 replicas × 500 ns–1 µs (aggregate ≥1.5 µs). Confirm what the compute allocation supports; more aggregate sampling improves the reliability of the reference subspace.</w:t>
      </w:r>
    </w:p>
    <w:p w:rsidR="00000000" w:rsidDel="00000000" w:rsidP="00000000" w:rsidRDefault="00000000" w:rsidRPr="00000000" w14:paraId="000000A1">
      <w:pPr>
        <w:rPr/>
      </w:pPr>
      <w:r w:rsidDel="00000000" w:rsidR="00000000" w:rsidRPr="00000000">
        <w:rPr>
          <w:rtl w:val="0"/>
        </w:rPr>
        <w:t xml:space="preserve">2. **MD starting state(s)** — inactive-only (primary) vs inactive + active apo starts (broader, less single-basin bias).</w:t>
      </w:r>
    </w:p>
    <w:p w:rsidR="00000000" w:rsidDel="00000000" w:rsidP="00000000" w:rsidRDefault="00000000" w:rsidRPr="00000000" w14:paraId="000000A2">
      <w:pPr>
        <w:rPr/>
      </w:pPr>
      <w:r w:rsidDel="00000000" w:rsidR="00000000" w:rsidRPr="00000000">
        <w:rPr>
          <w:rtl w:val="0"/>
        </w:rPr>
        <w:t xml:space="preserve">3. **Second receptor** — include β2AR (2RH1 / 3P0G / 3SN6) as a single-replica generality probe in the supplement, or keep to one system?</w:t>
      </w:r>
    </w:p>
    <w:p w:rsidR="00000000" w:rsidDel="00000000" w:rsidP="00000000" w:rsidRDefault="00000000" w:rsidRPr="00000000" w14:paraId="000000A3">
      <w:pPr>
        <w:rPr/>
      </w:pPr>
      <w:r w:rsidDel="00000000" w:rsidR="00000000" w:rsidRPr="00000000">
        <w:rPr>
          <w:rtl w:val="0"/>
        </w:rPr>
        <w:t xml:space="preserve">4. **Common residue set** — finalize the exact residue ranges from the inactive/active superposition.</w:t>
      </w:r>
    </w:p>
    <w:p w:rsidR="00000000" w:rsidDel="00000000" w:rsidP="00000000" w:rsidRDefault="00000000" w:rsidRPr="00000000" w14:paraId="000000A4">
      <w:pPr>
        <w:rPr/>
      </w:pPr>
      <w:r w:rsidDel="00000000" w:rsidR="00000000" w:rsidRPr="00000000">
        <w:rPr>
          <w:rtl w:val="0"/>
        </w:rPr>
        <w:t xml:space="preserve">5. **Bilayer composition** — pure POPC vs POPC:cholesterol, matched to the GPCRmd reference used for validation.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7. Provisional references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*(identities verified; some volume/page details to be confirmed against the journal of record before submission)*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Jumper J, et al. Highly accurate protein structure prediction with AlphaFold. *Nature* 596:583–589 (2021).</w:t>
      </w:r>
    </w:p>
    <w:p w:rsidR="00000000" w:rsidDel="00000000" w:rsidP="00000000" w:rsidRDefault="00000000" w:rsidRPr="00000000" w14:paraId="000000AD">
      <w:pPr>
        <w:rPr/>
      </w:pPr>
      <w:r w:rsidDel="00000000" w:rsidR="00000000" w:rsidRPr="00000000">
        <w:rPr>
          <w:rtl w:val="0"/>
        </w:rPr>
        <w:t xml:space="preserve">- del Alamo D, Sala D, Mchaourab HS, Meiler J. Sampling alternative conformational states of transporters and receptors with AlphaFold2. *eLife* 11:e75751 (2022). doi:10.7554/eLife.75751.</w:t>
      </w:r>
    </w:p>
    <w:p w:rsidR="00000000" w:rsidDel="00000000" w:rsidP="00000000" w:rsidRDefault="00000000" w:rsidRPr="00000000" w14:paraId="000000AE">
      <w:pPr>
        <w:rPr/>
      </w:pPr>
      <w:r w:rsidDel="00000000" w:rsidR="00000000" w:rsidRPr="00000000">
        <w:rPr>
          <w:rtl w:val="0"/>
        </w:rPr>
        <w:t xml:space="preserve">- Wayment-Steele HK, et al. (Kern D). Predicting multiple conformations via sequence clustering and AlphaFold2. *Nature* 625:832–839 (2024). doi:10.1038/s41586-023-06832-9.</w:t>
      </w:r>
    </w:p>
    <w:p w:rsidR="00000000" w:rsidDel="00000000" w:rsidP="00000000" w:rsidRDefault="00000000" w:rsidRPr="00000000" w14:paraId="000000AF">
      <w:pPr>
        <w:rPr/>
      </w:pPr>
      <w:r w:rsidDel="00000000" w:rsidR="00000000" w:rsidRPr="00000000">
        <w:rPr>
          <w:rtl w:val="0"/>
        </w:rPr>
        <w:t xml:space="preserve">- Rodríguez-Espigares I, et al. GPCRmd uncovers the dynamics of the 3D-GPCRome. *Nature Methods* 17:777–787 (2020). doi:10.1038/s41592-020-0884-y.</w:t>
      </w:r>
    </w:p>
    <w:p w:rsidR="00000000" w:rsidDel="00000000" w:rsidP="00000000" w:rsidRDefault="00000000" w:rsidRPr="00000000" w14:paraId="000000B0">
      <w:pPr>
        <w:rPr/>
      </w:pPr>
      <w:r w:rsidDel="00000000" w:rsidR="00000000" w:rsidRPr="00000000">
        <w:rPr>
          <w:rtl w:val="0"/>
        </w:rPr>
        <w:t xml:space="preserve">- Latorraca NR, Venkatakrishnan AJ, Dror RO. GPCR dynamics: structures in motion. *Chemical Reviews* 117:139–155 (2017).</w:t>
      </w:r>
    </w:p>
    <w:p w:rsidR="00000000" w:rsidDel="00000000" w:rsidP="00000000" w:rsidRDefault="00000000" w:rsidRPr="00000000" w14:paraId="000000B1">
      <w:pPr>
        <w:rPr/>
      </w:pPr>
      <w:r w:rsidDel="00000000" w:rsidR="00000000" w:rsidRPr="00000000">
        <w:rPr>
          <w:rtl w:val="0"/>
        </w:rPr>
        <w:t xml:space="preserve">- Liu W, et al. Structural basis for allosteric regulation of GPCRs by sodium ions. *Science* 337:232–236 (2012). [A2A inactive, 4EIY]</w:t>
      </w:r>
    </w:p>
    <w:p w:rsidR="00000000" w:rsidDel="00000000" w:rsidP="00000000" w:rsidRDefault="00000000" w:rsidRPr="00000000" w14:paraId="000000B2">
      <w:pPr>
        <w:rPr/>
      </w:pPr>
      <w:r w:rsidDel="00000000" w:rsidR="00000000" w:rsidRPr="00000000">
        <w:rPr>
          <w:rtl w:val="0"/>
        </w:rPr>
        <w:t xml:space="preserve">- Carpenter B, Nehmé R, Warne T, Leslie AGW, Tate CG. Structure of the adenosine A2A receptor bound to an engineered G protein. *Nature* 536:104–107 (2016). [A2A active, 5G53]</w:t>
      </w:r>
    </w:p>
    <w:p w:rsidR="00000000" w:rsidDel="00000000" w:rsidP="00000000" w:rsidRDefault="00000000" w:rsidRPr="00000000" w14:paraId="000000B3">
      <w:pPr>
        <w:rPr/>
      </w:pPr>
      <w:r w:rsidDel="00000000" w:rsidR="00000000" w:rsidRPr="00000000">
        <w:rPr>
          <w:rtl w:val="0"/>
        </w:rPr>
        <w:t xml:space="preserve">- García-Nafría J, Lee Y, Bai X, Carpenter B, Tate CG. Cryo-EM structure of the adenosine A2A receptor coupled to an engineered heterotrimeric G protein. *eLife* (2018). [A2A active, 6GDG]</w:t>
      </w:r>
    </w:p>
    <w:p w:rsidR="00000000" w:rsidDel="00000000" w:rsidP="00000000" w:rsidRDefault="00000000" w:rsidRPr="00000000" w14:paraId="000000B4">
      <w:pPr>
        <w:rPr/>
      </w:pPr>
      <w:r w:rsidDel="00000000" w:rsidR="00000000" w:rsidRPr="00000000">
        <w:rPr>
          <w:rtl w:val="0"/>
        </w:rPr>
        <w:t xml:space="preserve">- Lebon G, et al. Agonist-bound adenosine A2A receptor structures reveal common features of GPCR activation. *Nature* (2011). [A2A intermediate, 2YDO]</w:t>
      </w:r>
    </w:p>
    <w:p w:rsidR="00000000" w:rsidDel="00000000" w:rsidP="00000000" w:rsidRDefault="00000000" w:rsidRPr="00000000" w14:paraId="000000B5">
      <w:pPr>
        <w:rPr/>
      </w:pPr>
      <w:r w:rsidDel="00000000" w:rsidR="00000000" w:rsidRPr="00000000">
        <w:rPr>
          <w:rtl w:val="0"/>
        </w:rPr>
        <w:t xml:space="preserve">- Atilgan AR, et al. Anisotropy of fluctuation dynamics of proteins with an elastic network model. *Biophysical Journal* 80:505–515 (2001).</w:t>
      </w:r>
    </w:p>
    <w:p w:rsidR="00000000" w:rsidDel="00000000" w:rsidP="00000000" w:rsidRDefault="00000000" w:rsidRPr="00000000" w14:paraId="000000B6">
      <w:pPr>
        <w:rPr/>
      </w:pPr>
      <w:r w:rsidDel="00000000" w:rsidR="00000000" w:rsidRPr="00000000">
        <w:rPr>
          <w:rtl w:val="0"/>
        </w:rPr>
        <w:t xml:space="preserve">- Tama F, Sanejouand Y-H. Conformational change of proteins arising from normal mode calculations. *Protein Engineering* 14:1–6 (2001).</w:t>
      </w:r>
    </w:p>
    <w:p w:rsidR="00000000" w:rsidDel="00000000" w:rsidP="00000000" w:rsidRDefault="00000000" w:rsidRPr="00000000" w14:paraId="000000B7">
      <w:pPr>
        <w:rPr/>
      </w:pPr>
      <w:r w:rsidDel="00000000" w:rsidR="00000000" w:rsidRPr="00000000">
        <w:rPr>
          <w:rtl w:val="0"/>
        </w:rPr>
        <w:t xml:space="preserve">- Bahar I, Lezon TR, Bakan A, Shrivastava IH. Normal mode analysis of biomolecular structures. *Chemical Reviews* 110:1463–1497 (2010).</w:t>
      </w:r>
    </w:p>
    <w:p w:rsidR="00000000" w:rsidDel="00000000" w:rsidP="00000000" w:rsidRDefault="00000000" w:rsidRPr="00000000" w14:paraId="000000B8">
      <w:pPr>
        <w:rPr/>
      </w:pPr>
      <w:r w:rsidDel="00000000" w:rsidR="00000000" w:rsidRPr="00000000">
        <w:rPr>
          <w:rtl w:val="0"/>
        </w:rPr>
        <w:t xml:space="preserve">- Amadei A, Ceruso MA, Di Nola A. On the convergence of the conformational coordinates basis set obtained by the essential dynamics analysis of protein's MD trajectories. *Proteins* 36:419–424 (1999). [RMSIP]</w:t>
      </w:r>
    </w:p>
    <w:p w:rsidR="00000000" w:rsidDel="00000000" w:rsidP="00000000" w:rsidRDefault="00000000" w:rsidRPr="00000000" w14:paraId="000000B9">
      <w:pPr>
        <w:rPr/>
      </w:pPr>
      <w:r w:rsidDel="00000000" w:rsidR="00000000" w:rsidRPr="00000000">
        <w:rPr>
          <w:rtl w:val="0"/>
        </w:rPr>
        <w:t xml:space="preserve">- Bakan A, Meireles LM, Bahar I. ProDy: protein dynamics inferred from theory and experiments. *Bioinformatics* 27:1575–1577 (2011).</w:t>
      </w:r>
    </w:p>
    <w:p w:rsidR="00000000" w:rsidDel="00000000" w:rsidP="00000000" w:rsidRDefault="00000000" w:rsidRPr="00000000" w14:paraId="000000BA">
      <w:pPr>
        <w:rPr/>
      </w:pPr>
      <w:r w:rsidDel="00000000" w:rsidR="00000000" w:rsidRPr="00000000">
        <w:rPr>
          <w:rtl w:val="0"/>
        </w:rPr>
        <w:t xml:space="preserve">- Grant BJ, Rodrigues APC, ElSawy KM, McCammon JA, Caves LSD. Bio3d: an R package for the comparative analysis of protein structures. *Bioinformatics* 22:2695–2696 (2006).</w:t>
      </w:r>
    </w:p>
    <w:p w:rsidR="00000000" w:rsidDel="00000000" w:rsidP="00000000" w:rsidRDefault="00000000" w:rsidRPr="00000000" w14:paraId="000000BB">
      <w:pPr>
        <w:rPr/>
      </w:pPr>
      <w:r w:rsidDel="00000000" w:rsidR="00000000" w:rsidRPr="00000000">
        <w:rPr>
          <w:rtl w:val="0"/>
        </w:rPr>
        <w:t xml:space="preserve">- Huang J, et al. CHARMM36m: an improved force field for folded and intrinsically disordered proteins. *Nature Methods* 14:71–73 (2017).</w:t>
      </w:r>
    </w:p>
    <w:p w:rsidR="00000000" w:rsidDel="00000000" w:rsidP="00000000" w:rsidRDefault="00000000" w:rsidRPr="00000000" w14:paraId="000000BC">
      <w:pPr>
        <w:rPr/>
      </w:pPr>
      <w:r w:rsidDel="00000000" w:rsidR="00000000" w:rsidRPr="00000000">
        <w:rPr>
          <w:rtl w:val="0"/>
        </w:rPr>
        <w:t xml:space="preserve">- Jo S, Kim T, Iyer VG, Im W. CHARMM-GUI: a web-based graphical user interface for CHARMM. *Journal of Computational Chemistry* 29:1859–1865 (2008).</w:t>
      </w:r>
    </w:p>
    <w:p w:rsidR="00000000" w:rsidDel="00000000" w:rsidP="00000000" w:rsidRDefault="00000000" w:rsidRPr="00000000" w14:paraId="000000BD">
      <w:pPr>
        <w:rPr/>
      </w:pPr>
      <w:r w:rsidDel="00000000" w:rsidR="00000000" w:rsidRPr="00000000">
        <w:rPr>
          <w:rtl w:val="0"/>
        </w:rPr>
        <w:t xml:space="preserve">- Lee J, et al. CHARMM-GUI input generator for NAMD, GROMACS, AMBER, OpenMM, and CHARMM/OpenMM simulations using the CHARMM36 additive force field. *Journal of Chemical Theory and Computation* 12:405–413 (2016).</w:t>
      </w:r>
    </w:p>
    <w:p w:rsidR="00000000" w:rsidDel="00000000" w:rsidP="00000000" w:rsidRDefault="00000000" w:rsidRPr="00000000" w14:paraId="000000BE">
      <w:pPr>
        <w:rPr/>
      </w:pPr>
      <w:r w:rsidDel="00000000" w:rsidR="00000000" w:rsidRPr="00000000">
        <w:rPr>
          <w:rtl w:val="0"/>
        </w:rPr>
        <w:t xml:space="preserve">- Abraham MJ, et al. GROMACS: high performance molecular simulations through multi-level parallelism from laptops to supercomputers. *SoftwareX* 1–2:19–25 (2015). [version 2026.2]</w:t>
      </w:r>
    </w:p>
    <w:p w:rsidR="00000000" w:rsidDel="00000000" w:rsidP="00000000" w:rsidRDefault="00000000" w:rsidRPr="00000000" w14:paraId="000000BF">
      <w:pPr>
        <w:rPr/>
      </w:pPr>
      <w:r w:rsidDel="00000000" w:rsidR="00000000" w:rsidRPr="00000000">
        <w:rPr>
          <w:rtl w:val="0"/>
        </w:rPr>
        <w:t xml:space="preserve">- Cherezov V, et al. High-resolution crystal structure of an engineered human β2-adrenergic G protein-coupled receptor. *Science* 318:1258–1265 (2007). [β2AR inactive, 2RH1]</w:t>
      </w:r>
    </w:p>
    <w:p w:rsidR="00000000" w:rsidDel="00000000" w:rsidP="00000000" w:rsidRDefault="00000000" w:rsidRPr="00000000" w14:paraId="000000C0">
      <w:pPr>
        <w:rPr/>
      </w:pPr>
      <w:r w:rsidDel="00000000" w:rsidR="00000000" w:rsidRPr="00000000">
        <w:rPr>
          <w:rtl w:val="0"/>
        </w:rPr>
        <w:t xml:space="preserve">- Rasmussen SGF, et al. Structure of a nanobody-stabilized active state of the β2 adrenoceptor. *Nature* 469:175–180 (2011). [β2AR active, 3P0G]</w:t>
      </w:r>
    </w:p>
    <w:p w:rsidR="00000000" w:rsidDel="00000000" w:rsidP="00000000" w:rsidRDefault="00000000" w:rsidRPr="00000000" w14:paraId="000000C1">
      <w:pPr>
        <w:rPr/>
      </w:pPr>
      <w:r w:rsidDel="00000000" w:rsidR="00000000" w:rsidRPr="00000000">
        <w:rPr>
          <w:rtl w:val="0"/>
        </w:rPr>
        <w:t xml:space="preserve">- Rasmussen SGF, et al. Crystal structure of the β2 adrenergic receptor–Gs protein complex. *Nature* 477:549–555 (2011). [β2AR–Gs, 3SN6]</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