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Tracking document – write what was actually done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Fresh all-atom MD is run in GROMACS (2026 series; current 2026.2) with the CHARMM36m protein force field, CHARMM36 lipids, and the CHARMM-modified TIP3P water model (Huang et al., 2017; Abraham et al., 2015).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preparation (CHARMM-GUI Membrane Builder; Jo et al., 2008; Lee et al., 2016).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Start from the inactive endpoint (4EIY). Remove the antagonist, the fusion partner (e.g., BRIL), crystallographic lipids/detergent, and the bound sodium and ordered waters as appropriate.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Revert thermostabilizing point mutations to the wild-type ADORA2A sequence; model ICL3 (replaced by the fusion in the construct) and any other missing loops; cap the N- and C-termini.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Assign protonation states at pH 7.0 (e.g., PROPKA), giving explicit attention to the conserved D2.50 and the NPxxY region.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Embed in a lipid bilayer — baseline </w:t>
      </w:r>
      <w:r w:rsidDel="00000000" w:rsidR="00000000" w:rsidRPr="00000000">
        <w:rPr>
          <w:b w:val="1"/>
          <w:bCs w:val="1"/>
          <w:rtl w:val="0"/>
        </w:rPr>
        <w:t xml:space="preserve">POPC</w:t>
      </w:r>
      <w:r w:rsidDel="00000000" w:rsidR="00000000" w:rsidRPr="00000000">
        <w:rPr>
          <w:rtl w:val="0"/>
        </w:rPr>
        <w:t xml:space="preserve">; optionally POPC:cholesterol (e.g., 90:10) given A2A's documented cholesterol sensitivity — solvate with ~15–22.5 Å of water on each membrane face, and add 0.15 M NaCl with neutralizing counter-ions.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Energy minimization.</w:t>
      </w:r>
      <w:r w:rsidDel="00000000" w:rsidR="00000000" w:rsidRPr="00000000">
        <w:rPr>
          <w:rtl w:val="0"/>
        </w:rPr>
        <w:t xml:space="preserve"> Steepest descent to a maximum force tolerance (~1000 kJ mol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⁻</w:t>
      </w:r>
      <w:r w:rsidDel="00000000" w:rsidR="00000000" w:rsidRPr="00000000">
        <w:rPr>
          <w:rFonts w:ascii="Aptos" w:cs="Aptos" w:eastAsia="Aptos" w:hAnsi="Aptos"/>
          <w:rtl w:val="0"/>
        </w:rPr>
        <w:t xml:space="preserve">¹</w:t>
      </w:r>
      <w:r w:rsidDel="00000000" w:rsidR="00000000" w:rsidRPr="00000000">
        <w:rPr>
          <w:rtl w:val="0"/>
        </w:rPr>
        <w:t xml:space="preserve"> nm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⁻</w:t>
      </w:r>
      <w:r w:rsidDel="00000000" w:rsidR="00000000" w:rsidRPr="00000000">
        <w:rPr>
          <w:rFonts w:ascii="Aptos" w:cs="Aptos" w:eastAsia="Aptos" w:hAnsi="Aptos"/>
          <w:rtl w:val="0"/>
        </w:rPr>
        <w:t xml:space="preserve">¹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Equilibration.</w:t>
      </w:r>
      <w:r w:rsidDel="00000000" w:rsidR="00000000" w:rsidRPr="00000000">
        <w:rPr>
          <w:rtl w:val="0"/>
        </w:rPr>
        <w:t xml:space="preserve"> The standard six-step CHARMM-GUI protocol: two NVT stages (1 fs step) followed by four NPT stages (1→2 fs step), with position restraints on protein heavy atoms and lipid headgroups released stepwise.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They used 4 fs steps so we did hydrogen mass repartitioning to match them. We ran hydrogen mass repartitioning so we could run at 4 fs steps, so NS = 250 was the step used in the execute, add a spiel about what this is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Production MD — key parameters.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1791"/>
        <w:gridCol w:w="7569"/>
        <w:tblGridChange w:id="0">
          <w:tblGrid>
            <w:gridCol w:w="1791"/>
            <w:gridCol w:w="75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Integrator / timestep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leap-frog (md) / 2 fs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Ensemble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NPT, semiisotropic pressure coupling (membrane)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Temperature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310.15 K; Nosé–Hoover thermostat (v-rescale during equilibration), τ_T ≈ 1 ps, separate coupling groups for protein+membrane and solvent+ions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Pressure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 bar; Parrinello–Rahman barostat (C-rescale during equilibration), τ_P ≈ 5 ps, compressibility 4.5×10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⁻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⁵</w:t>
            </w:r>
            <w:r w:rsidDel="00000000" w:rsidR="00000000" w:rsidRPr="00000000">
              <w:rPr>
                <w:rtl w:val="0"/>
              </w:rPr>
              <w:t xml:space="preserve"> bar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⁻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Neighbor search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Verlet cutoff scheme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Electrostatics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PME, rcoulomb = 1.2 nm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Van der Waals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cutoff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force-switch</w:t>
            </w:r>
            <w:r w:rsidDel="00000000" w:rsidR="00000000" w:rsidRPr="00000000">
              <w:rPr>
                <w:rtl w:val="0"/>
              </w:rPr>
              <w:t xml:space="preserve"> (rvdw-switch = 1.0 nm, rvdw = 1.2 nm) — required for CHARMM36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hydrogen bonds via LINCS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Trajectory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coordinates every 100 ps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Replicates, length, and starting states.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b w:val="1"/>
          <w:bCs w:val="1"/>
          <w:rtl w:val="0"/>
        </w:rPr>
        <w:t xml:space="preserve">3 independent replicas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500 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Get the ICL3 coordinates from 3PWH.</w:t>
      </w:r>
      <w:r w:rsidDel="00000000" w:rsidR="00000000" w:rsidRPr="00000000">
        <w:rPr>
          <w:rtl w:val="0"/>
        </w:rPr>
        <w:t xml:space="preserve"> Superpose 4EIY and 3PWH on their TM helices (they're both inactive-state, ZM241385-bound, and align extremely well). Compared to the A2A structure with intact ICL3 (3PWH), the BRIL fusion in the A2A-T4L structure distorts the cytoplasmic end of helix V, whereas in the A2A-BRIL structure the backbone at the cytoplasmic ends of helices V and VI closely follows the unmodified structure. This means the BRIL junction points in 4EIY match 3PWH well, making the graft straightforward.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PubMed Central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Model the loop.</w:t>
      </w:r>
      <w:r w:rsidDel="00000000" w:rsidR="00000000" w:rsidRPr="00000000">
        <w:rPr>
          <w:rtl w:val="0"/>
        </w:rPr>
        <w:t xml:space="preserve"> You have several good options here, roughly in order of increasing effort: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MODELLER</w:t>
      </w:r>
      <w:r w:rsidDel="00000000" w:rsidR="00000000" w:rsidRPr="00000000">
        <w:rPr>
          <w:rtl w:val="0"/>
        </w:rPr>
        <w:t xml:space="preserve"> (most commonly used in the literature) — define the alignment of your 4EIY sequence with the wild-type P29274 sequence, use 3PWH as a secondary template for ICL3, and run loop refinement. This is what the GPCRmd pipeline and most published work uses.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mc.ncbi.nlm.nih.gov/articles/PMC337561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dby7zTjZ0XH3p2a4WxdRMosDQA==">CgMxLjA4AHIhMWJMX0VQQ0dHT2VLWWpkMlJydlJQSGp1SGRSWlAtT0Qt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