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Services Consultant </w:t>
      </w:r>
    </w:p>
    <w:p w:rsidR="00000000" w:rsidDel="00000000" w:rsidP="00000000" w:rsidRDefault="00000000" w:rsidRPr="00000000" w14:paraId="00000002">
      <w:pPr>
        <w:jc w:val="center"/>
        <w:rPr>
          <w:rFonts w:ascii="Poppins" w:cs="Poppins" w:eastAsia="Poppins" w:hAnsi="Poppins"/>
        </w:rPr>
      </w:pPr>
      <w:r w:rsidDel="00000000" w:rsidR="00000000" w:rsidRPr="00000000">
        <w:rPr>
          <w:rFonts w:ascii="Poppins" w:cs="Poppins" w:eastAsia="Poppins" w:hAnsi="Poppins"/>
          <w:b w:val="1"/>
          <w:sz w:val="26"/>
          <w:szCs w:val="26"/>
          <w:rtl w:val="0"/>
        </w:rPr>
        <w:t xml:space="preserve">Challenge Round Academy Courses and Documentation</w:t>
      </w:r>
      <w:r w:rsidDel="00000000" w:rsidR="00000000" w:rsidRPr="00000000">
        <w:rPr>
          <w:rtl w:val="0"/>
        </w:rPr>
      </w:r>
    </w:p>
    <w:p w:rsidR="00000000" w:rsidDel="00000000" w:rsidP="00000000" w:rsidRDefault="00000000" w:rsidRPr="00000000" w14:paraId="00000003">
      <w:pPr>
        <w:ind w:left="720" w:firstLine="0"/>
        <w:rPr>
          <w:rFonts w:ascii="Poppins" w:cs="Poppins" w:eastAsia="Poppins" w:hAnsi="Poppins"/>
        </w:rPr>
      </w:pPr>
      <w:r w:rsidDel="00000000" w:rsidR="00000000" w:rsidRPr="00000000">
        <w:rPr>
          <w:rtl w:val="0"/>
        </w:rPr>
      </w:r>
    </w:p>
    <w:tbl>
      <w:tblPr>
        <w:tblStyle w:val="Table1"/>
        <w:tblW w:w="1060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55"/>
        <w:gridCol w:w="7500"/>
        <w:tblGridChange w:id="0">
          <w:tblGrid>
            <w:gridCol w:w="1650"/>
            <w:gridCol w:w="1455"/>
            <w:gridCol w:w="750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Topics</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Poppins" w:cs="Poppins" w:eastAsia="Poppins" w:hAnsi="Poppins"/>
              </w:rPr>
            </w:pPr>
            <w:hyperlink r:id="rId6">
              <w:r w:rsidDel="00000000" w:rsidR="00000000" w:rsidRPr="00000000">
                <w:rPr>
                  <w:rFonts w:ascii="Poppins" w:cs="Poppins" w:eastAsia="Poppins" w:hAnsi="Poppins"/>
                  <w:b w:val="1"/>
                  <w:color w:val="1155cc"/>
                  <w:u w:val="single"/>
                  <w:rtl w:val="0"/>
                </w:rPr>
                <w:t xml:space="preserve">Uploading files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15min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When uploading flat files to the Celonis Platform it is not necessary to create an extraction and extract the data. The data from the flat files you upload will automatically appear in the global scope and be ready for you to 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Poppins" w:cs="Poppins" w:eastAsia="Poppins" w:hAnsi="Poppins"/>
              </w:rPr>
            </w:pPr>
            <w:hyperlink r:id="rId7">
              <w:r w:rsidDel="00000000" w:rsidR="00000000" w:rsidRPr="00000000">
                <w:rPr>
                  <w:rFonts w:ascii="Poppins" w:cs="Poppins" w:eastAsia="Poppins" w:hAnsi="Poppins"/>
                  <w:b w:val="1"/>
                  <w:color w:val="1155cc"/>
                  <w:u w:val="single"/>
                  <w:rtl w:val="0"/>
                </w:rPr>
                <w:t xml:space="preserve">Get Data into Celonis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2h 35min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Data Integration Basics - All </w:t>
            </w:r>
          </w:p>
          <w:p w:rsidR="00000000" w:rsidDel="00000000" w:rsidP="00000000" w:rsidRDefault="00000000" w:rsidRPr="00000000" w14:paraId="0000000D">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Connect To Systems - Only sections below </w:t>
            </w:r>
          </w:p>
          <w:p w:rsidR="00000000" w:rsidDel="00000000" w:rsidP="00000000" w:rsidRDefault="00000000" w:rsidRPr="00000000" w14:paraId="0000000E">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02. CHOOSE AND SET UP THE RIGHT CONNECTION METHOD – File Uploads Section Only</w:t>
            </w:r>
          </w:p>
          <w:p w:rsidR="00000000" w:rsidDel="00000000" w:rsidP="00000000" w:rsidRDefault="00000000" w:rsidRPr="00000000" w14:paraId="0000000F">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04. STRUCTURE YOUR DATA POOLS – All</w:t>
            </w:r>
          </w:p>
          <w:p w:rsidR="00000000" w:rsidDel="00000000" w:rsidP="00000000" w:rsidRDefault="00000000" w:rsidRPr="00000000" w14:paraId="00000010">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Transform Data - Only sections below </w:t>
            </w:r>
          </w:p>
          <w:p w:rsidR="00000000" w:rsidDel="00000000" w:rsidP="00000000" w:rsidRDefault="00000000" w:rsidRPr="00000000" w14:paraId="00000011">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01 Intro – All</w:t>
            </w:r>
          </w:p>
          <w:p w:rsidR="00000000" w:rsidDel="00000000" w:rsidP="00000000" w:rsidRDefault="00000000" w:rsidRPr="00000000" w14:paraId="00000012">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02 Overview of Transformations – All</w:t>
            </w:r>
          </w:p>
          <w:p w:rsidR="00000000" w:rsidDel="00000000" w:rsidP="00000000" w:rsidRDefault="00000000" w:rsidRPr="00000000" w14:paraId="00000013">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03 Data Jobs – Set up Transformations </w:t>
            </w:r>
          </w:p>
          <w:p w:rsidR="00000000" w:rsidDel="00000000" w:rsidP="00000000" w:rsidRDefault="00000000" w:rsidRPr="00000000" w14:paraId="00000014">
            <w:pPr>
              <w:numPr>
                <w:ilvl w:val="2"/>
                <w:numId w:val="2"/>
              </w:numPr>
              <w:ind w:left="2160" w:hanging="360"/>
              <w:rPr>
                <w:rFonts w:ascii="Poppins" w:cs="Poppins" w:eastAsia="Poppins" w:hAnsi="Poppins"/>
              </w:rPr>
            </w:pPr>
            <w:r w:rsidDel="00000000" w:rsidR="00000000" w:rsidRPr="00000000">
              <w:rPr>
                <w:rFonts w:ascii="Poppins" w:cs="Poppins" w:eastAsia="Poppins" w:hAnsi="Poppins"/>
                <w:rtl w:val="0"/>
              </w:rPr>
              <w:t xml:space="preserve">you will not need the sections that cover Using Templates or Write Performant Transformations</w:t>
            </w:r>
          </w:p>
          <w:p w:rsidR="00000000" w:rsidDel="00000000" w:rsidP="00000000" w:rsidRDefault="00000000" w:rsidRPr="00000000" w14:paraId="00000015">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Load a Data Model - Only sections below </w:t>
            </w:r>
          </w:p>
          <w:p w:rsidR="00000000" w:rsidDel="00000000" w:rsidP="00000000" w:rsidRDefault="00000000" w:rsidRPr="00000000" w14:paraId="00000016">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01 Intro - All </w:t>
            </w:r>
          </w:p>
          <w:p w:rsidR="00000000" w:rsidDel="00000000" w:rsidP="00000000" w:rsidRDefault="00000000" w:rsidRPr="00000000" w14:paraId="00000017">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02 Set Up Your Data Model – Up to and including the Troubleshooting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Poppins" w:cs="Poppins" w:eastAsia="Poppins" w:hAnsi="Poppins"/>
              </w:rPr>
            </w:pPr>
            <w:hyperlink r:id="rId8">
              <w:r w:rsidDel="00000000" w:rsidR="00000000" w:rsidRPr="00000000">
                <w:rPr>
                  <w:rFonts w:ascii="Poppins" w:cs="Poppins" w:eastAsia="Poppins" w:hAnsi="Poppins"/>
                  <w:b w:val="1"/>
                  <w:color w:val="1155cc"/>
                  <w:u w:val="single"/>
                  <w:rtl w:val="0"/>
                </w:rPr>
                <w:t xml:space="preserve">Build Analyses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2h 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01. Get Started – All</w:t>
            </w:r>
          </w:p>
          <w:p w:rsidR="00000000" w:rsidDel="00000000" w:rsidP="00000000" w:rsidRDefault="00000000" w:rsidRPr="00000000" w14:paraId="0000001B">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Note: the Quick Reference Guide: Build Analyses is helpful</w:t>
            </w:r>
          </w:p>
          <w:p w:rsidR="00000000" w:rsidDel="00000000" w:rsidP="00000000" w:rsidRDefault="00000000" w:rsidRPr="00000000" w14:paraId="0000001C">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02. Build the Heart of the Analysis – All</w:t>
            </w:r>
          </w:p>
          <w:p w:rsidR="00000000" w:rsidDel="00000000" w:rsidP="00000000" w:rsidRDefault="00000000" w:rsidRPr="00000000" w14:paraId="0000001D">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03. Build KPIs with the Visual Editor – All</w:t>
            </w:r>
          </w:p>
          <w:p w:rsidR="00000000" w:rsidDel="00000000" w:rsidP="00000000" w:rsidRDefault="00000000" w:rsidRPr="00000000" w14:paraId="0000001E">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04. Take It to the Next Level –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Poppins" w:cs="Poppins" w:eastAsia="Poppins" w:hAnsi="Poppins"/>
              </w:rPr>
            </w:pPr>
            <w:hyperlink r:id="rId9">
              <w:r w:rsidDel="00000000" w:rsidR="00000000" w:rsidRPr="00000000">
                <w:rPr>
                  <w:rFonts w:ascii="Poppins" w:cs="Poppins" w:eastAsia="Poppins" w:hAnsi="Poppins"/>
                  <w:b w:val="1"/>
                  <w:color w:val="1155cc"/>
                  <w:u w:val="single"/>
                  <w:rtl w:val="0"/>
                </w:rPr>
                <w:t xml:space="preserve">Review and Interpret Analyses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1h 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01. Getting Started – All (Note: the Quick Reference Guide is optional, but helpful)</w:t>
            </w:r>
          </w:p>
          <w:p w:rsidR="00000000" w:rsidDel="00000000" w:rsidP="00000000" w:rsidRDefault="00000000" w:rsidRPr="00000000" w14:paraId="00000022">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02. The Variant and Process Explorers </w:t>
            </w:r>
          </w:p>
          <w:p w:rsidR="00000000" w:rsidDel="00000000" w:rsidP="00000000" w:rsidRDefault="00000000" w:rsidRPr="00000000" w14:paraId="00000023">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Use the Variant Explorer</w:t>
            </w:r>
          </w:p>
          <w:p w:rsidR="00000000" w:rsidDel="00000000" w:rsidP="00000000" w:rsidRDefault="00000000" w:rsidRPr="00000000" w14:paraId="00000024">
            <w:pPr>
              <w:numPr>
                <w:ilvl w:val="2"/>
                <w:numId w:val="2"/>
              </w:numPr>
              <w:ind w:left="2160" w:hanging="360"/>
              <w:rPr>
                <w:rFonts w:ascii="Poppins" w:cs="Poppins" w:eastAsia="Poppins" w:hAnsi="Poppins"/>
              </w:rPr>
            </w:pPr>
            <w:r w:rsidDel="00000000" w:rsidR="00000000" w:rsidRPr="00000000">
              <w:rPr>
                <w:rFonts w:ascii="Poppins" w:cs="Poppins" w:eastAsia="Poppins" w:hAnsi="Poppins"/>
                <w:rtl w:val="0"/>
              </w:rPr>
              <w:t xml:space="preserve">What is the variant explorer</w:t>
            </w:r>
          </w:p>
          <w:p w:rsidR="00000000" w:rsidDel="00000000" w:rsidP="00000000" w:rsidRDefault="00000000" w:rsidRPr="00000000" w14:paraId="00000025">
            <w:pPr>
              <w:numPr>
                <w:ilvl w:val="2"/>
                <w:numId w:val="2"/>
              </w:numPr>
              <w:ind w:left="2160" w:hanging="360"/>
              <w:rPr>
                <w:rFonts w:ascii="Poppins" w:cs="Poppins" w:eastAsia="Poppins" w:hAnsi="Poppins"/>
              </w:rPr>
            </w:pPr>
            <w:r w:rsidDel="00000000" w:rsidR="00000000" w:rsidRPr="00000000">
              <w:rPr>
                <w:rFonts w:ascii="Poppins" w:cs="Poppins" w:eastAsia="Poppins" w:hAnsi="Poppins"/>
                <w:rtl w:val="0"/>
              </w:rPr>
              <w:t xml:space="preserve">Review individual variants</w:t>
            </w:r>
          </w:p>
          <w:p w:rsidR="00000000" w:rsidDel="00000000" w:rsidP="00000000" w:rsidRDefault="00000000" w:rsidRPr="00000000" w14:paraId="00000026">
            <w:pPr>
              <w:numPr>
                <w:ilvl w:val="2"/>
                <w:numId w:val="2"/>
              </w:numPr>
              <w:ind w:left="2160" w:hanging="360"/>
              <w:rPr>
                <w:rFonts w:ascii="Poppins" w:cs="Poppins" w:eastAsia="Poppins" w:hAnsi="Poppins"/>
              </w:rPr>
            </w:pPr>
            <w:r w:rsidDel="00000000" w:rsidR="00000000" w:rsidRPr="00000000">
              <w:rPr>
                <w:rFonts w:ascii="Poppins" w:cs="Poppins" w:eastAsia="Poppins" w:hAnsi="Poppins"/>
                <w:rtl w:val="0"/>
              </w:rPr>
              <w:t xml:space="preserve">Switch between case frequency and activity frequency KPIs</w:t>
            </w:r>
          </w:p>
          <w:p w:rsidR="00000000" w:rsidDel="00000000" w:rsidP="00000000" w:rsidRDefault="00000000" w:rsidRPr="00000000" w14:paraId="00000027">
            <w:pPr>
              <w:numPr>
                <w:ilvl w:val="2"/>
                <w:numId w:val="2"/>
              </w:numPr>
              <w:ind w:left="2160" w:hanging="360"/>
              <w:rPr>
                <w:rFonts w:ascii="Poppins" w:cs="Poppins" w:eastAsia="Poppins" w:hAnsi="Poppins"/>
              </w:rPr>
            </w:pPr>
            <w:r w:rsidDel="00000000" w:rsidR="00000000" w:rsidRPr="00000000">
              <w:rPr>
                <w:rFonts w:ascii="Poppins" w:cs="Poppins" w:eastAsia="Poppins" w:hAnsi="Poppins"/>
                <w:rtl w:val="0"/>
              </w:rPr>
              <w:t xml:space="preserve">Compare multiple variants</w:t>
            </w:r>
          </w:p>
          <w:p w:rsidR="00000000" w:rsidDel="00000000" w:rsidP="00000000" w:rsidRDefault="00000000" w:rsidRPr="00000000" w14:paraId="00000028">
            <w:pPr>
              <w:numPr>
                <w:ilvl w:val="2"/>
                <w:numId w:val="2"/>
              </w:numPr>
              <w:ind w:left="2160" w:hanging="360"/>
              <w:rPr>
                <w:rFonts w:ascii="Poppins" w:cs="Poppins" w:eastAsia="Poppins" w:hAnsi="Poppins"/>
              </w:rPr>
            </w:pPr>
            <w:r w:rsidDel="00000000" w:rsidR="00000000" w:rsidRPr="00000000">
              <w:rPr>
                <w:rFonts w:ascii="Poppins" w:cs="Poppins" w:eastAsia="Poppins" w:hAnsi="Poppins"/>
                <w:rtl w:val="0"/>
              </w:rPr>
              <w:t xml:space="preserve">Filter on cases using activities and connections</w:t>
            </w:r>
          </w:p>
          <w:p w:rsidR="00000000" w:rsidDel="00000000" w:rsidP="00000000" w:rsidRDefault="00000000" w:rsidRPr="00000000" w14:paraId="00000029">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Use the Process Explorer</w:t>
            </w:r>
          </w:p>
          <w:p w:rsidR="00000000" w:rsidDel="00000000" w:rsidP="00000000" w:rsidRDefault="00000000" w:rsidRPr="00000000" w14:paraId="0000002A">
            <w:pPr>
              <w:numPr>
                <w:ilvl w:val="2"/>
                <w:numId w:val="2"/>
              </w:numPr>
              <w:ind w:left="2160" w:hanging="360"/>
              <w:rPr>
                <w:rFonts w:ascii="Poppins" w:cs="Poppins" w:eastAsia="Poppins" w:hAnsi="Poppins"/>
              </w:rPr>
            </w:pPr>
            <w:r w:rsidDel="00000000" w:rsidR="00000000" w:rsidRPr="00000000">
              <w:rPr>
                <w:rFonts w:ascii="Poppins" w:cs="Poppins" w:eastAsia="Poppins" w:hAnsi="Poppins"/>
                <w:rtl w:val="0"/>
              </w:rPr>
              <w:t xml:space="preserve">What is the process explorer</w:t>
            </w:r>
          </w:p>
          <w:p w:rsidR="00000000" w:rsidDel="00000000" w:rsidP="00000000" w:rsidRDefault="00000000" w:rsidRPr="00000000" w14:paraId="0000002B">
            <w:pPr>
              <w:numPr>
                <w:ilvl w:val="2"/>
                <w:numId w:val="2"/>
              </w:numPr>
              <w:ind w:left="2160" w:hanging="360"/>
              <w:rPr>
                <w:rFonts w:ascii="Poppins" w:cs="Poppins" w:eastAsia="Poppins" w:hAnsi="Poppins"/>
              </w:rPr>
            </w:pPr>
            <w:r w:rsidDel="00000000" w:rsidR="00000000" w:rsidRPr="00000000">
              <w:rPr>
                <w:rFonts w:ascii="Poppins" w:cs="Poppins" w:eastAsia="Poppins" w:hAnsi="Poppins"/>
                <w:rtl w:val="0"/>
              </w:rPr>
              <w:t xml:space="preserve">Interpret case numbers in the process explorer</w:t>
            </w:r>
          </w:p>
          <w:p w:rsidR="00000000" w:rsidDel="00000000" w:rsidP="00000000" w:rsidRDefault="00000000" w:rsidRPr="00000000" w14:paraId="0000002C">
            <w:pPr>
              <w:numPr>
                <w:ilvl w:val="2"/>
                <w:numId w:val="2"/>
              </w:numPr>
              <w:ind w:left="2160" w:hanging="360"/>
              <w:rPr>
                <w:rFonts w:ascii="Poppins" w:cs="Poppins" w:eastAsia="Poppins" w:hAnsi="Poppins"/>
              </w:rPr>
            </w:pPr>
            <w:r w:rsidDel="00000000" w:rsidR="00000000" w:rsidRPr="00000000">
              <w:rPr>
                <w:rFonts w:ascii="Poppins" w:cs="Poppins" w:eastAsia="Poppins" w:hAnsi="Poppins"/>
                <w:rtl w:val="0"/>
              </w:rPr>
              <w:t xml:space="preserve">Review predecessor and successor activities</w:t>
            </w:r>
          </w:p>
          <w:p w:rsidR="00000000" w:rsidDel="00000000" w:rsidP="00000000" w:rsidRDefault="00000000" w:rsidRPr="00000000" w14:paraId="0000002D">
            <w:pPr>
              <w:numPr>
                <w:ilvl w:val="2"/>
                <w:numId w:val="2"/>
              </w:numPr>
              <w:ind w:left="2160" w:hanging="360"/>
              <w:rPr>
                <w:rFonts w:ascii="Poppins" w:cs="Poppins" w:eastAsia="Poppins" w:hAnsi="Poppins"/>
              </w:rPr>
            </w:pPr>
            <w:r w:rsidDel="00000000" w:rsidR="00000000" w:rsidRPr="00000000">
              <w:rPr>
                <w:rFonts w:ascii="Poppins" w:cs="Poppins" w:eastAsia="Poppins" w:hAnsi="Poppins"/>
                <w:rtl w:val="0"/>
              </w:rPr>
              <w:t xml:space="preserve">See a list of activities and connections</w:t>
            </w:r>
          </w:p>
          <w:p w:rsidR="00000000" w:rsidDel="00000000" w:rsidP="00000000" w:rsidRDefault="00000000" w:rsidRPr="00000000" w14:paraId="0000002E">
            <w:pPr>
              <w:numPr>
                <w:ilvl w:val="2"/>
                <w:numId w:val="2"/>
              </w:numPr>
              <w:ind w:left="2160" w:hanging="360"/>
              <w:rPr>
                <w:rFonts w:ascii="Poppins" w:cs="Poppins" w:eastAsia="Poppins" w:hAnsi="Poppins"/>
              </w:rPr>
            </w:pPr>
            <w:r w:rsidDel="00000000" w:rsidR="00000000" w:rsidRPr="00000000">
              <w:rPr>
                <w:rFonts w:ascii="Poppins" w:cs="Poppins" w:eastAsia="Poppins" w:hAnsi="Poppins"/>
                <w:rtl w:val="0"/>
              </w:rPr>
              <w:t xml:space="preserve">Add and remove activities and connections</w:t>
            </w:r>
          </w:p>
          <w:p w:rsidR="00000000" w:rsidDel="00000000" w:rsidP="00000000" w:rsidRDefault="00000000" w:rsidRPr="00000000" w14:paraId="0000002F">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03. The Heart of the Analysis </w:t>
            </w:r>
          </w:p>
          <w:p w:rsidR="00000000" w:rsidDel="00000000" w:rsidP="00000000" w:rsidRDefault="00000000" w:rsidRPr="00000000" w14:paraId="00000030">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Use Charts and Tables, Review KPIs</w:t>
            </w:r>
          </w:p>
          <w:p w:rsidR="00000000" w:rsidDel="00000000" w:rsidP="00000000" w:rsidRDefault="00000000" w:rsidRPr="00000000" w14:paraId="00000031">
            <w:pPr>
              <w:numPr>
                <w:ilvl w:val="2"/>
                <w:numId w:val="2"/>
              </w:numPr>
              <w:ind w:left="2160" w:hanging="360"/>
              <w:rPr>
                <w:rFonts w:ascii="Poppins" w:cs="Poppins" w:eastAsia="Poppins" w:hAnsi="Poppins"/>
              </w:rPr>
            </w:pPr>
            <w:r w:rsidDel="00000000" w:rsidR="00000000" w:rsidRPr="00000000">
              <w:rPr>
                <w:rFonts w:ascii="Poppins" w:cs="Poppins" w:eastAsia="Poppins" w:hAnsi="Poppins"/>
                <w:rtl w:val="0"/>
              </w:rPr>
              <w:t xml:space="preserve">What are Analysis Charts and Tables?</w:t>
            </w:r>
          </w:p>
          <w:p w:rsidR="00000000" w:rsidDel="00000000" w:rsidP="00000000" w:rsidRDefault="00000000" w:rsidRPr="00000000" w14:paraId="00000032">
            <w:pPr>
              <w:numPr>
                <w:ilvl w:val="2"/>
                <w:numId w:val="2"/>
              </w:numPr>
              <w:ind w:left="2160" w:hanging="360"/>
              <w:rPr>
                <w:rFonts w:ascii="Poppins" w:cs="Poppins" w:eastAsia="Poppins" w:hAnsi="Poppins"/>
              </w:rPr>
            </w:pPr>
            <w:r w:rsidDel="00000000" w:rsidR="00000000" w:rsidRPr="00000000">
              <w:rPr>
                <w:rFonts w:ascii="Poppins" w:cs="Poppins" w:eastAsia="Poppins" w:hAnsi="Poppins"/>
                <w:rtl w:val="0"/>
              </w:rPr>
              <w:t xml:space="preserve">What are Single KPIs?</w:t>
            </w:r>
          </w:p>
          <w:p w:rsidR="00000000" w:rsidDel="00000000" w:rsidP="00000000" w:rsidRDefault="00000000" w:rsidRPr="00000000" w14:paraId="00000033">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Use Selection Views </w:t>
            </w:r>
          </w:p>
          <w:p w:rsidR="00000000" w:rsidDel="00000000" w:rsidP="00000000" w:rsidRDefault="00000000" w:rsidRPr="00000000" w14:paraId="00000034">
            <w:pPr>
              <w:numPr>
                <w:ilvl w:val="2"/>
                <w:numId w:val="2"/>
              </w:numPr>
              <w:ind w:left="2160" w:hanging="360"/>
              <w:rPr>
                <w:rFonts w:ascii="Poppins" w:cs="Poppins" w:eastAsia="Poppins" w:hAnsi="Poppins"/>
              </w:rPr>
            </w:pPr>
            <w:r w:rsidDel="00000000" w:rsidR="00000000" w:rsidRPr="00000000">
              <w:rPr>
                <w:rFonts w:ascii="Poppins" w:cs="Poppins" w:eastAsia="Poppins" w:hAnsi="Poppins"/>
                <w:rtl w:val="0"/>
              </w:rPr>
              <w:t xml:space="preserve">What are selection views</w:t>
            </w:r>
          </w:p>
          <w:p w:rsidR="00000000" w:rsidDel="00000000" w:rsidP="00000000" w:rsidRDefault="00000000" w:rsidRPr="00000000" w14:paraId="00000035">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Use the Case Explorer – All</w:t>
            </w:r>
          </w:p>
          <w:p w:rsidR="00000000" w:rsidDel="00000000" w:rsidP="00000000" w:rsidRDefault="00000000" w:rsidRPr="00000000" w14:paraId="00000036">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04. Automated Insights and More</w:t>
            </w:r>
          </w:p>
          <w:p w:rsidR="00000000" w:rsidDel="00000000" w:rsidP="00000000" w:rsidRDefault="00000000" w:rsidRPr="00000000" w14:paraId="00000037">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Use the Conformance Checker –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Poppins" w:cs="Poppins" w:eastAsia="Poppins" w:hAnsi="Poppins"/>
                <w:b w:val="1"/>
              </w:rPr>
            </w:pPr>
            <w:hyperlink r:id="rId10">
              <w:r w:rsidDel="00000000" w:rsidR="00000000" w:rsidRPr="00000000">
                <w:rPr>
                  <w:rFonts w:ascii="Poppins" w:cs="Poppins" w:eastAsia="Poppins" w:hAnsi="Poppins"/>
                  <w:b w:val="1"/>
                  <w:color w:val="1155cc"/>
                  <w:u w:val="single"/>
                  <w:rtl w:val="0"/>
                </w:rPr>
                <w:t xml:space="preserve">Write PQL Queries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35min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01. Basic Queries in PQL</w:t>
            </w:r>
          </w:p>
          <w:p w:rsidR="00000000" w:rsidDel="00000000" w:rsidP="00000000" w:rsidRDefault="00000000" w:rsidRPr="00000000" w14:paraId="0000003B">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Introduction to PQL and the Celonis PQL Engine</w:t>
            </w:r>
          </w:p>
          <w:p w:rsidR="00000000" w:rsidDel="00000000" w:rsidP="00000000" w:rsidRDefault="00000000" w:rsidRPr="00000000" w14:paraId="0000003C">
            <w:pPr>
              <w:numPr>
                <w:ilvl w:val="1"/>
                <w:numId w:val="2"/>
              </w:numPr>
              <w:ind w:left="1440" w:hanging="360"/>
              <w:rPr>
                <w:rFonts w:ascii="Poppins" w:cs="Poppins" w:eastAsia="Poppins" w:hAnsi="Poppins"/>
              </w:rPr>
            </w:pPr>
            <w:r w:rsidDel="00000000" w:rsidR="00000000" w:rsidRPr="00000000">
              <w:rPr>
                <w:rFonts w:ascii="Poppins" w:cs="Poppins" w:eastAsia="Poppins" w:hAnsi="Poppins"/>
                <w:rtl w:val="0"/>
              </w:rPr>
              <w:t xml:space="preserve">Create your first PQL Queries</w:t>
            </w:r>
          </w:p>
        </w:tc>
      </w:tr>
    </w:tbl>
    <w:p w:rsidR="00000000" w:rsidDel="00000000" w:rsidP="00000000" w:rsidRDefault="00000000" w:rsidRPr="00000000" w14:paraId="0000003D">
      <w:pPr>
        <w:rPr>
          <w:rFonts w:ascii="Poppins" w:cs="Poppins" w:eastAsia="Poppins" w:hAnsi="Poppins"/>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cademy.celonis.com/learning-paths/build-analyses-advanced" TargetMode="External"/><Relationship Id="rId9" Type="http://schemas.openxmlformats.org/officeDocument/2006/relationships/hyperlink" Target="https://academy.celonis.com/learn/learning-path/review-and-interpret-analyses" TargetMode="External"/><Relationship Id="rId5" Type="http://schemas.openxmlformats.org/officeDocument/2006/relationships/styles" Target="styles.xml"/><Relationship Id="rId6" Type="http://schemas.openxmlformats.org/officeDocument/2006/relationships/hyperlink" Target="https://academy.celonis.com/learn/video/perform-a-file-upload?client=external-employees" TargetMode="External"/><Relationship Id="rId7" Type="http://schemas.openxmlformats.org/officeDocument/2006/relationships/hyperlink" Target="https://academy.celonis.com/learn/learning-path/get-data-into-the-ems-1" TargetMode="External"/><Relationship Id="rId8" Type="http://schemas.openxmlformats.org/officeDocument/2006/relationships/hyperlink" Target="https://academy.celonis.com/learning-paths/build-analyses-bas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