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5"/>
        <w:keepLines/>
        <w:keepNext/>
        <w:spacing w:after="80" w:afterAutospacing="0" w:before="360" w:beforeAutospacing="0"/>
        <w:rPr>
          <w:rFonts w:ascii="Arial" w:hAnsi="Arial" w:cs="Arial" w:eastAsia="Times New Roman"/>
          <w:b w:val="false"/>
          <w:bCs w:val="false"/>
          <w:color w:val="0F4761"/>
          <w:sz w:val="40"/>
          <w:szCs w:val="40"/>
          <w:lang w:val="en"/>
        </w:rPr>
      </w:pPr>
      <w:r>
        <w:rPr>
          <w:rFonts w:ascii="Arial" w:hAnsi="Arial" w:cs="Arial" w:eastAsia="Times New Roman"/>
          <w:b w:val="false"/>
          <w:bCs w:val="false"/>
          <w:color w:val="0F4761" w:themeColor="accent1" w:themeShade="BF"/>
          <w:sz w:val="40"/>
          <w:szCs w:val="40"/>
          <w:lang w:val="en"/>
        </w:rPr>
        <w:t xml:space="preserve">Project: Summarizing and Analyzing Research Papers</w:t>
      </w:r>
      <w:r/>
    </w:p>
    <w:p>
      <w:pPr>
        <w:pStyle w:val="616"/>
        <w:keepLines/>
        <w:keepNext/>
        <w:spacing w:after="80" w:afterAutospacing="0" w:before="160" w:beforeAutospacing="0"/>
        <w:rPr>
          <w:rFonts w:ascii="Arial" w:hAnsi="Arial" w:cs="Arial" w:eastAsia="Times New Roman"/>
          <w:b w:val="false"/>
          <w:bCs w:val="false"/>
          <w:color w:val="0F4761"/>
          <w:sz w:val="32"/>
          <w:szCs w:val="32"/>
          <w:lang w:val="en"/>
        </w:rPr>
      </w:pPr>
      <w:r>
        <w:rPr>
          <w:rFonts w:ascii="Arial" w:hAnsi="Arial" w:cs="Arial" w:eastAsia="Times New Roman"/>
          <w:b w:val="false"/>
          <w:bCs w:val="false"/>
          <w:color w:val="0F4761" w:themeColor="accent1" w:themeShade="BF"/>
          <w:sz w:val="32"/>
          <w:szCs w:val="32"/>
          <w:lang w:val="en"/>
        </w:rPr>
        <w:t xml:space="preserve">Submission Template</w:t>
      </w:r>
      <w:r/>
    </w:p>
    <w:p>
      <w:pPr>
        <w:pStyle w:val="633"/>
        <w:rPr>
          <w:rFonts w:ascii="Arial" w:hAnsi="Arial" w:cs="Arial"/>
          <w:lang w:val="en"/>
        </w:rPr>
      </w:pPr>
      <w:r>
        <w:rPr>
          <w:rStyle w:val="634"/>
          <w:rFonts w:ascii="Arial" w:hAnsi="Arial" w:cs="Arial"/>
          <w:lang w:val="en"/>
        </w:rPr>
        <w:t xml:space="preserve">Learner Name</w:t>
      </w:r>
      <w:r>
        <w:rPr>
          <w:rFonts w:ascii="Arial" w:hAnsi="Arial" w:cs="Arial"/>
          <w:lang w:val="en"/>
        </w:rPr>
        <w:t xml:space="preserve">: </w:t>
      </w:r>
      <w:r>
        <w:rPr>
          <w:rFonts w:ascii="Arial" w:hAnsi="Arial" w:cs="Arial"/>
          <w:lang w:val="en-GB"/>
        </w:rPr>
        <w:t xml:space="preserve">Joyline Rencita Dsouza</w:t>
      </w:r>
      <w:r/>
    </w:p>
    <w:p>
      <w:pPr>
        <w:pStyle w:val="633"/>
        <w:shd w:val="clear" w:color="FFFFFF" w:fill="FFFFFF" w:themeColor="background1"/>
        <w:rPr>
          <w:rFonts w:ascii="Arial" w:hAnsi="Arial" w:cs="Arial"/>
          <w:b w:val="false"/>
        </w:rPr>
      </w:pPr>
      <w:r>
        <w:rPr>
          <w:rStyle w:val="634"/>
          <w:rFonts w:ascii="Arial" w:hAnsi="Arial" w:cs="Arial"/>
          <w:lang w:val="en"/>
        </w:rPr>
        <w:t xml:space="preserve">Learner </w:t>
      </w:r>
      <w:r>
        <w:rPr>
          <w:rStyle w:val="634"/>
          <w:rFonts w:ascii="Arial" w:hAnsi="Arial" w:cs="Arial"/>
          <w:lang w:val="en"/>
        </w:rPr>
        <w:t xml:space="preserve">Email</w:t>
      </w:r>
      <w:r>
        <w:rPr>
          <w:rFonts w:ascii="Arial" w:hAnsi="Arial" w:cs="Arial"/>
          <w:lang w:val="en"/>
        </w:rPr>
        <w:t xml:space="preserve">:</w:t>
      </w:r>
      <w:r>
        <w:rPr>
          <w:rFonts w:ascii="Arial" w:hAnsi="Arial" w:cs="Arial"/>
          <w:lang w:val="en"/>
        </w:rPr>
        <w:t xml:space="preserve"> </w:t>
      </w:r>
      <w:r>
        <w:rPr>
          <w:rFonts w:ascii="Arial" w:hAnsi="Arial" w:cs="Arial"/>
          <w:lang w:val="en-GB"/>
        </w:rPr>
        <w:t xml:space="preserve">rencitadsouza263@gmail.com</w:t>
      </w:r>
      <w:r>
        <w:rPr>
          <w:rFonts w:ascii="Arial" w:hAnsi="Arial" w:cs="Arial" w:eastAsia="Arial"/>
          <w:b w:val="false"/>
          <w:color w:val="E3E3E3"/>
          <w:sz w:val="21"/>
        </w:rPr>
      </w:r>
      <w:r>
        <w:rPr>
          <w:rFonts w:ascii="Arial" w:hAnsi="Arial" w:cs="Arial"/>
          <w:b w:val="false"/>
        </w:rPr>
      </w:r>
    </w:p>
    <w:p>
      <w:pPr>
        <w:pStyle w:val="633"/>
        <w:rPr>
          <w:rFonts w:ascii="Arial" w:hAnsi="Arial" w:cs="Arial"/>
          <w:lang w:val="en"/>
        </w:rPr>
      </w:pPr>
      <w:r>
        <w:rPr>
          <w:rStyle w:val="634"/>
          <w:rFonts w:ascii="Arial" w:hAnsi="Arial" w:cs="Arial"/>
          <w:lang w:val="en"/>
        </w:rPr>
        <w:t xml:space="preserve">Topic</w:t>
      </w:r>
      <w:r>
        <w:rPr>
          <w:rFonts w:ascii="Arial" w:hAnsi="Arial" w:cs="Arial"/>
          <w:lang w:val="en"/>
        </w:rPr>
        <w:t xml:space="preserve">: </w:t>
      </w:r>
      <w:r>
        <w:rPr>
          <w:rFonts w:ascii="Arial" w:hAnsi="Arial" w:cs="Arial"/>
          <w:lang w:val="en-GB"/>
        </w:rPr>
        <w:t xml:space="preserve"> </w:t>
      </w:r>
      <w:r>
        <w:rPr>
          <w:rFonts w:ascii="Arial" w:hAnsi="Arial" w:cs="Arial" w:eastAsia="Arial"/>
          <w:color w:val="1F1F1F"/>
          <w:sz w:val="24"/>
        </w:rPr>
        <w:t xml:space="preserve">The role of renewable energy technologies in enhancing human</w:t>
      </w:r>
      <w:r>
        <w:rPr>
          <w:rFonts w:ascii="Arial" w:hAnsi="Arial" w:cs="Arial" w:eastAsia="Arial"/>
          <w:color w:val="1F1F1F"/>
          <w:sz w:val="24"/>
          <w:lang w:val="en-GB"/>
        </w:rPr>
        <w:t xml:space="preserve"> </w:t>
      </w:r>
      <w:r>
        <w:rPr>
          <w:rFonts w:ascii="Arial" w:hAnsi="Arial" w:cs="Arial" w:eastAsia="Arial"/>
          <w:color w:val="1F1F1F"/>
          <w:sz w:val="24"/>
        </w:rPr>
        <w:t xml:space="preserve">development: Empirical evidence from selected countries</w:t>
      </w:r>
      <w:r/>
    </w:p>
    <w:p>
      <w:pPr>
        <w:pStyle w:val="633"/>
        <w:rPr>
          <w:rFonts w:ascii="Arial" w:hAnsi="Arial" w:cs="Arial"/>
          <w:lang w:val="en"/>
        </w:rPr>
      </w:pPr>
      <w:r>
        <w:rPr>
          <w:rStyle w:val="634"/>
          <w:rFonts w:ascii="Arial" w:hAnsi="Arial" w:cs="Arial"/>
          <w:lang w:val="en"/>
        </w:rPr>
        <w:t xml:space="preserve">Research Paper</w:t>
      </w:r>
      <w:r>
        <w:rPr>
          <w:rFonts w:ascii="Arial" w:hAnsi="Arial" w:cs="Arial"/>
          <w:lang w:val="en"/>
        </w:rPr>
        <w:t xml:space="preserve">: </w:t>
      </w:r>
      <w:hyperlink r:id="rId10" w:tooltip="Persistent link using digital object identifier" w:history="1">
        <w:r>
          <w:rPr>
            <w:rStyle w:val="635"/>
            <w:rFonts w:ascii="Arial" w:hAnsi="Arial" w:cs="Arial" w:eastAsia="Arial"/>
            <w:color w:val="0272B1"/>
            <w:sz w:val="21"/>
          </w:rPr>
          <w:t xml:space="preserve">https://doi.org/10.1016/j.cscee.2023.100496</w:t>
        </w:r>
      </w:hyperlink>
      <w:r>
        <w:rPr>
          <w:rFonts w:ascii="Arial" w:hAnsi="Arial" w:cs="Arial"/>
          <w:lang w:val="en"/>
        </w:rPr>
      </w:r>
      <w:r/>
    </w:p>
    <w:p>
      <w:pPr>
        <w:pStyle w:val="617"/>
        <w:rPr>
          <w:rFonts w:ascii="Arial" w:hAnsi="Arial" w:cs="Arial" w:eastAsia="Times New Roman"/>
          <w:lang w:val="en"/>
        </w:rPr>
      </w:pPr>
      <w:r>
        <w:rPr>
          <w:rFonts w:ascii="Arial" w:hAnsi="Arial" w:cs="Arial" w:eastAsia="Times New Roman"/>
          <w:lang w:val="en"/>
        </w:rPr>
        <w:t xml:space="preserve">Initial Prompt</w:t>
      </w:r>
      <w:r/>
    </w:p>
    <w:p>
      <w:pPr>
        <w:pStyle w:val="633"/>
        <w:rPr>
          <w:rFonts w:ascii="Arial" w:hAnsi="Arial" w:cs="Arial"/>
          <w:highlight w:val="none"/>
          <w:lang w:val="en"/>
        </w:rPr>
      </w:pPr>
      <w:r>
        <w:rPr>
          <w:rStyle w:val="634"/>
          <w:rFonts w:ascii="Arial" w:hAnsi="Arial" w:cs="Arial"/>
          <w:lang w:val="en"/>
        </w:rPr>
        <w:t xml:space="preserve">Description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The research investigates the relationship between renewable energy technologies and human development in 77 countries from 2000 to 2019. It employs a panel-corrected standard error (PCSE) model to analyze the effects of renewable energy on health, educati</w:t>
      </w:r>
      <w:r>
        <w:t xml:space="preserve">on, and income, and discusses the differences between high- and middle-income countries.</w:t>
      </w:r>
      <w:r>
        <w:rPr>
          <w:rFonts w:ascii="Arial" w:hAnsi="Arial" w:cs="Arial"/>
          <w:highlight w:val="none"/>
          <w:lang w:val="en"/>
        </w:rPr>
      </w:r>
      <w:r>
        <w:rPr>
          <w:rFonts w:ascii="Arial" w:hAnsi="Arial" w:cs="Arial"/>
          <w:highlight w:val="none"/>
          <w:lang w:val="en"/>
        </w:rPr>
      </w:r>
    </w:p>
    <w:p>
      <w:pPr>
        <w:pStyle w:val="633"/>
        <w:rPr>
          <w:rFonts w:ascii="Arial" w:hAnsi="Arial" w:cs="Arial"/>
          <w:highlight w:val="none"/>
          <w:lang w:val="en"/>
        </w:rPr>
      </w:pPr>
      <w:r>
        <w:rPr>
          <w:rStyle w:val="634"/>
          <w:rFonts w:ascii="Arial" w:hAnsi="Arial" w:cs="Arial"/>
          <w:lang w:val="en"/>
        </w:rPr>
        <w:t xml:space="preserve">Generated Summary</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This study explores how renewable energy technologies enhance human development across 77 countries, focusing on the period from 2000 to 2019. Using the panel-corrected standard error (PCSE) model, it identifies a positive relationship between renewable en</w:t>
      </w:r>
      <w:r>
        <w:t xml:space="preserve">ergy adoption and human development dimensions, including health, education, and income. However, the study notes varying impacts between high- and middle-income countries. For example, hydropower negatively affects income in high-income nations, while in </w:t>
      </w:r>
      <w:r>
        <w:t xml:space="preserve">middle-income countries, the effects of renewable sources like solar, wind, and hydropower are less significant. The study emphasizes the need for tailored approaches to promote renewable energy to achieve sustainable development goals.</w:t>
      </w:r>
      <w:r>
        <w:rPr>
          <w:rFonts w:ascii="Arial" w:hAnsi="Arial" w:cs="Arial"/>
          <w:highlight w:val="none"/>
          <w:lang w:val="en"/>
        </w:rPr>
      </w:r>
      <w:r>
        <w:rPr>
          <w:rFonts w:ascii="Arial" w:hAnsi="Arial" w:cs="Arial"/>
          <w:highlight w:val="none"/>
          <w:lang w:val="en"/>
        </w:rPr>
      </w:r>
    </w:p>
    <w:p>
      <w:pPr>
        <w:pStyle w:val="617"/>
        <w:rPr>
          <w:rFonts w:ascii="Arial" w:hAnsi="Arial" w:cs="Arial" w:eastAsia="Times New Roman"/>
          <w:lang w:val="en"/>
        </w:rPr>
      </w:pPr>
      <w:r>
        <w:rPr>
          <w:rFonts w:ascii="Arial" w:hAnsi="Arial" w:cs="Arial" w:eastAsia="Times New Roman"/>
          <w:lang w:val="en"/>
        </w:rPr>
        <w:t xml:space="preserve">Iteration 1</w:t>
      </w:r>
      <w:r/>
    </w:p>
    <w:p>
      <w:pPr>
        <w:pStyle w:val="633"/>
        <w:rPr>
          <w:rFonts w:ascii="Arial" w:hAnsi="Arial" w:cs="Arial"/>
          <w:highlight w:val="none"/>
          <w:lang w:val="en"/>
        </w:rPr>
      </w:pPr>
      <w:r>
        <w:rPr>
          <w:rStyle w:val="634"/>
          <w:rFonts w:ascii="Arial" w:hAnsi="Arial" w:cs="Arial"/>
          <w:lang w:val="en"/>
        </w:rPr>
        <w:t xml:space="preserve">Description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The first iteration refines the initial summary by incorporating details about the research methodology and highlights the nuanced differences in the effects of renewable energy across income levels, emphasizing specific energy sources like hydropower, sol</w:t>
      </w:r>
      <w:r>
        <w:t xml:space="preserve">ar, and wind, and their varied impacts on human development.</w:t>
      </w:r>
      <w:r>
        <w:rPr>
          <w:rFonts w:ascii="Arial" w:hAnsi="Arial" w:cs="Arial"/>
          <w:highlight w:val="none"/>
          <w:lang w:val="en"/>
        </w:rPr>
      </w:r>
      <w:r>
        <w:rPr>
          <w:rFonts w:ascii="Arial" w:hAnsi="Arial" w:cs="Arial"/>
          <w:highlight w:val="none"/>
          <w:lang w:val="en"/>
        </w:rPr>
      </w:r>
    </w:p>
    <w:p>
      <w:pPr>
        <w:pStyle w:val="633"/>
      </w:pPr>
      <w:r>
        <w:rPr>
          <w:rFonts w:ascii="Arial" w:hAnsi="Arial" w:cs="Arial"/>
          <w:highlight w:val="none"/>
          <w:lang w:val="en"/>
        </w:rPr>
      </w:r>
      <w:r>
        <w:rPr>
          <w:rFonts w:ascii="Arial" w:hAnsi="Arial" w:cs="Arial"/>
          <w:highlight w:val="none"/>
          <w:lang w:val="en"/>
        </w:rPr>
      </w:r>
    </w:p>
    <w:p>
      <w:pPr>
        <w:pStyle w:val="633"/>
        <w:rPr>
          <w:rFonts w:ascii="Arial" w:hAnsi="Arial" w:cs="Arial"/>
          <w:highlight w:val="none"/>
          <w:lang w:val="en"/>
        </w:rPr>
      </w:pPr>
      <w:r>
        <w:rPr>
          <w:rStyle w:val="634"/>
          <w:rFonts w:ascii="Arial" w:hAnsi="Arial" w:cs="Arial"/>
          <w:lang w:val="en"/>
        </w:rPr>
        <w:t xml:space="preserve">Generated Summary </w:t>
      </w:r>
      <w:r>
        <w:rPr>
          <w:rFonts w:ascii="Arial" w:hAnsi="Arial" w:cs="Arial"/>
          <w:lang w:val="en"/>
        </w:rPr>
        <w:t xml:space="preserve">: </w:t>
      </w:r>
      <w:r/>
      <w:r/>
    </w:p>
    <w:p>
      <w:pPr>
        <w:pStyle w:val="633"/>
        <w:jc w:val="both"/>
        <w:spacing w:lineRule="auto" w:line="276"/>
        <w:rPr>
          <w:rFonts w:ascii="Arial" w:hAnsi="Arial" w:cs="Arial"/>
          <w:lang w:val="en"/>
        </w:rPr>
      </w:pPr>
      <w:r>
        <w:t xml:space="preserve">The paper analyzes the impact of renewable energy on human development across 77 countries, using the PCSE model to account for heteroscedasticity and serial correlation. The study confirms a positive relationship between renewable energy and human develop</w:t>
      </w:r>
      <w:r>
        <w:t xml:space="preserve">ment, especially in health, education, and income. However, the effects differ across income levels. Hydropower has a negative impact on income in high-income countries, while in middle-income nations, the effects of solar, wind, and hydropower are less pr</w:t>
      </w:r>
      <w:r>
        <w:t xml:space="preserve">onounced. The paper concludes with policy recommendations tailored to economic contexts, suggesting that renewable energy plays a crucial role in fostering sustainable development but requires region-specific approaches.</w:t>
      </w:r>
      <w:r>
        <w:rPr>
          <w:rFonts w:ascii="Arial" w:hAnsi="Arial" w:cs="Arial"/>
          <w:lang w:val="en"/>
        </w:rPr>
      </w:r>
      <w:r/>
    </w:p>
    <w:p>
      <w:pPr>
        <w:pStyle w:val="617"/>
        <w:rPr>
          <w:rFonts w:ascii="Arial" w:hAnsi="Arial" w:cs="Arial" w:eastAsia="Times New Roman"/>
          <w:lang w:val="en"/>
        </w:rPr>
      </w:pPr>
      <w:r>
        <w:rPr>
          <w:rFonts w:ascii="Arial" w:hAnsi="Arial" w:cs="Arial" w:eastAsia="Times New Roman"/>
          <w:lang w:val="en"/>
        </w:rPr>
        <w:t xml:space="preserve">Iteration 2</w:t>
      </w:r>
      <w:r/>
    </w:p>
    <w:p>
      <w:pPr>
        <w:pStyle w:val="633"/>
        <w:rPr>
          <w:rFonts w:ascii="Arial" w:hAnsi="Arial" w:cs="Arial"/>
          <w:highlight w:val="none"/>
          <w:lang w:val="en"/>
        </w:rPr>
      </w:pPr>
      <w:r>
        <w:rPr>
          <w:rStyle w:val="634"/>
          <w:rFonts w:ascii="Arial" w:hAnsi="Arial" w:cs="Arial"/>
          <w:lang w:val="en"/>
        </w:rPr>
        <w:t xml:space="preserve">Description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This section details the data and models used in the study, focusing on renewable energy consumption and human development metrics across 77 countries. The panel data approach, specifically the panel-corrected standard error (PCSE) model, is employed to ha</w:t>
      </w:r>
      <w:r>
        <w:t xml:space="preserve">ndle heteroscedasticity, serial correlations, and sectional dependencies. The Human Development Index (HDI) is calculated using indicators for health, education, and income.</w:t>
      </w:r>
      <w:r>
        <w:rPr>
          <w:rFonts w:ascii="Arial" w:hAnsi="Arial" w:cs="Arial"/>
          <w:highlight w:val="none"/>
          <w:lang w:val="en"/>
        </w:rPr>
      </w:r>
      <w:r>
        <w:rPr>
          <w:rFonts w:ascii="Arial" w:hAnsi="Arial" w:cs="Arial"/>
          <w:highlight w:val="none"/>
          <w:lang w:val="en"/>
        </w:rPr>
      </w:r>
    </w:p>
    <w:p>
      <w:pPr>
        <w:pStyle w:val="633"/>
        <w:jc w:val="both"/>
        <w:spacing w:lineRule="auto" w:line="276"/>
        <w:rPr>
          <w:rFonts w:ascii="Arial" w:hAnsi="Arial" w:cs="Arial"/>
          <w:highlight w:val="none"/>
          <w:lang w:val="en"/>
        </w:rPr>
      </w:pPr>
      <w:r>
        <w:rPr>
          <w:rStyle w:val="634"/>
          <w:rFonts w:ascii="Arial" w:hAnsi="Arial" w:cs="Arial"/>
          <w:lang w:val="en"/>
        </w:rPr>
        <w:t xml:space="preserve">Generated Summary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The study utilizes data from sources like the World Bank, IMF, and UNDP to analyze renewable energy's impact on human development from 2000 to 2019 across 77 countries. The Human Development Index (HDI) is measured through health (life expectancy), educati</w:t>
      </w:r>
      <w:r>
        <w:t xml:space="preserve">on (mean and expected years of schooling), and income (Gross National Income per capita). The panel-corrected standard error (PCSE) model is used to address issues such as heteroscedasticity and serial correlations. Renewable energy consumption is analyzed</w:t>
      </w:r>
      <w:r>
        <w:t xml:space="preserve"> through solar, wind, hydro, and other renewable sources. The study further examines how renewable energy influences the different dimensions of human development—health, education, and income.</w:t>
      </w:r>
      <w:r>
        <w:rPr>
          <w:rFonts w:ascii="Arial" w:hAnsi="Arial" w:cs="Arial"/>
          <w:highlight w:val="none"/>
          <w:lang w:val="en"/>
        </w:rPr>
      </w:r>
      <w:r>
        <w:rPr>
          <w:rFonts w:ascii="Arial" w:hAnsi="Arial" w:cs="Arial"/>
          <w:highlight w:val="none"/>
          <w:lang w:val="en"/>
        </w:rPr>
      </w:r>
    </w:p>
    <w:p>
      <w:pPr>
        <w:pStyle w:val="617"/>
        <w:jc w:val="both"/>
        <w:spacing w:lineRule="auto" w:line="276"/>
        <w:rPr>
          <w:rFonts w:ascii="Arial" w:hAnsi="Arial" w:cs="Arial" w:eastAsia="Times New Roman"/>
          <w:lang w:val="en"/>
        </w:rPr>
      </w:pPr>
      <w:r>
        <w:rPr>
          <w:rFonts w:ascii="Arial" w:hAnsi="Arial" w:cs="Arial" w:eastAsia="Times New Roman"/>
          <w:lang w:val="en"/>
        </w:rPr>
        <w:t xml:space="preserve">Final Prompt</w:t>
      </w:r>
      <w:r/>
    </w:p>
    <w:p>
      <w:pPr>
        <w:pStyle w:val="633"/>
        <w:jc w:val="both"/>
        <w:spacing w:lineRule="auto" w:line="276"/>
        <w:rPr>
          <w:rFonts w:ascii="Arial" w:hAnsi="Arial" w:cs="Arial"/>
          <w:highlight w:val="none"/>
          <w:lang w:val="en"/>
        </w:rPr>
      </w:pPr>
      <w:r>
        <w:rPr>
          <w:rStyle w:val="634"/>
          <w:rFonts w:ascii="Arial" w:hAnsi="Arial" w:cs="Arial"/>
          <w:lang w:val="en"/>
        </w:rPr>
        <w:t xml:space="preserve">Description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r>
        <w:t xml:space="preserve">This study analyzes the relationship between renewable energy consumption per capita and the Human Development Index (HDI) across 74 countries. It reveals that high-income nations like Hong Kong and Singapore show high human development with low renewable </w:t>
      </w:r>
      <w:r>
        <w:t xml:space="preserve">energy use, while other countries with higher renewable energy consumption also demonstrate elevated HDI. The study assesses how different renewable sources—solar, wind, hydro, and others—affect health, education, and income dimensions of human development</w:t>
      </w:r>
      <w:r>
        <w:rPr>
          <w:lang w:val="en-GB"/>
        </w:rPr>
        <w:t xml:space="preserve">.</w:t>
      </w:r>
      <w:r/>
      <w:r>
        <w:rPr>
          <w:rFonts w:ascii="Arial" w:hAnsi="Arial" w:cs="Arial"/>
          <w:highlight w:val="none"/>
          <w:lang w:val="en"/>
        </w:rPr>
      </w:r>
    </w:p>
    <w:p>
      <w:pPr>
        <w:pStyle w:val="633"/>
        <w:jc w:val="both"/>
        <w:spacing w:lineRule="auto" w:line="276"/>
        <w:rPr>
          <w:rFonts w:ascii="Arial" w:hAnsi="Arial" w:cs="Arial"/>
          <w:highlight w:val="none"/>
          <w:lang w:val="en"/>
        </w:rPr>
      </w:pPr>
      <w:r>
        <w:rPr>
          <w:rStyle w:val="634"/>
          <w:rFonts w:ascii="Arial" w:hAnsi="Arial" w:cs="Arial"/>
          <w:lang w:val="en"/>
        </w:rPr>
        <w:t xml:space="preserve">Generated Summary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The study explores the relationship between renewable energy consumption per capita and human development. While countries like Hong Kong and Singapore exhibit high human development with low renewable energy usage, developed nations with higher renewable </w:t>
      </w:r>
      <w:r>
        <w:t xml:space="preserve">energy consumption demonstrate stronger human development outcomes. Descriptive statistics show an average human development score of around 80%, with variations in renewable energy consumption across solar, wind, hydro, and other sources. The cross-sectio</w:t>
      </w:r>
      <w:r>
        <w:t xml:space="preserve">nal dependence test supports the use of a panel-corrected standard error (PCSE) model to estimate renewable energy’s impact on human development. Findings reveal a positive relationship between renewable energy sources and dimensions of human development (</w:t>
      </w:r>
      <w:r>
        <w:t xml:space="preserve">health, education, and income), especially in high-income countries. However, middle-income countries struggle with the high initial costs of renewable energy technologies, limiting their impact on human development.</w:t>
      </w:r>
      <w:r>
        <w:rPr>
          <w:rFonts w:ascii="Arial" w:hAnsi="Arial" w:cs="Arial"/>
          <w:highlight w:val="none"/>
          <w:lang w:val="en"/>
        </w:rPr>
      </w:r>
      <w:r>
        <w:rPr>
          <w:rFonts w:ascii="Arial" w:hAnsi="Arial" w:cs="Arial"/>
          <w:highlight w:val="none"/>
          <w:lang w:val="en"/>
        </w:rPr>
      </w:r>
    </w:p>
    <w:p>
      <w:pPr>
        <w:pStyle w:val="617"/>
        <w:rPr>
          <w:rFonts w:ascii="Arial" w:hAnsi="Arial" w:cs="Arial" w:eastAsia="Times New Roman"/>
          <w:lang w:val="en"/>
        </w:rPr>
      </w:pPr>
      <w:r>
        <w:rPr>
          <w:rFonts w:ascii="Arial" w:hAnsi="Arial" w:cs="Arial" w:eastAsia="Times New Roman"/>
          <w:lang w:val="en"/>
        </w:rPr>
        <w:t xml:space="preserve">Insights and Applications</w:t>
      </w:r>
      <w:r/>
    </w:p>
    <w:p>
      <w:pPr>
        <w:pStyle w:val="633"/>
        <w:rPr>
          <w:rFonts w:ascii="Arial" w:hAnsi="Arial" w:cs="Arial"/>
          <w:highlight w:val="none"/>
          <w:lang w:val="en"/>
        </w:rPr>
      </w:pPr>
      <w:r>
        <w:rPr>
          <w:rStyle w:val="634"/>
          <w:rFonts w:ascii="Arial" w:hAnsi="Arial" w:cs="Arial"/>
          <w:lang w:val="en"/>
        </w:rPr>
        <w:t xml:space="preserve">Key Insights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highlight w:val="none"/>
          <w:lang w:val="en"/>
        </w:rPr>
      </w:r>
      <w:r>
        <w:t xml:space="preserve">The study highlights that renewable energy consumption positively impacts human development, with notable variations between high-income and middle-income countries. High-income countries, despite lower renewable energy use, exhibit high human development </w:t>
      </w:r>
      <w:r>
        <w:t xml:space="preserve">levels, while those with higher renewable energy consumption also show improved HDI. The impact varies by energy source: solar, wind, and other renewables significantly enhance health, education, and income dimensions, whereas hydro energy shows mixed resu</w:t>
      </w:r>
      <w:r>
        <w:t xml:space="preserve">lts. High-income countries benefit more from renewable energy adoption, while middle-income countries face challenges due to high initial costs and technological constraints. The study underscores the importance of tailored renewable energy strategies and </w:t>
      </w:r>
      <w:r>
        <w:t xml:space="preserve">investments to balance costs and benefits, particularly in middle-income nations.</w:t>
      </w:r>
      <w:r>
        <w:rPr>
          <w:rFonts w:ascii="Arial" w:hAnsi="Arial" w:cs="Arial"/>
          <w:highlight w:val="none"/>
          <w:lang w:val="en"/>
        </w:rPr>
      </w:r>
      <w:r>
        <w:rPr>
          <w:rFonts w:ascii="Arial" w:hAnsi="Arial" w:cs="Arial"/>
          <w:highlight w:val="none"/>
          <w:lang w:val="en"/>
        </w:rPr>
      </w:r>
    </w:p>
    <w:p>
      <w:pPr>
        <w:pStyle w:val="633"/>
        <w:jc w:val="both"/>
        <w:spacing w:lineRule="auto" w:line="276"/>
      </w:pPr>
      <w:r>
        <w:rPr>
          <w:rStyle w:val="634"/>
          <w:rFonts w:ascii="Arial" w:hAnsi="Arial" w:cs="Arial"/>
          <w:lang w:val="en"/>
        </w:rPr>
        <w:t xml:space="preserve">Potential Applications </w:t>
      </w:r>
      <w:r>
        <w:rPr>
          <w:rFonts w:ascii="Arial" w:hAnsi="Arial" w:cs="Arial"/>
          <w:lang w:val="en"/>
        </w:rPr>
        <w:t xml:space="preserve">: </w:t>
      </w:r>
      <w:r/>
      <w:r/>
    </w:p>
    <w:p>
      <w:pPr>
        <w:pStyle w:val="633"/>
        <w:jc w:val="both"/>
        <w:spacing w:lineRule="auto" w:line="276"/>
        <w:rPr>
          <w:highlight w:val="none"/>
        </w:rPr>
      </w:pPr>
      <w:r>
        <w:t xml:space="preserve">These findings can guide policymakers and stakeholders in crafting targeted renewable energy policies that consider income levels and specific energy sources. For high-income countries, focusing on maintaining or increasing renewable energy adoption could </w:t>
      </w:r>
      <w:r>
        <w:t xml:space="preserve">further enhance human development dimensions. In contrast, middle-income countries may need financial and technological support to overcome initial barriers and fully leverage renewable energy benefits. The results suggest that investments in renewable ene</w:t>
      </w:r>
      <w:r>
        <w:t xml:space="preserve">rgy infrastructure should be accompanied by strategies to mitigate high initial costs and enhance technological capacity. Additionally, public awareness and support for renewable energy technologies can play a crucial role in successful implementation and </w:t>
      </w:r>
      <w:r>
        <w:t xml:space="preserve">maximizing human development outcomes.</w:t>
      </w:r>
      <w:r>
        <w:rPr>
          <w:rFonts w:ascii="Arial" w:hAnsi="Arial" w:cs="Arial"/>
          <w:lang w:val="en"/>
        </w:rPr>
      </w:r>
      <w:r/>
    </w:p>
    <w:p>
      <w:pPr>
        <w:pStyle w:val="633"/>
        <w:jc w:val="both"/>
        <w:spacing w:lineRule="auto" w:line="276"/>
        <w:rPr>
          <w:rFonts w:ascii="Arial" w:hAnsi="Arial" w:cs="Arial"/>
          <w:lang w:val="en"/>
        </w:rPr>
      </w:pPr>
      <w:r>
        <w:rPr>
          <w:rFonts w:ascii="Arial" w:hAnsi="Arial" w:cs="Arial"/>
          <w:lang w:val="en"/>
        </w:rPr>
      </w:r>
      <w:r>
        <w:rPr>
          <w:rFonts w:ascii="Arial" w:hAnsi="Arial" w:cs="Arial"/>
          <w:lang w:val="en"/>
        </w:rPr>
      </w:r>
    </w:p>
    <w:p>
      <w:pPr>
        <w:pStyle w:val="633"/>
        <w:jc w:val="both"/>
        <w:spacing w:lineRule="auto" w:line="276"/>
        <w:rPr>
          <w:rFonts w:ascii="Arial" w:hAnsi="Arial" w:cs="Arial"/>
          <w:lang w:val="en"/>
        </w:rPr>
      </w:pPr>
      <w:r>
        <w:rPr>
          <w:highlight w:val="none"/>
        </w:rPr>
      </w:r>
      <w:r>
        <w:rPr>
          <w:highlight w:val="none"/>
        </w:rPr>
      </w:r>
    </w:p>
    <w:p>
      <w:pPr>
        <w:pStyle w:val="617"/>
        <w:rPr>
          <w:rFonts w:ascii="Arial" w:hAnsi="Arial" w:cs="Arial" w:eastAsia="Times New Roman"/>
          <w:lang w:val="en"/>
        </w:rPr>
      </w:pPr>
      <w:r>
        <w:rPr>
          <w:rFonts w:ascii="Arial" w:hAnsi="Arial" w:cs="Arial" w:eastAsia="Times New Roman"/>
          <w:lang w:val="en"/>
        </w:rPr>
        <w:t xml:space="preserve">Evaluation</w:t>
      </w:r>
      <w:r/>
    </w:p>
    <w:p>
      <w:pPr>
        <w:pStyle w:val="633"/>
        <w:jc w:val="both"/>
        <w:spacing w:lineRule="auto" w:line="276"/>
        <w:rPr>
          <w:rFonts w:ascii="Arial" w:hAnsi="Arial" w:cs="Arial"/>
          <w:lang w:val="en"/>
        </w:rPr>
      </w:pPr>
      <w:r>
        <w:rPr>
          <w:rStyle w:val="634"/>
          <w:rFonts w:ascii="Arial" w:hAnsi="Arial" w:cs="Arial"/>
          <w:lang w:val="en"/>
        </w:rPr>
        <w:t xml:space="preserve">Clarity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lang w:val="en"/>
        </w:rPr>
      </w:r>
      <w:r>
        <w:t xml:space="preserve">The final summary and insights are clear and well-organized, effectively conveying the key findings and their implications. The explanation of the impact of renewable energy on human development is straightforward, though some technical terms and nuances m</w:t>
      </w:r>
      <w:r>
        <w:t xml:space="preserve">ay require additional context for complete clarity.</w:t>
      </w:r>
      <w:r>
        <w:rPr>
          <w:rFonts w:ascii="Arial" w:hAnsi="Arial" w:cs="Arial"/>
          <w:lang w:val="en"/>
        </w:rPr>
      </w:r>
      <w:r/>
    </w:p>
    <w:p>
      <w:pPr>
        <w:pStyle w:val="633"/>
        <w:jc w:val="both"/>
        <w:spacing w:lineRule="auto" w:line="276"/>
        <w:rPr>
          <w:rFonts w:ascii="Arial" w:hAnsi="Arial" w:cs="Arial"/>
          <w:lang w:val="en"/>
        </w:rPr>
      </w:pPr>
      <w:r>
        <w:rPr>
          <w:rStyle w:val="634"/>
          <w:rFonts w:ascii="Arial" w:hAnsi="Arial" w:cs="Arial"/>
          <w:lang w:val="en"/>
        </w:rPr>
        <w:t xml:space="preserve">Accuracy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lang w:val="en"/>
        </w:rPr>
      </w:r>
      <w:r>
        <w:t xml:space="preserve">The summary and insights accurately reflect the study's findings and conclusions. It correctly identifies the positive impacts of renewable energy on human development dimensions and acknowledges the variations based on income levels and specific energy so</w:t>
      </w:r>
      <w:r>
        <w:t xml:space="preserve">urces, aligning with the study's empirical results.</w:t>
      </w:r>
      <w:r>
        <w:rPr>
          <w:rFonts w:ascii="Arial" w:hAnsi="Arial" w:cs="Arial"/>
          <w:lang w:val="en"/>
        </w:rPr>
      </w:r>
      <w:r/>
    </w:p>
    <w:p>
      <w:pPr>
        <w:pStyle w:val="633"/>
        <w:jc w:val="both"/>
        <w:spacing w:lineRule="auto" w:line="276"/>
        <w:rPr>
          <w:rFonts w:ascii="Arial" w:hAnsi="Arial" w:cs="Arial"/>
          <w:lang w:val="en"/>
        </w:rPr>
      </w:pPr>
      <w:r>
        <w:rPr>
          <w:rStyle w:val="634"/>
          <w:rFonts w:ascii="Arial" w:hAnsi="Arial" w:cs="Arial"/>
          <w:lang w:val="en"/>
        </w:rPr>
        <w:t xml:space="preserve">Relevance </w:t>
      </w:r>
      <w:r>
        <w:rPr>
          <w:rFonts w:ascii="Arial" w:hAnsi="Arial" w:cs="Arial"/>
          <w:lang w:val="en"/>
        </w:rPr>
        <w:t xml:space="preserve">: </w:t>
      </w:r>
      <w:r/>
    </w:p>
    <w:p>
      <w:pPr>
        <w:pStyle w:val="633"/>
        <w:jc w:val="both"/>
        <w:spacing w:lineRule="auto" w:line="276"/>
        <w:rPr>
          <w:rFonts w:ascii="Arial" w:hAnsi="Arial" w:cs="Arial"/>
          <w:lang w:val="en"/>
        </w:rPr>
      </w:pPr>
      <w:r>
        <w:rPr>
          <w:rFonts w:ascii="Arial" w:hAnsi="Arial" w:cs="Arial"/>
          <w:lang w:val="en"/>
        </w:rPr>
      </w:r>
      <w:r>
        <w:t xml:space="preserve">The insights and applications are highly relevant, addressing the critical relationship between renewable energy and human development. They provide actionable recommendations for policymakers and underscore the importance of context-specific approaches, m</w:t>
      </w:r>
      <w:r>
        <w:t xml:space="preserve">aking the information applicable to current debates on sustainable development and energy policy.</w:t>
      </w:r>
      <w:r>
        <w:rPr>
          <w:rFonts w:ascii="Arial" w:hAnsi="Arial" w:cs="Arial"/>
          <w:lang w:val="en"/>
        </w:rPr>
      </w:r>
      <w:r/>
    </w:p>
    <w:p>
      <w:pPr>
        <w:pStyle w:val="617"/>
        <w:rPr>
          <w:rFonts w:ascii="Arial" w:hAnsi="Arial" w:cs="Arial" w:eastAsia="Times New Roman"/>
          <w:lang w:val="en"/>
        </w:rPr>
      </w:pPr>
      <w:r>
        <w:rPr>
          <w:rFonts w:ascii="Arial" w:hAnsi="Arial" w:cs="Arial" w:eastAsia="Times New Roman"/>
          <w:lang w:val="en"/>
        </w:rPr>
        <w:t xml:space="preserve">Reflection</w:t>
      </w:r>
      <w:r/>
    </w:p>
    <w:p>
      <w:pPr>
        <w:ind w:left="0" w:right="0" w:firstLine="0"/>
        <w:jc w:val="both"/>
        <w:spacing w:lineRule="auto" w:line="276" w:after="240" w:before="240"/>
        <w:pBdr>
          <w:left w:val="none" w:color="000000" w:sz="4" w:space="0"/>
          <w:top w:val="none" w:color="000000" w:sz="4" w:space="0"/>
          <w:right w:val="none" w:color="000000" w:sz="4" w:space="0"/>
          <w:bottom w:val="none" w:color="000000" w:sz="4" w:space="0"/>
        </w:pBdr>
      </w:pPr>
      <w:r>
        <w:t xml:space="preserve">Exploring the intersection of renewable energy and human development has been a profound learning experience. The study reinforced the crucial role renewable energy plays in sustainable social and economic development by mitigating the environmental damage</w:t>
      </w:r>
      <w:r>
        <w:t xml:space="preserve"> caused by fossil fuels. However, it also highlighted significant challenges, such as high initial costs and technical complexities, that can impede the transition to renewable energy.</w:t>
      </w:r>
      <w:r/>
    </w:p>
    <w:p>
      <w:pPr>
        <w:ind w:left="0" w:right="0" w:firstLine="0"/>
        <w:jc w:val="both"/>
        <w:spacing w:lineRule="auto" w:line="276" w:after="240" w:before="240"/>
        <w:pBdr>
          <w:left w:val="none" w:color="000000" w:sz="4" w:space="0"/>
          <w:top w:val="none" w:color="000000" w:sz="4" w:space="0"/>
          <w:right w:val="none" w:color="000000" w:sz="4" w:space="0"/>
          <w:bottom w:val="none" w:color="000000" w:sz="4" w:space="0"/>
        </w:pBdr>
      </w:pPr>
      <w:r>
        <w:t xml:space="preserve">The empirical analysis provided valuable insights into how different types of renewable energy sources impact human development dimensions, including health, education, and income. The findings confirmed that while renewable energy generally enhances human</w:t>
      </w:r>
      <w:r>
        <w:t xml:space="preserve"> development, its effects vary by income level and energy source. High-income countries benefit more readily from renewable energy adoption due to existing infrastructure and financial resources, whereas middle-income countries face barriers that limit the</w:t>
      </w:r>
      <w:r>
        <w:t xml:space="preserve"> impact of renewable energy. The negative impact of hydro energy on income in high-income countries was particularly surprising and underscored the need for nuanced approaches.</w:t>
      </w:r>
      <w:r/>
    </w:p>
    <w:p>
      <w:pPr>
        <w:ind w:left="0" w:right="0" w:firstLine="0"/>
        <w:jc w:val="both"/>
        <w:spacing w:lineRule="auto" w:line="276" w:after="240" w:before="240"/>
        <w:pBdr>
          <w:left w:val="none" w:color="000000" w:sz="4" w:space="0"/>
          <w:top w:val="none" w:color="000000" w:sz="4" w:space="0"/>
          <w:right w:val="none" w:color="000000" w:sz="4" w:space="0"/>
          <w:bottom w:val="none" w:color="000000" w:sz="4" w:space="0"/>
        </w:pBdr>
      </w:pPr>
      <w:r>
        <w:t xml:space="preserve">The study's focus on a range of renewable energy sources and its examination of varying impacts across different income groups provided a comprehensive understanding of the complexities involved. It highlighted the importance of tailoring renewable energy </w:t>
      </w:r>
      <w:r>
        <w:t xml:space="preserve">strategies to specific country contexts and emphasized the need for supporting policies and investments.</w:t>
      </w:r>
      <w:r/>
    </w:p>
    <w:p>
      <w:pPr>
        <w:ind w:left="0" w:right="0" w:firstLine="0"/>
        <w:jc w:val="both"/>
        <w:spacing w:lineRule="auto" w:line="276" w:after="240" w:before="240"/>
        <w:pBdr>
          <w:left w:val="none" w:color="000000" w:sz="4" w:space="0"/>
          <w:top w:val="none" w:color="000000" w:sz="4" w:space="0"/>
          <w:right w:val="none" w:color="000000" w:sz="4" w:space="0"/>
          <w:bottom w:val="none" w:color="000000" w:sz="4" w:space="0"/>
        </w:pBdr>
      </w:pPr>
      <w:r>
        <w:t xml:space="preserve">Despite its limitations, such as the exclusion of data from African countries and the period before the COVID-19 pandemic, the study offers critical insights for policymakers. It suggests prioritizing investments in solar, wind, and other renewable project</w:t>
      </w:r>
      <w:r>
        <w:t xml:space="preserve">s while also considering the specific needs and circumstances of different countries. Future research could build on these findings by including more countries and examining the pandemic's impact on renewable energy and human development.</w:t>
      </w:r>
      <w:r/>
    </w:p>
    <w:p>
      <w:pPr>
        <w:pStyle w:val="633"/>
        <w:rPr>
          <w:rFonts w:ascii="Arial" w:hAnsi="Arial" w:cs="Arial"/>
          <w:lang w:val="en"/>
        </w:rPr>
      </w:pPr>
      <w:r>
        <w:rPr>
          <w:rStyle w:val="634"/>
          <w:rFonts w:ascii="Arial" w:hAnsi="Arial" w:cs="Arial"/>
          <w:lang w:val="en"/>
        </w:rPr>
      </w:r>
      <w:r/>
    </w:p>
    <w:p>
      <w:pPr>
        <w:pStyle w:val="633"/>
        <w:rPr>
          <w:rFonts w:ascii="Arial" w:hAnsi="Arial" w:cs="Arial"/>
          <w:lang w:val="en"/>
        </w:rPr>
      </w:pPr>
      <w:r>
        <w:rPr>
          <w:rFonts w:ascii="Arial" w:hAnsi="Arial" w:cs="Arial"/>
          <w:lang w:val="en"/>
        </w:r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IN" w:bidi="ar-SA" w:eastAsia="en-GB"/>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
    <w:name w:val="Heading 7"/>
    <w:basedOn w:val="614"/>
    <w:next w:val="61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21"/>
    <w:link w:val="23"/>
    <w:uiPriority w:val="9"/>
    <w:rPr>
      <w:rFonts w:ascii="Arial" w:hAnsi="Arial" w:cs="Arial" w:eastAsia="Arial"/>
      <w:b/>
      <w:bCs/>
      <w:i/>
      <w:iCs/>
      <w:sz w:val="22"/>
      <w:szCs w:val="22"/>
    </w:rPr>
  </w:style>
  <w:style w:type="paragraph" w:styleId="25">
    <w:name w:val="Heading 8"/>
    <w:basedOn w:val="614"/>
    <w:next w:val="61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21"/>
    <w:link w:val="25"/>
    <w:uiPriority w:val="9"/>
    <w:rPr>
      <w:rFonts w:ascii="Arial" w:hAnsi="Arial" w:cs="Arial" w:eastAsia="Arial"/>
      <w:i/>
      <w:iCs/>
      <w:sz w:val="22"/>
      <w:szCs w:val="22"/>
    </w:rPr>
  </w:style>
  <w:style w:type="paragraph" w:styleId="27">
    <w:name w:val="Heading 9"/>
    <w:basedOn w:val="614"/>
    <w:next w:val="61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21"/>
    <w:link w:val="27"/>
    <w:uiPriority w:val="9"/>
    <w:rPr>
      <w:rFonts w:ascii="Arial" w:hAnsi="Arial" w:cs="Arial" w:eastAsia="Arial"/>
      <w:i/>
      <w:iCs/>
      <w:sz w:val="21"/>
      <w:szCs w:val="21"/>
    </w:rPr>
  </w:style>
  <w:style w:type="paragraph" w:styleId="29">
    <w:name w:val="List Paragraph"/>
    <w:basedOn w:val="614"/>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14"/>
    <w:next w:val="614"/>
    <w:link w:val="33"/>
    <w:qFormat/>
    <w:uiPriority w:val="10"/>
    <w:rPr>
      <w:sz w:val="48"/>
      <w:szCs w:val="48"/>
    </w:rPr>
    <w:pPr>
      <w:contextualSpacing w:val="true"/>
      <w:spacing w:after="200" w:before="300"/>
    </w:pPr>
  </w:style>
  <w:style w:type="character" w:styleId="33">
    <w:name w:val="Title Char"/>
    <w:basedOn w:val="621"/>
    <w:link w:val="32"/>
    <w:uiPriority w:val="10"/>
    <w:rPr>
      <w:sz w:val="48"/>
      <w:szCs w:val="48"/>
    </w:rPr>
  </w:style>
  <w:style w:type="paragraph" w:styleId="34">
    <w:name w:val="Subtitle"/>
    <w:basedOn w:val="614"/>
    <w:next w:val="614"/>
    <w:link w:val="35"/>
    <w:qFormat/>
    <w:uiPriority w:val="11"/>
    <w:rPr>
      <w:sz w:val="24"/>
      <w:szCs w:val="24"/>
    </w:rPr>
    <w:pPr>
      <w:spacing w:after="200" w:before="200"/>
    </w:pPr>
  </w:style>
  <w:style w:type="character" w:styleId="35">
    <w:name w:val="Subtitle Char"/>
    <w:basedOn w:val="621"/>
    <w:link w:val="34"/>
    <w:uiPriority w:val="11"/>
    <w:rPr>
      <w:sz w:val="24"/>
      <w:szCs w:val="24"/>
    </w:rPr>
  </w:style>
  <w:style w:type="paragraph" w:styleId="36">
    <w:name w:val="Quote"/>
    <w:basedOn w:val="614"/>
    <w:next w:val="614"/>
    <w:link w:val="37"/>
    <w:qFormat/>
    <w:uiPriority w:val="29"/>
    <w:rPr>
      <w:i/>
    </w:rPr>
    <w:pPr>
      <w:ind w:left="720" w:right="720"/>
    </w:pPr>
  </w:style>
  <w:style w:type="character" w:styleId="37">
    <w:name w:val="Quote Char"/>
    <w:link w:val="36"/>
    <w:uiPriority w:val="29"/>
    <w:rPr>
      <w:i/>
    </w:rPr>
  </w:style>
  <w:style w:type="paragraph" w:styleId="38">
    <w:name w:val="Intense Quote"/>
    <w:basedOn w:val="614"/>
    <w:next w:val="614"/>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14"/>
    <w:link w:val="41"/>
    <w:uiPriority w:val="99"/>
    <w:unhideWhenUsed/>
    <w:pPr>
      <w:spacing w:lineRule="auto" w:line="240" w:after="0"/>
      <w:tabs>
        <w:tab w:val="center" w:pos="7143" w:leader="none"/>
        <w:tab w:val="right" w:pos="14287" w:leader="none"/>
      </w:tabs>
    </w:pPr>
  </w:style>
  <w:style w:type="character" w:styleId="41">
    <w:name w:val="Header Char"/>
    <w:basedOn w:val="621"/>
    <w:link w:val="40"/>
    <w:uiPriority w:val="99"/>
  </w:style>
  <w:style w:type="paragraph" w:styleId="42">
    <w:name w:val="Footer"/>
    <w:basedOn w:val="614"/>
    <w:link w:val="45"/>
    <w:uiPriority w:val="99"/>
    <w:unhideWhenUsed/>
    <w:pPr>
      <w:spacing w:lineRule="auto" w:line="240" w:after="0"/>
      <w:tabs>
        <w:tab w:val="center" w:pos="7143" w:leader="none"/>
        <w:tab w:val="right" w:pos="14287" w:leader="none"/>
      </w:tabs>
    </w:pPr>
  </w:style>
  <w:style w:type="character" w:styleId="43">
    <w:name w:val="Footer Char"/>
    <w:basedOn w:val="621"/>
    <w:link w:val="42"/>
    <w:uiPriority w:val="99"/>
  </w:style>
  <w:style w:type="paragraph" w:styleId="44">
    <w:name w:val="Caption"/>
    <w:basedOn w:val="614"/>
    <w:next w:val="614"/>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62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2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2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2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2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2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2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2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2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2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2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2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1B7CA4" w:themeColor="accent1" w:themeTint="80" w:themeShade="95"/>
      </w:rPr>
    </w:tblStylePr>
    <w:tblStylePr w:type="firstRow">
      <w:rPr>
        <w:b/>
        <w:color w:val="1B7CA4" w:themeColor="accent1" w:themeTint="80" w:themeShade="95"/>
      </w:rPr>
      <w:tcPr>
        <w:tcBorders>
          <w:bottom w:val="single" w:color="000000" w:sz="12" w:space="0" w:themeColor="accent1" w:themeTint="80"/>
        </w:tcBorders>
      </w:tcPr>
    </w:tblStylePr>
    <w:tblStylePr w:type="lastCol">
      <w:rPr>
        <w:b/>
        <w:color w:val="1B7CA4" w:themeColor="accent1" w:themeTint="80" w:themeShade="95"/>
      </w:rPr>
    </w:tblStylePr>
    <w:tblStylePr w:type="lastRow">
      <w:rPr>
        <w:b/>
        <w:color w:val="1B7CA4"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sz="12" w:space="0" w:themeColor="accent2" w:themeTint="97"/>
        </w:tcBorders>
      </w:tcPr>
    </w:tblStylePr>
    <w:tblStylePr w:type="lastCol">
      <w:rPr>
        <w:b/>
        <w:color w:val="C34F16" w:themeColor="accent2" w:themeTint="97" w:themeShade="95"/>
      </w:rPr>
    </w:tblStylePr>
    <w:tblStylePr w:type="lastRow">
      <w:rPr>
        <w:b/>
        <w:color w:val="C34F16"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2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0E3F14" w:themeColor="accent3" w:themeTint="FE" w:themeShade="95"/>
      </w:rPr>
    </w:tblStylePr>
    <w:tblStylePr w:type="firstRow">
      <w:rPr>
        <w:b/>
        <w:color w:val="0E3F14" w:themeColor="accent3" w:themeTint="FE" w:themeShade="95"/>
      </w:rPr>
      <w:tcPr>
        <w:tcBorders>
          <w:bottom w:val="single" w:color="000000" w:sz="12" w:space="0" w:themeColor="accent3" w:themeTint="FE"/>
        </w:tcBorders>
      </w:tcPr>
    </w:tblStylePr>
    <w:tblStylePr w:type="lastCol">
      <w:rPr>
        <w:b/>
        <w:color w:val="0E3F14" w:themeColor="accent3" w:themeTint="FE" w:themeShade="95"/>
      </w:rPr>
    </w:tblStylePr>
    <w:tblStylePr w:type="lastRow">
      <w:rPr>
        <w:b/>
        <w:color w:val="0E3F14"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sz="12" w:space="0" w:themeColor="accent4" w:themeTint="9A"/>
        </w:tcBorders>
      </w:tcPr>
    </w:tblStylePr>
    <w:tblStylePr w:type="lastCol">
      <w:rPr>
        <w:b/>
        <w:color w:val="0D8AB8" w:themeColor="accent4" w:themeTint="9A" w:themeShade="95"/>
      </w:rPr>
    </w:tblStylePr>
    <w:tblStylePr w:type="lastRow">
      <w:rPr>
        <w:b/>
        <w:color w:val="0D8AB8"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2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sz="12" w:space="0" w:themeColor="accent5"/>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2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sz="12" w:space="0" w:themeColor="accent6"/>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5">
    <w:name w:val="Grid Table 7 Colorful"/>
    <w:basedOn w:val="62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2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1B7CA4"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1B7CA4" w:themeColor="accent1" w:themeTint="80" w:themeShade="95"/>
        <w:sz w:val="22"/>
      </w:rPr>
    </w:tblStylePr>
    <w:tblStylePr w:type="firstCol">
      <w:rPr>
        <w:rFonts w:ascii="Arial" w:hAnsi="Arial"/>
        <w:i/>
        <w:color w:val="1B7CA4"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1B7CA4"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1B7CA4"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1B7CA4"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2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34F16"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34F16"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34F16"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34F16"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2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0E3F14"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0E3F14" w:themeColor="accent3" w:themeTint="FE" w:themeShade="95"/>
        <w:sz w:val="22"/>
      </w:rPr>
    </w:tblStylePr>
    <w:tblStylePr w:type="firstCol">
      <w:rPr>
        <w:rFonts w:ascii="Arial" w:hAnsi="Arial"/>
        <w:i/>
        <w:color w:val="0E3F14"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0E3F14"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0E3F14"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0E3F14"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2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0D8AB8"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0D8AB8"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0D8AB8"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0D8AB8"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2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5C1955"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5C1955" w:themeColor="accent5" w:themeShade="95"/>
        <w:sz w:val="22"/>
      </w:rPr>
    </w:tblStylePr>
    <w:tblStylePr w:type="firstCol">
      <w:rPr>
        <w:rFonts w:ascii="Arial" w:hAnsi="Arial"/>
        <w:i/>
        <w:color w:val="5C1955"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5C1955"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5C1955"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5C1955"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2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2E611A"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2E611A" w:themeColor="accent6" w:themeShade="95"/>
        <w:sz w:val="22"/>
      </w:rPr>
    </w:tblStylePr>
    <w:tblStylePr w:type="firstCol">
      <w:rPr>
        <w:rFonts w:ascii="Arial" w:hAnsi="Arial"/>
        <w:i/>
        <w:color w:val="2E611A"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2E611A"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2E611A"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2E611A"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22"/>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22"/>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2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22"/>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22"/>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22"/>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22"/>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2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2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2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2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2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2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2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2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2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2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2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2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2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2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2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2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2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2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2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2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2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2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2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2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2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2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0C394B" w:themeColor="accent1" w:themeShade="95"/>
      </w:rPr>
    </w:tblStylePr>
    <w:tblStylePr w:type="firstRow">
      <w:rPr>
        <w:b/>
        <w:color w:val="0C394B" w:themeColor="accent1" w:themeShade="95"/>
      </w:rPr>
      <w:tcPr>
        <w:tcBorders>
          <w:bottom w:val="single" w:color="000000" w:sz="4" w:space="0" w:themeColor="accent1"/>
        </w:tcBorders>
      </w:tcPr>
    </w:tblStylePr>
    <w:tblStylePr w:type="lastCol">
      <w:rPr>
        <w:b/>
        <w:color w:val="0C394B" w:themeColor="accent1" w:themeShade="95"/>
      </w:rPr>
    </w:tblStylePr>
    <w:tblStylePr w:type="lastRow">
      <w:rPr>
        <w:b/>
        <w:color w:val="0C394B" w:themeColor="accent1" w:themeShade="95"/>
      </w:rPr>
      <w:tcPr>
        <w:tcBorders>
          <w:top w:val="single" w:color="000000" w:sz="4" w:space="0" w:themeColor="accent1"/>
        </w:tcBorders>
      </w:tcPr>
    </w:tblStylePr>
  </w:style>
  <w:style w:type="table" w:styleId="139">
    <w:name w:val="List Table 6 Colorful - Accent 2"/>
    <w:basedOn w:val="62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sz="4" w:space="0" w:themeColor="accent2" w:themeTint="97"/>
        </w:tcBorders>
      </w:tcPr>
    </w:tblStylePr>
    <w:tblStylePr w:type="lastCol">
      <w:rPr>
        <w:b/>
        <w:color w:val="C34F16" w:themeColor="accent2" w:themeTint="97" w:themeShade="95"/>
      </w:rPr>
    </w:tblStylePr>
    <w:tblStylePr w:type="lastRow">
      <w:rPr>
        <w:b/>
        <w:color w:val="C34F16" w:themeColor="accent2" w:themeTint="97" w:themeShade="95"/>
      </w:rPr>
      <w:tcPr>
        <w:tcBorders>
          <w:top w:val="single" w:color="000000" w:sz="4" w:space="0" w:themeColor="accent2" w:themeTint="97"/>
        </w:tcBorders>
      </w:tcPr>
    </w:tblStylePr>
  </w:style>
  <w:style w:type="table" w:styleId="140">
    <w:name w:val="List Table 6 Colorful - Accent 3"/>
    <w:basedOn w:val="62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1F842B" w:themeColor="accent3" w:themeTint="98" w:themeShade="95"/>
      </w:rPr>
    </w:tblStylePr>
    <w:tblStylePr w:type="firstRow">
      <w:rPr>
        <w:b/>
        <w:color w:val="1F842B" w:themeColor="accent3" w:themeTint="98" w:themeShade="95"/>
      </w:rPr>
      <w:tcPr>
        <w:tcBorders>
          <w:bottom w:val="single" w:color="000000" w:sz="4" w:space="0" w:themeColor="accent3" w:themeTint="98"/>
        </w:tcBorders>
      </w:tcPr>
    </w:tblStylePr>
    <w:tblStylePr w:type="lastCol">
      <w:rPr>
        <w:b/>
        <w:color w:val="1F842B" w:themeColor="accent3" w:themeTint="98" w:themeShade="95"/>
      </w:rPr>
    </w:tblStylePr>
    <w:tblStylePr w:type="lastRow">
      <w:rPr>
        <w:b/>
        <w:color w:val="1F842B" w:themeColor="accent3" w:themeTint="98" w:themeShade="95"/>
      </w:rPr>
      <w:tcPr>
        <w:tcBorders>
          <w:top w:val="single" w:color="000000" w:sz="4" w:space="0" w:themeColor="accent3" w:themeTint="98"/>
        </w:tcBorders>
      </w:tcPr>
    </w:tblStylePr>
  </w:style>
  <w:style w:type="table" w:styleId="141">
    <w:name w:val="List Table 6 Colorful - Accent 4"/>
    <w:basedOn w:val="62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sz="4" w:space="0" w:themeColor="accent4" w:themeTint="9A"/>
        </w:tcBorders>
      </w:tcPr>
    </w:tblStylePr>
    <w:tblStylePr w:type="lastCol">
      <w:rPr>
        <w:b/>
        <w:color w:val="0D8AB8" w:themeColor="accent4" w:themeTint="9A" w:themeShade="95"/>
      </w:rPr>
    </w:tblStylePr>
    <w:tblStylePr w:type="lastRow">
      <w:rPr>
        <w:b/>
        <w:color w:val="0D8AB8" w:themeColor="accent4" w:themeTint="9A" w:themeShade="95"/>
      </w:rPr>
      <w:tcPr>
        <w:tcBorders>
          <w:top w:val="single" w:color="000000" w:sz="4" w:space="0" w:themeColor="accent4" w:themeTint="9A"/>
        </w:tcBorders>
      </w:tcPr>
    </w:tblStylePr>
  </w:style>
  <w:style w:type="table" w:styleId="142">
    <w:name w:val="List Table 6 Colorful - Accent 5"/>
    <w:basedOn w:val="62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932888" w:themeColor="accent5" w:themeTint="9A" w:themeShade="95"/>
      </w:rPr>
    </w:tblStylePr>
    <w:tblStylePr w:type="firstRow">
      <w:rPr>
        <w:b/>
        <w:color w:val="932888" w:themeColor="accent5" w:themeTint="9A" w:themeShade="95"/>
      </w:rPr>
      <w:tcPr>
        <w:tcBorders>
          <w:bottom w:val="single" w:color="000000" w:sz="4" w:space="0" w:themeColor="accent5" w:themeTint="9A"/>
        </w:tcBorders>
      </w:tcPr>
    </w:tblStylePr>
    <w:tblStylePr w:type="lastCol">
      <w:rPr>
        <w:b/>
        <w:color w:val="932888" w:themeColor="accent5" w:themeTint="9A" w:themeShade="95"/>
      </w:rPr>
    </w:tblStylePr>
    <w:tblStylePr w:type="lastRow">
      <w:rPr>
        <w:b/>
        <w:color w:val="932888" w:themeColor="accent5" w:themeTint="9A" w:themeShade="95"/>
      </w:rPr>
      <w:tcPr>
        <w:tcBorders>
          <w:top w:val="single" w:color="000000" w:sz="4" w:space="0" w:themeColor="accent5" w:themeTint="9A"/>
        </w:tcBorders>
      </w:tcPr>
    </w:tblStylePr>
  </w:style>
  <w:style w:type="table" w:styleId="143">
    <w:name w:val="List Table 6 Colorful - Accent 6"/>
    <w:basedOn w:val="62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4B952A" w:themeColor="accent6" w:themeTint="98" w:themeShade="95"/>
      </w:rPr>
    </w:tblStylePr>
    <w:tblStylePr w:type="firstRow">
      <w:rPr>
        <w:b/>
        <w:color w:val="4B952A" w:themeColor="accent6" w:themeTint="98" w:themeShade="95"/>
      </w:rPr>
      <w:tcPr>
        <w:tcBorders>
          <w:bottom w:val="single" w:color="000000" w:sz="4" w:space="0" w:themeColor="accent6" w:themeTint="98"/>
        </w:tcBorders>
      </w:tcPr>
    </w:tblStylePr>
    <w:tblStylePr w:type="lastCol">
      <w:rPr>
        <w:b/>
        <w:color w:val="4B952A" w:themeColor="accent6" w:themeTint="98" w:themeShade="95"/>
      </w:rPr>
    </w:tblStylePr>
    <w:tblStylePr w:type="lastRow">
      <w:rPr>
        <w:b/>
        <w:color w:val="4B952A" w:themeColor="accent6" w:themeTint="98" w:themeShade="95"/>
      </w:rPr>
      <w:tcPr>
        <w:tcBorders>
          <w:top w:val="single" w:color="000000" w:sz="4" w:space="0" w:themeColor="accent6" w:themeTint="98"/>
        </w:tcBorders>
      </w:tcPr>
    </w:tblStylePr>
  </w:style>
  <w:style w:type="table" w:styleId="144">
    <w:name w:val="List Table 7 Colorful"/>
    <w:basedOn w:val="62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2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C394B"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0C394B" w:themeColor="accent1" w:themeShade="95"/>
        <w:sz w:val="22"/>
      </w:rPr>
    </w:tblStylePr>
    <w:tblStylePr w:type="firstCol">
      <w:rPr>
        <w:rFonts w:ascii="Arial" w:hAnsi="Arial"/>
        <w:i/>
        <w:color w:val="0C394B"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0C394B"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0C394B"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0C394B"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0C394B" w:themeColor="accent1" w:themeShade="95"/>
        <w:sz w:val="22"/>
      </w:rPr>
    </w:tblStylePr>
  </w:style>
  <w:style w:type="table" w:styleId="146">
    <w:name w:val="List Table 7 Colorful - Accent 2"/>
    <w:basedOn w:val="62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34F16"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34F16"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34F16"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34F16"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34F16" w:themeColor="accent2" w:themeTint="97" w:themeShade="95"/>
        <w:sz w:val="22"/>
      </w:rPr>
    </w:tblStylePr>
  </w:style>
  <w:style w:type="table" w:styleId="147">
    <w:name w:val="List Table 7 Colorful - Accent 3"/>
    <w:basedOn w:val="62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1F842B"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1F842B" w:themeColor="accent3" w:themeTint="98" w:themeShade="95"/>
        <w:sz w:val="22"/>
      </w:rPr>
    </w:tblStylePr>
    <w:tblStylePr w:type="firstCol">
      <w:rPr>
        <w:rFonts w:ascii="Arial" w:hAnsi="Arial"/>
        <w:i/>
        <w:color w:val="1F842B"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1F842B"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1F842B"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1F842B"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1F842B" w:themeColor="accent3" w:themeTint="98" w:themeShade="95"/>
        <w:sz w:val="22"/>
      </w:rPr>
    </w:tblStylePr>
  </w:style>
  <w:style w:type="table" w:styleId="148">
    <w:name w:val="List Table 7 Colorful - Accent 4"/>
    <w:basedOn w:val="62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0D8AB8"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0D8AB8"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0D8AB8"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0D8AB8"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0D8AB8" w:themeColor="accent4" w:themeTint="9A" w:themeShade="95"/>
        <w:sz w:val="22"/>
      </w:rPr>
    </w:tblStylePr>
  </w:style>
  <w:style w:type="table" w:styleId="149">
    <w:name w:val="List Table 7 Colorful - Accent 5"/>
    <w:basedOn w:val="62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932888"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932888" w:themeColor="accent5" w:themeTint="9A" w:themeShade="95"/>
        <w:sz w:val="22"/>
      </w:rPr>
    </w:tblStylePr>
    <w:tblStylePr w:type="firstCol">
      <w:rPr>
        <w:rFonts w:ascii="Arial" w:hAnsi="Arial"/>
        <w:i/>
        <w:color w:val="932888"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932888"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932888"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932888"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932888" w:themeColor="accent5" w:themeTint="9A" w:themeShade="95"/>
        <w:sz w:val="22"/>
      </w:rPr>
    </w:tblStylePr>
  </w:style>
  <w:style w:type="table" w:styleId="150">
    <w:name w:val="List Table 7 Colorful - Accent 6"/>
    <w:basedOn w:val="62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4B952A"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B952A" w:themeColor="accent6" w:themeTint="98" w:themeShade="95"/>
        <w:sz w:val="22"/>
      </w:rPr>
    </w:tblStylePr>
    <w:tblStylePr w:type="firstCol">
      <w:rPr>
        <w:rFonts w:ascii="Arial" w:hAnsi="Arial"/>
        <w:i/>
        <w:color w:val="4B952A"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4B952A"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4B952A"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4B952A"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4B952A" w:themeColor="accent6" w:themeTint="98" w:themeShade="95"/>
        <w:sz w:val="22"/>
      </w:rPr>
    </w:tblStylePr>
  </w:style>
  <w:style w:type="table" w:styleId="151">
    <w:name w:val="Lined - Accent"/>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2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2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2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2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2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2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2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2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1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21"/>
    <w:uiPriority w:val="99"/>
    <w:unhideWhenUsed/>
    <w:rPr>
      <w:vertAlign w:val="superscript"/>
    </w:rPr>
  </w:style>
  <w:style w:type="paragraph" w:styleId="176">
    <w:name w:val="endnote text"/>
    <w:basedOn w:val="61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21"/>
    <w:uiPriority w:val="99"/>
    <w:semiHidden/>
    <w:unhideWhenUsed/>
    <w:rPr>
      <w:vertAlign w:val="superscript"/>
    </w:rPr>
  </w:style>
  <w:style w:type="paragraph" w:styleId="179">
    <w:name w:val="toc 1"/>
    <w:basedOn w:val="614"/>
    <w:next w:val="614"/>
    <w:uiPriority w:val="39"/>
    <w:unhideWhenUsed/>
    <w:pPr>
      <w:ind w:left="0" w:right="0" w:firstLine="0"/>
      <w:spacing w:after="57"/>
    </w:pPr>
  </w:style>
  <w:style w:type="paragraph" w:styleId="180">
    <w:name w:val="toc 2"/>
    <w:basedOn w:val="614"/>
    <w:next w:val="614"/>
    <w:uiPriority w:val="39"/>
    <w:unhideWhenUsed/>
    <w:pPr>
      <w:ind w:left="283" w:right="0" w:firstLine="0"/>
      <w:spacing w:after="57"/>
    </w:pPr>
  </w:style>
  <w:style w:type="paragraph" w:styleId="181">
    <w:name w:val="toc 3"/>
    <w:basedOn w:val="614"/>
    <w:next w:val="614"/>
    <w:uiPriority w:val="39"/>
    <w:unhideWhenUsed/>
    <w:pPr>
      <w:ind w:left="567" w:right="0" w:firstLine="0"/>
      <w:spacing w:after="57"/>
    </w:pPr>
  </w:style>
  <w:style w:type="paragraph" w:styleId="182">
    <w:name w:val="toc 4"/>
    <w:basedOn w:val="614"/>
    <w:next w:val="614"/>
    <w:uiPriority w:val="39"/>
    <w:unhideWhenUsed/>
    <w:pPr>
      <w:ind w:left="850" w:right="0" w:firstLine="0"/>
      <w:spacing w:after="57"/>
    </w:pPr>
  </w:style>
  <w:style w:type="paragraph" w:styleId="183">
    <w:name w:val="toc 5"/>
    <w:basedOn w:val="614"/>
    <w:next w:val="614"/>
    <w:uiPriority w:val="39"/>
    <w:unhideWhenUsed/>
    <w:pPr>
      <w:ind w:left="1134" w:right="0" w:firstLine="0"/>
      <w:spacing w:after="57"/>
    </w:pPr>
  </w:style>
  <w:style w:type="paragraph" w:styleId="184">
    <w:name w:val="toc 6"/>
    <w:basedOn w:val="614"/>
    <w:next w:val="614"/>
    <w:uiPriority w:val="39"/>
    <w:unhideWhenUsed/>
    <w:pPr>
      <w:ind w:left="1417" w:right="0" w:firstLine="0"/>
      <w:spacing w:after="57"/>
    </w:pPr>
  </w:style>
  <w:style w:type="paragraph" w:styleId="185">
    <w:name w:val="toc 7"/>
    <w:basedOn w:val="614"/>
    <w:next w:val="614"/>
    <w:uiPriority w:val="39"/>
    <w:unhideWhenUsed/>
    <w:pPr>
      <w:ind w:left="1701" w:right="0" w:firstLine="0"/>
      <w:spacing w:after="57"/>
    </w:pPr>
  </w:style>
  <w:style w:type="paragraph" w:styleId="186">
    <w:name w:val="toc 8"/>
    <w:basedOn w:val="614"/>
    <w:next w:val="614"/>
    <w:uiPriority w:val="39"/>
    <w:unhideWhenUsed/>
    <w:pPr>
      <w:ind w:left="1984" w:right="0" w:firstLine="0"/>
      <w:spacing w:after="57"/>
    </w:pPr>
  </w:style>
  <w:style w:type="paragraph" w:styleId="187">
    <w:name w:val="toc 9"/>
    <w:basedOn w:val="614"/>
    <w:next w:val="61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4"/>
    <w:next w:val="614"/>
    <w:uiPriority w:val="99"/>
    <w:unhideWhenUsed/>
    <w:pPr>
      <w:spacing w:after="0" w:afterAutospacing="0"/>
    </w:pPr>
  </w:style>
  <w:style w:type="paragraph" w:styleId="614" w:default="1">
    <w:name w:val="Normal"/>
    <w:qFormat/>
    <w:rPr>
      <w:rFonts w:eastAsiaTheme="minorEastAsia"/>
      <w:sz w:val="24"/>
      <w:szCs w:val="24"/>
    </w:rPr>
  </w:style>
  <w:style w:type="paragraph" w:styleId="615">
    <w:name w:val="Heading 1"/>
    <w:basedOn w:val="614"/>
    <w:link w:val="624"/>
    <w:qFormat/>
    <w:uiPriority w:val="9"/>
    <w:rPr>
      <w:b/>
      <w:bCs/>
      <w:color w:val="333333"/>
      <w:sz w:val="48"/>
      <w:szCs w:val="48"/>
    </w:rPr>
    <w:pPr>
      <w:spacing w:after="100" w:afterAutospacing="1" w:before="100" w:beforeAutospacing="1"/>
      <w:outlineLvl w:val="0"/>
    </w:pPr>
  </w:style>
  <w:style w:type="paragraph" w:styleId="616">
    <w:name w:val="Heading 2"/>
    <w:basedOn w:val="614"/>
    <w:link w:val="625"/>
    <w:qFormat/>
    <w:uiPriority w:val="9"/>
    <w:rPr>
      <w:b/>
      <w:bCs/>
      <w:color w:val="333333"/>
      <w:sz w:val="36"/>
      <w:szCs w:val="36"/>
    </w:rPr>
    <w:pPr>
      <w:spacing w:after="100" w:afterAutospacing="1" w:before="100" w:beforeAutospacing="1"/>
      <w:outlineLvl w:val="1"/>
    </w:pPr>
  </w:style>
  <w:style w:type="paragraph" w:styleId="617">
    <w:name w:val="Heading 3"/>
    <w:basedOn w:val="614"/>
    <w:link w:val="626"/>
    <w:qFormat/>
    <w:uiPriority w:val="9"/>
    <w:rPr>
      <w:b/>
      <w:bCs/>
      <w:color w:val="333333"/>
      <w:sz w:val="27"/>
      <w:szCs w:val="27"/>
    </w:rPr>
    <w:pPr>
      <w:spacing w:after="100" w:afterAutospacing="1" w:before="100" w:beforeAutospacing="1"/>
      <w:outlineLvl w:val="2"/>
    </w:pPr>
  </w:style>
  <w:style w:type="paragraph" w:styleId="618">
    <w:name w:val="Heading 4"/>
    <w:basedOn w:val="614"/>
    <w:link w:val="627"/>
    <w:qFormat/>
    <w:uiPriority w:val="9"/>
    <w:rPr>
      <w:b/>
      <w:bCs/>
      <w:color w:val="333333"/>
    </w:rPr>
    <w:pPr>
      <w:spacing w:after="100" w:afterAutospacing="1" w:before="100" w:beforeAutospacing="1"/>
      <w:outlineLvl w:val="3"/>
    </w:pPr>
  </w:style>
  <w:style w:type="paragraph" w:styleId="619">
    <w:name w:val="Heading 5"/>
    <w:basedOn w:val="614"/>
    <w:link w:val="628"/>
    <w:qFormat/>
    <w:uiPriority w:val="9"/>
    <w:rPr>
      <w:b/>
      <w:bCs/>
      <w:color w:val="333333"/>
      <w:sz w:val="20"/>
      <w:szCs w:val="20"/>
    </w:rPr>
    <w:pPr>
      <w:spacing w:after="100" w:afterAutospacing="1" w:before="100" w:beforeAutospacing="1"/>
      <w:outlineLvl w:val="4"/>
    </w:pPr>
  </w:style>
  <w:style w:type="paragraph" w:styleId="620">
    <w:name w:val="Heading 6"/>
    <w:basedOn w:val="614"/>
    <w:link w:val="629"/>
    <w:qFormat/>
    <w:uiPriority w:val="9"/>
    <w:rPr>
      <w:b/>
      <w:bCs/>
      <w:color w:val="333333"/>
      <w:sz w:val="15"/>
      <w:szCs w:val="15"/>
    </w:rPr>
    <w:pPr>
      <w:spacing w:after="100" w:afterAutospacing="1" w:before="100" w:beforeAutospacing="1"/>
      <w:outlineLvl w:val="5"/>
    </w:pPr>
  </w:style>
  <w:style w:type="character" w:styleId="621" w:default="1">
    <w:name w:val="Default Paragraph Font"/>
    <w:uiPriority w:val="1"/>
    <w:semiHidden/>
    <w:unhideWhenUsed/>
  </w:style>
  <w:style w:type="table" w:styleId="622" w:default="1">
    <w:name w:val="Normal Table"/>
    <w:uiPriority w:val="99"/>
    <w:semiHidden/>
    <w:unhideWhenUsed/>
    <w:tblPr>
      <w:tblInd w:w="0" w:type="dxa"/>
      <w:tblCellMar>
        <w:left w:w="108" w:type="dxa"/>
        <w:top w:w="0" w:type="dxa"/>
        <w:right w:w="108" w:type="dxa"/>
        <w:bottom w:w="0" w:type="dxa"/>
      </w:tblCellMar>
    </w:tblPr>
  </w:style>
  <w:style w:type="numbering" w:styleId="623" w:default="1">
    <w:name w:val="No List"/>
    <w:uiPriority w:val="99"/>
    <w:semiHidden/>
    <w:unhideWhenUsed/>
  </w:style>
  <w:style w:type="character" w:styleId="624" w:customStyle="1">
    <w:name w:val="Heading 1 Char"/>
    <w:basedOn w:val="621"/>
    <w:link w:val="615"/>
    <w:uiPriority w:val="9"/>
    <w:rPr>
      <w:rFonts w:asciiTheme="majorHAnsi" w:hAnsiTheme="majorHAnsi" w:eastAsiaTheme="majorEastAsia" w:cstheme="majorBidi"/>
      <w:color w:val="0F4761" w:themeColor="accent1" w:themeShade="BF"/>
      <w:sz w:val="40"/>
      <w:szCs w:val="40"/>
    </w:rPr>
  </w:style>
  <w:style w:type="character" w:styleId="625" w:customStyle="1">
    <w:name w:val="Heading 2 Char"/>
    <w:basedOn w:val="621"/>
    <w:link w:val="616"/>
    <w:uiPriority w:val="9"/>
    <w:semiHidden/>
    <w:rPr>
      <w:rFonts w:asciiTheme="majorHAnsi" w:hAnsiTheme="majorHAnsi" w:eastAsiaTheme="majorEastAsia" w:cstheme="majorBidi"/>
      <w:color w:val="0F4761" w:themeColor="accent1" w:themeShade="BF"/>
      <w:sz w:val="32"/>
      <w:szCs w:val="32"/>
    </w:rPr>
  </w:style>
  <w:style w:type="character" w:styleId="626" w:customStyle="1">
    <w:name w:val="Heading 3 Char"/>
    <w:basedOn w:val="621"/>
    <w:link w:val="617"/>
    <w:uiPriority w:val="9"/>
    <w:semiHidden/>
    <w:rPr>
      <w:rFonts w:asciiTheme="minorHAnsi" w:hAnsiTheme="minorHAnsi" w:eastAsiaTheme="majorEastAsia" w:cstheme="majorBidi"/>
      <w:color w:val="0F4761" w:themeColor="accent1" w:themeShade="BF"/>
      <w:sz w:val="28"/>
      <w:szCs w:val="28"/>
    </w:rPr>
  </w:style>
  <w:style w:type="character" w:styleId="627" w:customStyle="1">
    <w:name w:val="Heading 4 Char"/>
    <w:basedOn w:val="621"/>
    <w:link w:val="618"/>
    <w:uiPriority w:val="9"/>
    <w:semiHidden/>
    <w:rPr>
      <w:rFonts w:asciiTheme="minorHAnsi" w:hAnsiTheme="minorHAnsi" w:eastAsiaTheme="majorEastAsia" w:cstheme="majorBidi"/>
      <w:i/>
      <w:iCs/>
      <w:color w:val="0F4761" w:themeColor="accent1" w:themeShade="BF"/>
      <w:sz w:val="24"/>
      <w:szCs w:val="24"/>
    </w:rPr>
  </w:style>
  <w:style w:type="character" w:styleId="628" w:customStyle="1">
    <w:name w:val="Heading 5 Char"/>
    <w:basedOn w:val="621"/>
    <w:link w:val="619"/>
    <w:uiPriority w:val="9"/>
    <w:semiHidden/>
    <w:rPr>
      <w:rFonts w:asciiTheme="minorHAnsi" w:hAnsiTheme="minorHAnsi" w:eastAsiaTheme="majorEastAsia" w:cstheme="majorBidi"/>
      <w:color w:val="0F4761" w:themeColor="accent1" w:themeShade="BF"/>
      <w:sz w:val="24"/>
      <w:szCs w:val="24"/>
    </w:rPr>
  </w:style>
  <w:style w:type="character" w:styleId="629" w:customStyle="1">
    <w:name w:val="Heading 6 Char"/>
    <w:basedOn w:val="621"/>
    <w:link w:val="620"/>
    <w:uiPriority w:val="9"/>
    <w:semiHidden/>
    <w:rPr>
      <w:rFonts w:asciiTheme="minorHAnsi" w:hAnsiTheme="minorHAnsi" w:eastAsiaTheme="majorEastAsia" w:cstheme="majorBidi"/>
      <w:i/>
      <w:iCs/>
      <w:color w:val="595959" w:themeColor="text1" w:themeTint="A6"/>
      <w:sz w:val="24"/>
      <w:szCs w:val="24"/>
    </w:rPr>
  </w:style>
  <w:style w:type="paragraph" w:styleId="630" w:customStyle="1">
    <w:name w:val="msonormal"/>
    <w:basedOn w:val="614"/>
    <w:pPr>
      <w:spacing w:after="100" w:afterAutospacing="1" w:before="100" w:beforeAutospacing="1"/>
    </w:pPr>
  </w:style>
  <w:style w:type="paragraph" w:styleId="631" w:customStyle="1">
    <w:name w:val="container"/>
    <w:basedOn w:val="614"/>
    <w:pPr>
      <w:spacing w:after="100" w:afterAutospacing="1" w:before="100" w:beforeAutospacing="1"/>
    </w:pPr>
  </w:style>
  <w:style w:type="paragraph" w:styleId="632" w:customStyle="1">
    <w:name w:val="section"/>
    <w:basedOn w:val="614"/>
    <w:pPr>
      <w:spacing w:after="300" w:before="100" w:beforeAutospacing="1"/>
    </w:pPr>
  </w:style>
  <w:style w:type="paragraph" w:styleId="633">
    <w:name w:val="Normal (Web)"/>
    <w:basedOn w:val="614"/>
    <w:uiPriority w:val="99"/>
    <w:semiHidden/>
    <w:unhideWhenUsed/>
    <w:pPr>
      <w:spacing w:after="100" w:afterAutospacing="1" w:before="100" w:beforeAutospacing="1"/>
    </w:pPr>
  </w:style>
  <w:style w:type="character" w:styleId="634">
    <w:name w:val="Strong"/>
    <w:basedOn w:val="621"/>
    <w:qFormat/>
    <w:uiPriority w:val="22"/>
    <w:rPr>
      <w:b/>
      <w:bCs/>
    </w:rPr>
  </w:style>
  <w:style w:type="character" w:styleId="635">
    <w:name w:val="Hyperlink"/>
    <w:basedOn w:val="621"/>
    <w:uiPriority w:val="99"/>
    <w:semiHidden/>
    <w:unhideWhenUsed/>
    <w:rPr>
      <w:color w:val="0000FF"/>
      <w:u w:val="single"/>
    </w:rPr>
  </w:style>
  <w:style w:type="character" w:styleId="636">
    <w:name w:val="FollowedHyperlink"/>
    <w:basedOn w:val="621"/>
    <w:uiPriority w:val="99"/>
    <w:semiHidden/>
    <w:unhideWhenUsed/>
    <w:rPr>
      <w:color w:val="800080"/>
      <w:u w:val="single"/>
    </w:rPr>
  </w:style>
  <w:style w:type="character" w:styleId="637">
    <w:name w:val="HTML Code"/>
    <w:basedOn w:val="621"/>
    <w:uiPriority w:val="99"/>
    <w:semiHidden/>
    <w:unhideWhenUsed/>
    <w:rPr>
      <w:rFonts w:ascii="Courier New" w:hAnsi="Courier New" w:cs="Courier New" w:eastAsiaTheme="minorEastAsia"/>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doi.org/10.1016/j.cscee.2023.100496"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revision>4</cp:revision>
  <dcterms:created xsi:type="dcterms:W3CDTF">2024-08-11T10:13:00Z</dcterms:created>
  <dcterms:modified xsi:type="dcterms:W3CDTF">2024-09-13T12:25:51Z</dcterms:modified>
</cp:coreProperties>
</file>