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7365D"/>
          <w:sz w:val="60"/>
        </w:rPr>
        <w:t>PQC-SECURE</w:t>
      </w:r>
    </w:p>
    <w:p>
      <w:pPr>
        <w:jc w:val="center"/>
      </w:pPr>
      <w:r>
        <w:rPr>
          <w:b/>
          <w:color w:val="1F4E79"/>
          <w:sz w:val="38"/>
        </w:rPr>
        <w:t>Software Requirements Specification</w:t>
      </w:r>
    </w:p>
    <w:p>
      <w:pPr>
        <w:spacing w:before="360"/>
        <w:jc w:val="center"/>
      </w:pPr>
      <w:r>
        <w:rPr>
          <w:sz w:val="26"/>
        </w:rPr>
        <w:t>Post-Quantum Secure File-Sharing System</w:t>
      </w:r>
    </w:p>
    <w:p>
      <w:pPr>
        <w:spacing w:before="900"/>
        <w:jc w:val="center"/>
      </w:pPr>
      <w:r>
        <w:rPr>
          <w:sz w:val="20"/>
        </w:rPr>
        <w:t>Version 1.0</w:t>
        <w:br/>
        <w:t>Date: 02 October 2026</w:t>
        <w:br/>
        <w:t>Document status: Proposed / Hackathon and academic prototype</w:t>
      </w:r>
    </w:p>
    <w:p>
      <w:pPr>
        <w:spacing w:before="1500"/>
        <w:jc w:val="center"/>
      </w:pPr>
      <w:r>
        <w:rPr>
          <w:i/>
        </w:rPr>
        <w:t>Prepared as a comprehensive baseline specification. Project-specific names, team details, and deployment constraints may be updated.</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rial" w:hAnsi="Arial"/>
                <w:b/>
                <w:color w:val="FFFFFF"/>
                <w:sz w:val="17"/>
              </w:rPr>
              <w:t>Field</w:t>
            </w:r>
          </w:p>
        </w:tc>
        <w:tc>
          <w:tcPr>
            <w:tcW w:type="dxa" w:w="4968"/>
            <w:vAlign w:val="center"/>
            <w:shd w:fill="17365D"/>
          </w:tcPr>
          <w:p>
            <w:pPr>
              <w:spacing w:after="20"/>
            </w:pPr>
            <w:r/>
            <w:r>
              <w:rPr>
                <w:rFonts w:ascii="Arial" w:hAnsi="Arial"/>
                <w:b/>
                <w:color w:val="FFFFFF"/>
                <w:sz w:val="17"/>
              </w:rPr>
              <w:t>Value</w:t>
            </w:r>
          </w:p>
        </w:tc>
      </w:tr>
      <w:tr>
        <w:tc>
          <w:tcPr>
            <w:tcW w:type="dxa" w:w="4968"/>
            <w:vAlign w:val="center"/>
          </w:tcPr>
          <w:p>
            <w:pPr>
              <w:spacing w:after="20"/>
            </w:pPr>
            <w:r/>
            <w:r>
              <w:rPr>
                <w:rFonts w:ascii="Arial" w:hAnsi="Arial"/>
                <w:b w:val="0"/>
                <w:sz w:val="16"/>
              </w:rPr>
              <w:t>Document title</w:t>
            </w:r>
          </w:p>
        </w:tc>
        <w:tc>
          <w:tcPr>
            <w:tcW w:type="dxa" w:w="4968"/>
            <w:vAlign w:val="center"/>
          </w:tcPr>
          <w:p>
            <w:pPr>
              <w:spacing w:after="20"/>
            </w:pPr>
            <w:r/>
            <w:r>
              <w:rPr>
                <w:rFonts w:ascii="Arial" w:hAnsi="Arial"/>
                <w:b w:val="0"/>
                <w:sz w:val="16"/>
              </w:rPr>
              <w:t>PQC-Secure Software Requirements Specification</w:t>
            </w:r>
          </w:p>
        </w:tc>
      </w:tr>
      <w:tr>
        <w:tc>
          <w:tcPr>
            <w:tcW w:type="dxa" w:w="4968"/>
            <w:vAlign w:val="center"/>
          </w:tcPr>
          <w:p>
            <w:pPr>
              <w:spacing w:after="20"/>
            </w:pPr>
            <w:r/>
            <w:r>
              <w:rPr>
                <w:rFonts w:ascii="Arial" w:hAnsi="Arial"/>
                <w:b w:val="0"/>
                <w:sz w:val="16"/>
              </w:rPr>
              <w:t>System</w:t>
            </w:r>
          </w:p>
        </w:tc>
        <w:tc>
          <w:tcPr>
            <w:tcW w:type="dxa" w:w="4968"/>
            <w:vAlign w:val="center"/>
          </w:tcPr>
          <w:p>
            <w:pPr>
              <w:spacing w:after="20"/>
            </w:pPr>
            <w:r/>
            <w:r>
              <w:rPr>
                <w:rFonts w:ascii="Arial" w:hAnsi="Arial"/>
                <w:b w:val="0"/>
                <w:sz w:val="16"/>
              </w:rPr>
              <w:t>Post-Quantum Secure File-Sharing System</w:t>
            </w:r>
          </w:p>
        </w:tc>
      </w:tr>
      <w:tr>
        <w:tc>
          <w:tcPr>
            <w:tcW w:type="dxa" w:w="4968"/>
            <w:vAlign w:val="center"/>
          </w:tcPr>
          <w:p>
            <w:pPr>
              <w:spacing w:after="20"/>
            </w:pPr>
            <w:r/>
            <w:r>
              <w:rPr>
                <w:rFonts w:ascii="Arial" w:hAnsi="Arial"/>
                <w:b w:val="0"/>
                <w:sz w:val="16"/>
              </w:rPr>
              <w:t>Version</w:t>
            </w:r>
          </w:p>
        </w:tc>
        <w:tc>
          <w:tcPr>
            <w:tcW w:type="dxa" w:w="4968"/>
            <w:vAlign w:val="center"/>
          </w:tcPr>
          <w:p>
            <w:pPr>
              <w:spacing w:after="20"/>
            </w:pPr>
            <w:r/>
            <w:r>
              <w:rPr>
                <w:rFonts w:ascii="Arial" w:hAnsi="Arial"/>
                <w:b w:val="0"/>
                <w:sz w:val="16"/>
              </w:rPr>
              <w:t>1.0</w:t>
            </w:r>
          </w:p>
        </w:tc>
      </w:tr>
      <w:tr>
        <w:tc>
          <w:tcPr>
            <w:tcW w:type="dxa" w:w="4968"/>
            <w:vAlign w:val="center"/>
          </w:tcPr>
          <w:p>
            <w:pPr>
              <w:spacing w:after="20"/>
            </w:pPr>
            <w:r/>
            <w:r>
              <w:rPr>
                <w:rFonts w:ascii="Arial" w:hAnsi="Arial"/>
                <w:b w:val="0"/>
                <w:sz w:val="16"/>
              </w:rPr>
              <w:t>Date</w:t>
            </w:r>
          </w:p>
        </w:tc>
        <w:tc>
          <w:tcPr>
            <w:tcW w:type="dxa" w:w="4968"/>
            <w:vAlign w:val="center"/>
          </w:tcPr>
          <w:p>
            <w:pPr>
              <w:spacing w:after="20"/>
            </w:pPr>
            <w:r/>
            <w:r>
              <w:rPr>
                <w:rFonts w:ascii="Arial" w:hAnsi="Arial"/>
                <w:b w:val="0"/>
                <w:sz w:val="16"/>
              </w:rPr>
              <w:t>02 October 2026</w:t>
            </w:r>
          </w:p>
        </w:tc>
      </w:tr>
      <w:tr>
        <w:tc>
          <w:tcPr>
            <w:tcW w:type="dxa" w:w="4968"/>
            <w:vAlign w:val="center"/>
          </w:tcPr>
          <w:p>
            <w:pPr>
              <w:spacing w:after="20"/>
            </w:pPr>
            <w:r/>
            <w:r>
              <w:rPr>
                <w:rFonts w:ascii="Arial" w:hAnsi="Arial"/>
                <w:b w:val="0"/>
                <w:sz w:val="16"/>
              </w:rPr>
              <w:t>Status</w:t>
            </w:r>
          </w:p>
        </w:tc>
        <w:tc>
          <w:tcPr>
            <w:tcW w:type="dxa" w:w="4968"/>
            <w:vAlign w:val="center"/>
          </w:tcPr>
          <w:p>
            <w:pPr>
              <w:spacing w:after="20"/>
            </w:pPr>
            <w:r/>
            <w:r>
              <w:rPr>
                <w:rFonts w:ascii="Arial" w:hAnsi="Arial"/>
                <w:b w:val="0"/>
                <w:sz w:val="16"/>
              </w:rPr>
              <w:t>Proposed baseline</w:t>
            </w:r>
          </w:p>
        </w:tc>
      </w:tr>
      <w:tr>
        <w:tc>
          <w:tcPr>
            <w:tcW w:type="dxa" w:w="4968"/>
            <w:vAlign w:val="center"/>
          </w:tcPr>
          <w:p>
            <w:pPr>
              <w:spacing w:after="20"/>
            </w:pPr>
            <w:r/>
            <w:r>
              <w:rPr>
                <w:rFonts w:ascii="Arial" w:hAnsi="Arial"/>
                <w:b w:val="0"/>
                <w:sz w:val="16"/>
              </w:rPr>
              <w:t>Intended audience</w:t>
            </w:r>
          </w:p>
        </w:tc>
        <w:tc>
          <w:tcPr>
            <w:tcW w:type="dxa" w:w="4968"/>
            <w:vAlign w:val="center"/>
          </w:tcPr>
          <w:p>
            <w:pPr>
              <w:spacing w:after="20"/>
            </w:pPr>
            <w:r/>
            <w:r>
              <w:rPr>
                <w:rFonts w:ascii="Arial" w:hAnsi="Arial"/>
                <w:b w:val="0"/>
                <w:sz w:val="16"/>
              </w:rPr>
              <w:t>Project team, developers, testers, reviewers, academic evaluators, and system stakeholders</w:t>
            </w:r>
          </w:p>
        </w:tc>
      </w:tr>
      <w:tr>
        <w:tc>
          <w:tcPr>
            <w:tcW w:type="dxa" w:w="4968"/>
            <w:vAlign w:val="center"/>
          </w:tcPr>
          <w:p>
            <w:pPr>
              <w:spacing w:after="20"/>
            </w:pPr>
            <w:r/>
            <w:r>
              <w:rPr>
                <w:rFonts w:ascii="Arial" w:hAnsi="Arial"/>
                <w:b w:val="0"/>
                <w:sz w:val="16"/>
              </w:rPr>
              <w:t>Primary implementation</w:t>
            </w:r>
          </w:p>
        </w:tc>
        <w:tc>
          <w:tcPr>
            <w:tcW w:type="dxa" w:w="4968"/>
            <w:vAlign w:val="center"/>
          </w:tcPr>
          <w:p>
            <w:pPr>
              <w:spacing w:after="20"/>
            </w:pPr>
            <w:r/>
            <w:r>
              <w:rPr>
                <w:rFonts w:ascii="Arial" w:hAnsi="Arial"/>
                <w:b w:val="0"/>
                <w:sz w:val="16"/>
              </w:rPr>
              <w:t>Python FastAPI backend with React frontend</w:t>
            </w:r>
          </w:p>
        </w:tc>
      </w:tr>
      <w:tr>
        <w:tc>
          <w:tcPr>
            <w:tcW w:type="dxa" w:w="4968"/>
            <w:vAlign w:val="center"/>
          </w:tcPr>
          <w:p>
            <w:pPr>
              <w:spacing w:after="20"/>
            </w:pPr>
            <w:r/>
            <w:r>
              <w:rPr>
                <w:rFonts w:ascii="Arial" w:hAnsi="Arial"/>
                <w:b w:val="0"/>
                <w:sz w:val="16"/>
              </w:rPr>
              <w:t>Cryptographic baseline</w:t>
            </w:r>
          </w:p>
        </w:tc>
        <w:tc>
          <w:tcPr>
            <w:tcW w:type="dxa" w:w="4968"/>
            <w:vAlign w:val="center"/>
          </w:tcPr>
          <w:p>
            <w:pPr>
              <w:spacing w:after="20"/>
            </w:pPr>
            <w:r/>
            <w:r>
              <w:rPr>
                <w:rFonts w:ascii="Arial" w:hAnsi="Arial"/>
                <w:b w:val="0"/>
                <w:sz w:val="16"/>
              </w:rPr>
              <w:t>ML-KEM-768, ML-DSA-65, AES-256-GCM, and HKDF; classical comparison mode using X25519 and Ed25519</w:t>
            </w:r>
          </w:p>
        </w:tc>
      </w:tr>
      <w:tr>
        <w:tc>
          <w:tcPr>
            <w:tcW w:type="dxa" w:w="4968"/>
            <w:vAlign w:val="center"/>
          </w:tcPr>
          <w:p>
            <w:pPr>
              <w:spacing w:after="20"/>
            </w:pPr>
            <w:r/>
            <w:r>
              <w:rPr>
                <w:rFonts w:ascii="Arial" w:hAnsi="Arial"/>
                <w:b w:val="0"/>
                <w:sz w:val="16"/>
              </w:rPr>
              <w:t>Approval</w:t>
            </w:r>
          </w:p>
        </w:tc>
        <w:tc>
          <w:tcPr>
            <w:tcW w:type="dxa" w:w="4968"/>
            <w:vAlign w:val="center"/>
          </w:tcPr>
          <w:p>
            <w:pPr>
              <w:spacing w:after="20"/>
            </w:pPr>
            <w:r/>
            <w:r>
              <w:rPr>
                <w:rFonts w:ascii="Arial" w:hAnsi="Arial"/>
                <w:b w:val="0"/>
                <w:sz w:val="16"/>
              </w:rPr>
              <w:t>To be completed by project supervisor / team</w:t>
            </w:r>
          </w:p>
        </w:tc>
      </w:tr>
    </w:tbl>
    <w:p/>
    <w:p>
      <w:pPr>
        <w:pStyle w:val="Heading2"/>
        <w:keepNext/>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rial" w:hAnsi="Arial"/>
                <w:b/>
                <w:color w:val="FFFFFF"/>
                <w:sz w:val="17"/>
              </w:rPr>
              <w:t>Version</w:t>
            </w:r>
          </w:p>
        </w:tc>
        <w:tc>
          <w:tcPr>
            <w:tcW w:type="dxa" w:w="2484"/>
            <w:vAlign w:val="center"/>
            <w:shd w:fill="17365D"/>
          </w:tcPr>
          <w:p>
            <w:pPr>
              <w:spacing w:after="20"/>
            </w:pPr>
            <w:r/>
            <w:r>
              <w:rPr>
                <w:rFonts w:ascii="Arial" w:hAnsi="Arial"/>
                <w:b/>
                <w:color w:val="FFFFFF"/>
                <w:sz w:val="17"/>
              </w:rPr>
              <w:t>Date</w:t>
            </w:r>
          </w:p>
        </w:tc>
        <w:tc>
          <w:tcPr>
            <w:tcW w:type="dxa" w:w="2484"/>
            <w:vAlign w:val="center"/>
            <w:shd w:fill="17365D"/>
          </w:tcPr>
          <w:p>
            <w:pPr>
              <w:spacing w:after="20"/>
            </w:pPr>
            <w:r/>
            <w:r>
              <w:rPr>
                <w:rFonts w:ascii="Arial" w:hAnsi="Arial"/>
                <w:b/>
                <w:color w:val="FFFFFF"/>
                <w:sz w:val="17"/>
              </w:rPr>
              <w:t>Description</w:t>
            </w:r>
          </w:p>
        </w:tc>
        <w:tc>
          <w:tcPr>
            <w:tcW w:type="dxa" w:w="2484"/>
            <w:vAlign w:val="center"/>
            <w:shd w:fill="17365D"/>
          </w:tcPr>
          <w:p>
            <w:pPr>
              <w:spacing w:after="20"/>
            </w:pPr>
            <w:r/>
            <w:r>
              <w:rPr>
                <w:rFonts w:ascii="Arial" w:hAnsi="Arial"/>
                <w:b/>
                <w:color w:val="FFFFFF"/>
                <w:sz w:val="17"/>
              </w:rPr>
              <w:t>Author</w:t>
            </w:r>
          </w:p>
        </w:tc>
      </w:tr>
      <w:tr>
        <w:tc>
          <w:tcPr>
            <w:tcW w:type="dxa" w:w="2484"/>
            <w:vAlign w:val="center"/>
          </w:tcPr>
          <w:p>
            <w:pPr>
              <w:spacing w:after="20"/>
            </w:pPr>
            <w:r/>
            <w:r>
              <w:rPr>
                <w:rFonts w:ascii="Arial" w:hAnsi="Arial"/>
                <w:b w:val="0"/>
                <w:sz w:val="16"/>
              </w:rPr>
              <w:t>1.0</w:t>
            </w:r>
          </w:p>
        </w:tc>
        <w:tc>
          <w:tcPr>
            <w:tcW w:type="dxa" w:w="2484"/>
            <w:vAlign w:val="center"/>
          </w:tcPr>
          <w:p>
            <w:pPr>
              <w:spacing w:after="20"/>
            </w:pPr>
            <w:r/>
            <w:r>
              <w:rPr>
                <w:rFonts w:ascii="Arial" w:hAnsi="Arial"/>
                <w:b w:val="0"/>
                <w:sz w:val="16"/>
              </w:rPr>
              <w:t>02-Oct-2026</w:t>
            </w:r>
          </w:p>
        </w:tc>
        <w:tc>
          <w:tcPr>
            <w:tcW w:type="dxa" w:w="2484"/>
            <w:vAlign w:val="center"/>
          </w:tcPr>
          <w:p>
            <w:pPr>
              <w:spacing w:after="20"/>
            </w:pPr>
            <w:r/>
            <w:r>
              <w:rPr>
                <w:rFonts w:ascii="Arial" w:hAnsi="Arial"/>
                <w:b w:val="0"/>
                <w:sz w:val="16"/>
              </w:rPr>
              <w:t>Initial comprehensive SRS baseline</w:t>
            </w:r>
          </w:p>
        </w:tc>
        <w:tc>
          <w:tcPr>
            <w:tcW w:type="dxa" w:w="2484"/>
            <w:vAlign w:val="center"/>
          </w:tcPr>
          <w:p>
            <w:pPr>
              <w:spacing w:after="20"/>
            </w:pPr>
            <w:r/>
            <w:r>
              <w:rPr>
                <w:rFonts w:ascii="Arial" w:hAnsi="Arial"/>
                <w:b w:val="0"/>
                <w:sz w:val="16"/>
              </w:rPr>
              <w:t>Project team</w:t>
            </w:r>
          </w:p>
        </w:tc>
      </w:tr>
    </w:tbl>
    <w:p/>
    <w:p>
      <w:pPr>
        <w:pStyle w:val="Heading1"/>
        <w:keepNext/>
      </w:pPr>
      <w:r>
        <w:t>Table of Contents</w:t>
      </w:r>
    </w:p>
    <w:p>
      <w:r>
        <w:t>1. Introduction</w:t>
      </w:r>
    </w:p>
    <w:p>
      <w:r>
        <w:t>2. Overall Description</w:t>
      </w:r>
    </w:p>
    <w:p>
      <w:r>
        <w:t>3. System Context and Architecture</w:t>
      </w:r>
    </w:p>
    <w:p>
      <w:r>
        <w:t>4. Functional Requirements</w:t>
      </w:r>
    </w:p>
    <w:p>
      <w:r>
        <w:t>5. External Interface Requirements</w:t>
      </w:r>
    </w:p>
    <w:p>
      <w:r>
        <w:t>6. Data Requirements</w:t>
      </w:r>
    </w:p>
    <w:p>
      <w:r>
        <w:t>7. Non-Functional Requirements</w:t>
      </w:r>
    </w:p>
    <w:p>
      <w:r>
        <w:t>8. Security and Cryptographic Requirements</w:t>
      </w:r>
    </w:p>
    <w:p>
      <w:r>
        <w:t>9. Use Cases</w:t>
      </w:r>
    </w:p>
    <w:p>
      <w:r>
        <w:t>10. Business Rules and Constraints</w:t>
      </w:r>
    </w:p>
    <w:p>
      <w:r>
        <w:t>11. Acceptance Criteria and Verification</w:t>
      </w:r>
    </w:p>
    <w:p>
      <w:r>
        <w:t>12. Risks, Assumptions, and Dependencies</w:t>
      </w:r>
    </w:p>
    <w:p>
      <w:r>
        <w:t>13. Deployment and Operations</w:t>
      </w:r>
    </w:p>
    <w:p>
      <w:r>
        <w:t>14. Future Enhancements</w:t>
      </w:r>
    </w:p>
    <w:p>
      <w:r>
        <w:t>15. Glossary</w:t>
      </w:r>
    </w:p>
    <w:p>
      <w:r>
        <w:t>16. References</w:t>
      </w:r>
    </w:p>
    <w:p>
      <w:r>
        <w:br w:type="page"/>
      </w:r>
    </w:p>
    <w:p>
      <w:pPr>
        <w:pStyle w:val="Heading1"/>
        <w:keepNext/>
      </w:pPr>
      <w:r>
        <w:t>1. Introduction</w:t>
      </w:r>
    </w:p>
    <w:p>
      <w:pPr>
        <w:pStyle w:val="Heading2"/>
        <w:keepNext/>
      </w:pPr>
      <w:r>
        <w:t>1.1 Purpose</w:t>
      </w:r>
    </w:p>
    <w:p>
      <w:r>
        <w:t>This Software Requirements Specification (SRS) defines the functional, interface, data, security, and operational requirements for PQC-Secure. The system is a web-based application for encrypting, storing, and sharing files using post-quantum cryptography (PQC).</w:t>
      </w:r>
    </w:p>
    <w:p>
      <w:r>
        <w:t>The document establishes a shared baseline for implementation, testing, demonstration, and evaluation. Requirements use unique identifiers so that each can be traced to design decisions and verification activities.</w:t>
      </w:r>
    </w:p>
    <w:p>
      <w:pPr>
        <w:pStyle w:val="Heading2"/>
        <w:keepNext/>
      </w:pPr>
      <w:r>
        <w:t>1.2 Scope</w:t>
      </w:r>
    </w:p>
    <w:p>
      <w:r>
        <w:t>PQC-Secure will provide authenticated users with a workflow to establish recipient-specific file-encryption keys, encrypt files using authenticated symmetric encryption, sign relevant package metadata, store encrypted file payloads, and allow authorized recipients to verify and decrypt shared files.</w:t>
      </w:r>
    </w:p>
    <w:p>
      <w:pPr>
        <w:pStyle w:val="ListBullet"/>
        <w:spacing w:after="40"/>
      </w:pPr>
      <w:r>
        <w:t>In scope: user registration and login; public-key registration; recipient selection; encrypted file upload; secure package creation; signed metadata; access-controlled sharing; recipient-side decryption; file integrity checks; and audit events.</w:t>
      </w:r>
    </w:p>
    <w:p>
      <w:pPr>
        <w:pStyle w:val="ListBullet"/>
        <w:spacing w:after="40"/>
      </w:pPr>
      <w:r>
        <w:t>In scope: a PQC mode based on standardized ML-KEM and ML-DSA; a classical comparison mode based on X25519 and Ed25519; AES-256-GCM for file encryption; HKDF for key derivation.</w:t>
      </w:r>
    </w:p>
    <w:p>
      <w:pPr>
        <w:pStyle w:val="ListBullet"/>
        <w:spacing w:after="40"/>
      </w:pPr>
      <w:r>
        <w:t>Out of scope for the initial release: production-grade enterprise key management; hardware security module integration; multi-party access policies; end-to-end encrypted group sharing; automated identity proofing; guaranteed protection against compromised endpoints; formal cryptographic certification.</w:t>
      </w:r>
    </w:p>
    <w:p>
      <w:pPr>
        <w:pStyle w:val="ListBullet"/>
        <w:spacing w:after="40"/>
      </w:pPr>
      <w:r>
        <w:t>The system is an educational and prototype implementation. It must not be represented as independently audited, certified, or suitable for high-assurance production use.</w:t>
      </w:r>
    </w:p>
    <w:p>
      <w:pPr>
        <w:pStyle w:val="Heading2"/>
        <w:keepNext/>
      </w:pPr>
      <w:r>
        <w:t>1.3 Intended Audience</w:t>
      </w:r>
    </w:p>
    <w:p>
      <w:pPr>
        <w:pStyle w:val="ListBullet"/>
        <w:spacing w:after="40"/>
      </w:pPr>
      <w:r>
        <w:t>Developers implementing frontend, backend, cryptographic, storage, and deployment components.</w:t>
      </w:r>
    </w:p>
    <w:p>
      <w:pPr>
        <w:pStyle w:val="ListBullet"/>
        <w:spacing w:after="40"/>
      </w:pPr>
      <w:r>
        <w:t>Testers validating functional behavior, security controls, interoperability, and performance.</w:t>
      </w:r>
    </w:p>
    <w:p>
      <w:pPr>
        <w:pStyle w:val="ListBullet"/>
        <w:spacing w:after="40"/>
      </w:pPr>
      <w:r>
        <w:t>Project supervisors and evaluators reviewing completeness and technical rationale.</w:t>
      </w:r>
    </w:p>
    <w:p>
      <w:pPr>
        <w:pStyle w:val="ListBullet"/>
        <w:spacing w:after="40"/>
      </w:pPr>
      <w:r>
        <w:t>End users uploading, sharing, and receiving protected files.</w:t>
      </w:r>
    </w:p>
    <w:p>
      <w:pPr>
        <w:pStyle w:val="ListBullet"/>
        <w:spacing w:after="40"/>
      </w:pPr>
      <w:r>
        <w:t>System administrators configuring deployment, monitoring, backups, and operational controls.</w:t>
      </w:r>
    </w:p>
    <w:p>
      <w:pPr>
        <w:pStyle w:val="Heading2"/>
        <w:keepNext/>
      </w:pPr>
      <w:r>
        <w:t>1.4 Definitions and Acronyms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rial" w:hAnsi="Arial"/>
                <w:b/>
                <w:color w:val="FFFFFF"/>
                <w:sz w:val="17"/>
              </w:rPr>
              <w:t>Term</w:t>
            </w:r>
          </w:p>
        </w:tc>
        <w:tc>
          <w:tcPr>
            <w:tcW w:type="dxa" w:w="4968"/>
            <w:vAlign w:val="center"/>
            <w:shd w:fill="17365D"/>
          </w:tcPr>
          <w:p>
            <w:pPr>
              <w:spacing w:after="20"/>
            </w:pPr>
            <w:r/>
            <w:r>
              <w:rPr>
                <w:rFonts w:ascii="Arial" w:hAnsi="Arial"/>
                <w:b/>
                <w:color w:val="FFFFFF"/>
                <w:sz w:val="17"/>
              </w:rPr>
              <w:t>Definition</w:t>
            </w:r>
          </w:p>
        </w:tc>
      </w:tr>
      <w:tr>
        <w:tc>
          <w:tcPr>
            <w:tcW w:type="dxa" w:w="4968"/>
            <w:vAlign w:val="center"/>
          </w:tcPr>
          <w:p>
            <w:pPr>
              <w:spacing w:after="20"/>
            </w:pPr>
            <w:r/>
            <w:r>
              <w:rPr>
                <w:rFonts w:ascii="Arial" w:hAnsi="Arial"/>
                <w:b w:val="0"/>
                <w:sz w:val="16"/>
              </w:rPr>
              <w:t>PQC</w:t>
            </w:r>
          </w:p>
        </w:tc>
        <w:tc>
          <w:tcPr>
            <w:tcW w:type="dxa" w:w="4968"/>
            <w:vAlign w:val="center"/>
          </w:tcPr>
          <w:p>
            <w:pPr>
              <w:spacing w:after="20"/>
            </w:pPr>
            <w:r/>
            <w:r>
              <w:rPr>
                <w:rFonts w:ascii="Arial" w:hAnsi="Arial"/>
                <w:b w:val="0"/>
                <w:sz w:val="16"/>
              </w:rPr>
              <w:t>Post-quantum cryptography: cryptographic algorithms designed to resist attacks from classical and quantum computers.</w:t>
            </w:r>
          </w:p>
        </w:tc>
      </w:tr>
      <w:tr>
        <w:tc>
          <w:tcPr>
            <w:tcW w:type="dxa" w:w="4968"/>
            <w:vAlign w:val="center"/>
          </w:tcPr>
          <w:p>
            <w:pPr>
              <w:spacing w:after="20"/>
            </w:pPr>
            <w:r/>
            <w:r>
              <w:rPr>
                <w:rFonts w:ascii="Arial" w:hAnsi="Arial"/>
                <w:b w:val="0"/>
                <w:sz w:val="16"/>
              </w:rPr>
              <w:t>KEM</w:t>
            </w:r>
          </w:p>
        </w:tc>
        <w:tc>
          <w:tcPr>
            <w:tcW w:type="dxa" w:w="4968"/>
            <w:vAlign w:val="center"/>
          </w:tcPr>
          <w:p>
            <w:pPr>
              <w:spacing w:after="20"/>
            </w:pPr>
            <w:r/>
            <w:r>
              <w:rPr>
                <w:rFonts w:ascii="Arial" w:hAnsi="Arial"/>
                <w:b w:val="0"/>
                <w:sz w:val="16"/>
              </w:rPr>
              <w:t>Key-encapsulation mechanism; establishes a shared secret using a recipient public key and encapsulation/decapsulation operations.</w:t>
            </w:r>
          </w:p>
        </w:tc>
      </w:tr>
      <w:tr>
        <w:tc>
          <w:tcPr>
            <w:tcW w:type="dxa" w:w="4968"/>
            <w:vAlign w:val="center"/>
          </w:tcPr>
          <w:p>
            <w:pPr>
              <w:spacing w:after="20"/>
            </w:pPr>
            <w:r/>
            <w:r>
              <w:rPr>
                <w:rFonts w:ascii="Arial" w:hAnsi="Arial"/>
                <w:b w:val="0"/>
                <w:sz w:val="16"/>
              </w:rPr>
              <w:t>ML-KEM</w:t>
            </w:r>
          </w:p>
        </w:tc>
        <w:tc>
          <w:tcPr>
            <w:tcW w:type="dxa" w:w="4968"/>
            <w:vAlign w:val="center"/>
          </w:tcPr>
          <w:p>
            <w:pPr>
              <w:spacing w:after="20"/>
            </w:pPr>
            <w:r/>
            <w:r>
              <w:rPr>
                <w:rFonts w:ascii="Arial" w:hAnsi="Arial"/>
                <w:b w:val="0"/>
                <w:sz w:val="16"/>
              </w:rPr>
              <w:t>Module-Lattice-Based Key-Encapsulation Mechanism standardized in NIST FIPS 203.</w:t>
            </w:r>
          </w:p>
        </w:tc>
      </w:tr>
      <w:tr>
        <w:tc>
          <w:tcPr>
            <w:tcW w:type="dxa" w:w="4968"/>
            <w:vAlign w:val="center"/>
          </w:tcPr>
          <w:p>
            <w:pPr>
              <w:spacing w:after="20"/>
            </w:pPr>
            <w:r/>
            <w:r>
              <w:rPr>
                <w:rFonts w:ascii="Arial" w:hAnsi="Arial"/>
                <w:b w:val="0"/>
                <w:sz w:val="16"/>
              </w:rPr>
              <w:t>ML-DSA</w:t>
            </w:r>
          </w:p>
        </w:tc>
        <w:tc>
          <w:tcPr>
            <w:tcW w:type="dxa" w:w="4968"/>
            <w:vAlign w:val="center"/>
          </w:tcPr>
          <w:p>
            <w:pPr>
              <w:spacing w:after="20"/>
            </w:pPr>
            <w:r/>
            <w:r>
              <w:rPr>
                <w:rFonts w:ascii="Arial" w:hAnsi="Arial"/>
                <w:b w:val="0"/>
                <w:sz w:val="16"/>
              </w:rPr>
              <w:t>Module-Lattice-Based Digital Signature Algorithm standardized in NIST FIPS 204.</w:t>
            </w:r>
          </w:p>
        </w:tc>
      </w:tr>
      <w:tr>
        <w:tc>
          <w:tcPr>
            <w:tcW w:type="dxa" w:w="4968"/>
            <w:vAlign w:val="center"/>
          </w:tcPr>
          <w:p>
            <w:pPr>
              <w:spacing w:after="20"/>
            </w:pPr>
            <w:r/>
            <w:r>
              <w:rPr>
                <w:rFonts w:ascii="Arial" w:hAnsi="Arial"/>
                <w:b w:val="0"/>
                <w:sz w:val="16"/>
              </w:rPr>
              <w:t>SLH-DSA</w:t>
            </w:r>
          </w:p>
        </w:tc>
        <w:tc>
          <w:tcPr>
            <w:tcW w:type="dxa" w:w="4968"/>
            <w:vAlign w:val="center"/>
          </w:tcPr>
          <w:p>
            <w:pPr>
              <w:spacing w:after="20"/>
            </w:pPr>
            <w:r/>
            <w:r>
              <w:rPr>
                <w:rFonts w:ascii="Arial" w:hAnsi="Arial"/>
                <w:b w:val="0"/>
                <w:sz w:val="16"/>
              </w:rPr>
              <w:t>Stateless hash-based digital signature algorithm standardized in NIST FIPS 205; not required for the MVP.</w:t>
            </w:r>
          </w:p>
        </w:tc>
      </w:tr>
      <w:tr>
        <w:tc>
          <w:tcPr>
            <w:tcW w:type="dxa" w:w="4968"/>
            <w:vAlign w:val="center"/>
          </w:tcPr>
          <w:p>
            <w:pPr>
              <w:spacing w:after="20"/>
            </w:pPr>
            <w:r/>
            <w:r>
              <w:rPr>
                <w:rFonts w:ascii="Arial" w:hAnsi="Arial"/>
                <w:b w:val="0"/>
                <w:sz w:val="16"/>
              </w:rPr>
              <w:t>AEAD</w:t>
            </w:r>
          </w:p>
        </w:tc>
        <w:tc>
          <w:tcPr>
            <w:tcW w:type="dxa" w:w="4968"/>
            <w:vAlign w:val="center"/>
          </w:tcPr>
          <w:p>
            <w:pPr>
              <w:spacing w:after="20"/>
            </w:pPr>
            <w:r/>
            <w:r>
              <w:rPr>
                <w:rFonts w:ascii="Arial" w:hAnsi="Arial"/>
                <w:b w:val="0"/>
                <w:sz w:val="16"/>
              </w:rPr>
              <w:t>Authenticated encryption with associated data; provides confidentiality and integrity/authenticity of ciphertext and associated data.</w:t>
            </w:r>
          </w:p>
        </w:tc>
      </w:tr>
      <w:tr>
        <w:tc>
          <w:tcPr>
            <w:tcW w:type="dxa" w:w="4968"/>
            <w:vAlign w:val="center"/>
          </w:tcPr>
          <w:p>
            <w:pPr>
              <w:spacing w:after="20"/>
            </w:pPr>
            <w:r/>
            <w:r>
              <w:rPr>
                <w:rFonts w:ascii="Arial" w:hAnsi="Arial"/>
                <w:b w:val="0"/>
                <w:sz w:val="16"/>
              </w:rPr>
              <w:t>AES-256-GCM</w:t>
            </w:r>
          </w:p>
        </w:tc>
        <w:tc>
          <w:tcPr>
            <w:tcW w:type="dxa" w:w="4968"/>
            <w:vAlign w:val="center"/>
          </w:tcPr>
          <w:p>
            <w:pPr>
              <w:spacing w:after="20"/>
            </w:pPr>
            <w:r/>
            <w:r>
              <w:rPr>
                <w:rFonts w:ascii="Arial" w:hAnsi="Arial"/>
                <w:b w:val="0"/>
                <w:sz w:val="16"/>
              </w:rPr>
              <w:t>AES in Galois/Counter Mode using a 256-bit key.</w:t>
            </w:r>
          </w:p>
        </w:tc>
      </w:tr>
      <w:tr>
        <w:tc>
          <w:tcPr>
            <w:tcW w:type="dxa" w:w="4968"/>
            <w:vAlign w:val="center"/>
          </w:tcPr>
          <w:p>
            <w:pPr>
              <w:spacing w:after="20"/>
            </w:pPr>
            <w:r/>
            <w:r>
              <w:rPr>
                <w:rFonts w:ascii="Arial" w:hAnsi="Arial"/>
                <w:b w:val="0"/>
                <w:sz w:val="16"/>
              </w:rPr>
              <w:t>HKDF</w:t>
            </w:r>
          </w:p>
        </w:tc>
        <w:tc>
          <w:tcPr>
            <w:tcW w:type="dxa" w:w="4968"/>
            <w:vAlign w:val="center"/>
          </w:tcPr>
          <w:p>
            <w:pPr>
              <w:spacing w:after="20"/>
            </w:pPr>
            <w:r/>
            <w:r>
              <w:rPr>
                <w:rFonts w:ascii="Arial" w:hAnsi="Arial"/>
                <w:b w:val="0"/>
                <w:sz w:val="16"/>
              </w:rPr>
              <w:t>HMAC-based Key Derivation Function.</w:t>
            </w:r>
          </w:p>
        </w:tc>
      </w:tr>
      <w:tr>
        <w:tc>
          <w:tcPr>
            <w:tcW w:type="dxa" w:w="4968"/>
            <w:vAlign w:val="center"/>
          </w:tcPr>
          <w:p>
            <w:pPr>
              <w:spacing w:after="20"/>
            </w:pPr>
            <w:r/>
            <w:r>
              <w:rPr>
                <w:rFonts w:ascii="Arial" w:hAnsi="Arial"/>
                <w:b w:val="0"/>
                <w:sz w:val="16"/>
              </w:rPr>
              <w:t>KDF</w:t>
            </w:r>
          </w:p>
        </w:tc>
        <w:tc>
          <w:tcPr>
            <w:tcW w:type="dxa" w:w="4968"/>
            <w:vAlign w:val="center"/>
          </w:tcPr>
          <w:p>
            <w:pPr>
              <w:spacing w:after="20"/>
            </w:pPr>
            <w:r/>
            <w:r>
              <w:rPr>
                <w:rFonts w:ascii="Arial" w:hAnsi="Arial"/>
                <w:b w:val="0"/>
                <w:sz w:val="16"/>
              </w:rPr>
              <w:t>Key derivation function.</w:t>
            </w:r>
          </w:p>
        </w:tc>
      </w:tr>
      <w:tr>
        <w:tc>
          <w:tcPr>
            <w:tcW w:type="dxa" w:w="4968"/>
            <w:vAlign w:val="center"/>
          </w:tcPr>
          <w:p>
            <w:pPr>
              <w:spacing w:after="20"/>
            </w:pPr>
            <w:r/>
            <w:r>
              <w:rPr>
                <w:rFonts w:ascii="Arial" w:hAnsi="Arial"/>
                <w:b w:val="0"/>
                <w:sz w:val="16"/>
              </w:rPr>
              <w:t>X25519</w:t>
            </w:r>
          </w:p>
        </w:tc>
        <w:tc>
          <w:tcPr>
            <w:tcW w:type="dxa" w:w="4968"/>
            <w:vAlign w:val="center"/>
          </w:tcPr>
          <w:p>
            <w:pPr>
              <w:spacing w:after="20"/>
            </w:pPr>
            <w:r/>
            <w:r>
              <w:rPr>
                <w:rFonts w:ascii="Arial" w:hAnsi="Arial"/>
                <w:b w:val="0"/>
                <w:sz w:val="16"/>
              </w:rPr>
              <w:t>Elliptic-curve Diffie-Hellman key agreement scheme used here for classical comparison.</w:t>
            </w:r>
          </w:p>
        </w:tc>
      </w:tr>
      <w:tr>
        <w:tc>
          <w:tcPr>
            <w:tcW w:type="dxa" w:w="4968"/>
            <w:vAlign w:val="center"/>
          </w:tcPr>
          <w:p>
            <w:pPr>
              <w:spacing w:after="20"/>
            </w:pPr>
            <w:r/>
            <w:r>
              <w:rPr>
                <w:rFonts w:ascii="Arial" w:hAnsi="Arial"/>
                <w:b w:val="0"/>
                <w:sz w:val="16"/>
              </w:rPr>
              <w:t>Ed25519</w:t>
            </w:r>
          </w:p>
        </w:tc>
        <w:tc>
          <w:tcPr>
            <w:tcW w:type="dxa" w:w="4968"/>
            <w:vAlign w:val="center"/>
          </w:tcPr>
          <w:p>
            <w:pPr>
              <w:spacing w:after="20"/>
            </w:pPr>
            <w:r/>
            <w:r>
              <w:rPr>
                <w:rFonts w:ascii="Arial" w:hAnsi="Arial"/>
                <w:b w:val="0"/>
                <w:sz w:val="16"/>
              </w:rPr>
              <w:t>Edwards-curve digital signature scheme used here for classical comparison.</w:t>
            </w:r>
          </w:p>
        </w:tc>
      </w:tr>
      <w:tr>
        <w:tc>
          <w:tcPr>
            <w:tcW w:type="dxa" w:w="4968"/>
            <w:vAlign w:val="center"/>
          </w:tcPr>
          <w:p>
            <w:pPr>
              <w:spacing w:after="20"/>
            </w:pPr>
            <w:r/>
            <w:r>
              <w:rPr>
                <w:rFonts w:ascii="Arial" w:hAnsi="Arial"/>
                <w:b w:val="0"/>
                <w:sz w:val="16"/>
              </w:rPr>
              <w:t>Envelope/package</w:t>
            </w:r>
          </w:p>
        </w:tc>
        <w:tc>
          <w:tcPr>
            <w:tcW w:type="dxa" w:w="4968"/>
            <w:vAlign w:val="center"/>
          </w:tcPr>
          <w:p>
            <w:pPr>
              <w:spacing w:after="20"/>
            </w:pPr>
            <w:r/>
            <w:r>
              <w:rPr>
                <w:rFonts w:ascii="Arial" w:hAnsi="Arial"/>
                <w:b w:val="0"/>
                <w:sz w:val="16"/>
              </w:rPr>
              <w:t>A structured object containing encrypted file data or its storage reference, algorithm identifiers, encapsulated key material, nonce, metadata, and signature.</w:t>
            </w:r>
          </w:p>
        </w:tc>
      </w:tr>
      <w:tr>
        <w:tc>
          <w:tcPr>
            <w:tcW w:type="dxa" w:w="4968"/>
            <w:vAlign w:val="center"/>
          </w:tcPr>
          <w:p>
            <w:pPr>
              <w:spacing w:after="20"/>
            </w:pPr>
            <w:r/>
            <w:r>
              <w:rPr>
                <w:rFonts w:ascii="Arial" w:hAnsi="Arial"/>
                <w:b w:val="0"/>
                <w:sz w:val="16"/>
              </w:rPr>
              <w:t>Recipient</w:t>
            </w:r>
          </w:p>
        </w:tc>
        <w:tc>
          <w:tcPr>
            <w:tcW w:type="dxa" w:w="4968"/>
            <w:vAlign w:val="center"/>
          </w:tcPr>
          <w:p>
            <w:pPr>
              <w:spacing w:after="20"/>
            </w:pPr>
            <w:r/>
            <w:r>
              <w:rPr>
                <w:rFonts w:ascii="Arial" w:hAnsi="Arial"/>
                <w:b w:val="0"/>
                <w:sz w:val="16"/>
              </w:rPr>
              <w:t>An authenticated user authorized to decrypt a particular shared file.</w:t>
            </w:r>
          </w:p>
        </w:tc>
      </w:tr>
      <w:tr>
        <w:tc>
          <w:tcPr>
            <w:tcW w:type="dxa" w:w="4968"/>
            <w:vAlign w:val="center"/>
          </w:tcPr>
          <w:p>
            <w:pPr>
              <w:spacing w:after="20"/>
            </w:pPr>
            <w:r/>
            <w:r>
              <w:rPr>
                <w:rFonts w:ascii="Arial" w:hAnsi="Arial"/>
                <w:b w:val="0"/>
                <w:sz w:val="16"/>
              </w:rPr>
              <w:t>Sender</w:t>
            </w:r>
          </w:p>
        </w:tc>
        <w:tc>
          <w:tcPr>
            <w:tcW w:type="dxa" w:w="4968"/>
            <w:vAlign w:val="center"/>
          </w:tcPr>
          <w:p>
            <w:pPr>
              <w:spacing w:after="20"/>
            </w:pPr>
            <w:r/>
            <w:r>
              <w:rPr>
                <w:rFonts w:ascii="Arial" w:hAnsi="Arial"/>
                <w:b w:val="0"/>
                <w:sz w:val="16"/>
              </w:rPr>
              <w:t>The authenticated user who creates and shares a file package.</w:t>
            </w:r>
          </w:p>
        </w:tc>
      </w:tr>
      <w:tr>
        <w:tc>
          <w:tcPr>
            <w:tcW w:type="dxa" w:w="4968"/>
            <w:vAlign w:val="center"/>
          </w:tcPr>
          <w:p>
            <w:pPr>
              <w:spacing w:after="20"/>
            </w:pPr>
            <w:r/>
            <w:r>
              <w:rPr>
                <w:rFonts w:ascii="Arial" w:hAnsi="Arial"/>
                <w:b w:val="0"/>
                <w:sz w:val="16"/>
              </w:rPr>
              <w:t>RBAC</w:t>
            </w:r>
          </w:p>
        </w:tc>
        <w:tc>
          <w:tcPr>
            <w:tcW w:type="dxa" w:w="4968"/>
            <w:vAlign w:val="center"/>
          </w:tcPr>
          <w:p>
            <w:pPr>
              <w:spacing w:after="20"/>
            </w:pPr>
            <w:r/>
            <w:r>
              <w:rPr>
                <w:rFonts w:ascii="Arial" w:hAnsi="Arial"/>
                <w:b w:val="0"/>
                <w:sz w:val="16"/>
              </w:rPr>
              <w:t>Role-based access control.</w:t>
            </w:r>
          </w:p>
        </w:tc>
      </w:tr>
      <w:tr>
        <w:tc>
          <w:tcPr>
            <w:tcW w:type="dxa" w:w="4968"/>
            <w:vAlign w:val="center"/>
          </w:tcPr>
          <w:p>
            <w:pPr>
              <w:spacing w:after="20"/>
            </w:pPr>
            <w:r/>
            <w:r>
              <w:rPr>
                <w:rFonts w:ascii="Arial" w:hAnsi="Arial"/>
                <w:b w:val="0"/>
                <w:sz w:val="16"/>
              </w:rPr>
              <w:t>MVP</w:t>
            </w:r>
          </w:p>
        </w:tc>
        <w:tc>
          <w:tcPr>
            <w:tcW w:type="dxa" w:w="4968"/>
            <w:vAlign w:val="center"/>
          </w:tcPr>
          <w:p>
            <w:pPr>
              <w:spacing w:after="20"/>
            </w:pPr>
            <w:r/>
            <w:r>
              <w:rPr>
                <w:rFonts w:ascii="Arial" w:hAnsi="Arial"/>
                <w:b w:val="0"/>
                <w:sz w:val="16"/>
              </w:rPr>
              <w:t>Minimum viable product.</w:t>
            </w:r>
          </w:p>
        </w:tc>
      </w:tr>
      <w:tr>
        <w:tc>
          <w:tcPr>
            <w:tcW w:type="dxa" w:w="4968"/>
            <w:vAlign w:val="center"/>
          </w:tcPr>
          <w:p>
            <w:pPr>
              <w:spacing w:after="20"/>
            </w:pPr>
            <w:r/>
            <w:r>
              <w:rPr>
                <w:rFonts w:ascii="Arial" w:hAnsi="Arial"/>
                <w:b w:val="0"/>
                <w:sz w:val="16"/>
              </w:rPr>
              <w:t>API</w:t>
            </w:r>
          </w:p>
        </w:tc>
        <w:tc>
          <w:tcPr>
            <w:tcW w:type="dxa" w:w="4968"/>
            <w:vAlign w:val="center"/>
          </w:tcPr>
          <w:p>
            <w:pPr>
              <w:spacing w:after="20"/>
            </w:pPr>
            <w:r/>
            <w:r>
              <w:rPr>
                <w:rFonts w:ascii="Arial" w:hAnsi="Arial"/>
                <w:b w:val="0"/>
                <w:sz w:val="16"/>
              </w:rPr>
              <w:t>Application programming interface.</w:t>
            </w:r>
          </w:p>
        </w:tc>
      </w:tr>
      <w:tr>
        <w:tc>
          <w:tcPr>
            <w:tcW w:type="dxa" w:w="4968"/>
            <w:vAlign w:val="center"/>
          </w:tcPr>
          <w:p>
            <w:pPr>
              <w:spacing w:after="20"/>
            </w:pPr>
            <w:r/>
            <w:r>
              <w:rPr>
                <w:rFonts w:ascii="Arial" w:hAnsi="Arial"/>
                <w:b w:val="0"/>
                <w:sz w:val="16"/>
              </w:rPr>
              <w:t>TLS</w:t>
            </w:r>
          </w:p>
        </w:tc>
        <w:tc>
          <w:tcPr>
            <w:tcW w:type="dxa" w:w="4968"/>
            <w:vAlign w:val="center"/>
          </w:tcPr>
          <w:p>
            <w:pPr>
              <w:spacing w:after="20"/>
            </w:pPr>
            <w:r/>
            <w:r>
              <w:rPr>
                <w:rFonts w:ascii="Arial" w:hAnsi="Arial"/>
                <w:b w:val="0"/>
                <w:sz w:val="16"/>
              </w:rPr>
              <w:t>Transport Layer Security.</w:t>
            </w:r>
          </w:p>
        </w:tc>
      </w:tr>
    </w:tbl>
    <w:p/>
    <w:p>
      <w:pPr>
        <w:pStyle w:val="Heading2"/>
        <w:keepNext/>
      </w:pPr>
      <w:r>
        <w:t>1.5 References and Standards Basis</w:t>
      </w:r>
    </w:p>
    <w:p>
      <w:r>
        <w:t>The cryptographic design should align with published standards and current library documentation. NIST published FIPS 203 for ML-KEM, FIPS 204 for ML-DSA, and FIPS 205 for SLH-DSA in August 2024. ML-KEM is a key-establishment mechanism, not a direct file-encryption algorithm; the established secret is used with symmetric cryptography for data protection. [1][2][3]</w:t>
      </w:r>
    </w:p>
    <w:p>
      <w:pPr>
        <w:pStyle w:val="ListBullet"/>
        <w:spacing w:after="40"/>
      </w:pPr>
      <w:r>
        <w:t>NIST FIPS 203, Module-Lattice-Based Key-Encapsulation Mechanism Standard (ML-KEM).</w:t>
      </w:r>
    </w:p>
    <w:p>
      <w:pPr>
        <w:pStyle w:val="ListBullet"/>
        <w:spacing w:after="40"/>
      </w:pPr>
      <w:r>
        <w:t>NIST FIPS 204, Module-Lattice-Based Digital Signature Standard (ML-DSA).</w:t>
      </w:r>
    </w:p>
    <w:p>
      <w:pPr>
        <w:pStyle w:val="ListBullet"/>
        <w:spacing w:after="40"/>
      </w:pPr>
      <w:r>
        <w:t>NIST FIPS 205, Stateless Hash-Based Digital Signature Standard (SLH-DSA).</w:t>
      </w:r>
    </w:p>
    <w:p>
      <w:pPr>
        <w:pStyle w:val="ListBullet"/>
        <w:spacing w:after="40"/>
      </w:pPr>
      <w:r>
        <w:t>RFC 5869, HMAC-based Extract-and-Expand Key Derivation Function (HKDF).</w:t>
      </w:r>
    </w:p>
    <w:p>
      <w:pPr>
        <w:pStyle w:val="ListBullet"/>
        <w:spacing w:after="40"/>
      </w:pPr>
      <w:r>
        <w:t>NIST SP 800-38D, Recommendation for Block Cipher Modes of Operation: Galois/Counter Mode (GCM) and GMAC.</w:t>
      </w:r>
    </w:p>
    <w:p>
      <w:pPr>
        <w:pStyle w:val="ListBullet"/>
        <w:spacing w:after="40"/>
      </w:pPr>
      <w:r>
        <w:t>OWASP guidance for authentication, file upload handling, session management, and application security.</w:t>
      </w:r>
    </w:p>
    <w:p>
      <w:pPr>
        <w:pStyle w:val="ListBullet"/>
        <w:spacing w:after="40"/>
      </w:pPr>
      <w:r>
        <w:t>Applicable documentation for the selected Python cryptographic provider and deployment environment.</w:t>
      </w:r>
    </w:p>
    <w:p>
      <w:pPr>
        <w:pStyle w:val="Heading2"/>
        <w:keepNext/>
      </w:pPr>
      <w:r>
        <w:t>1.6 Document Conventions</w:t>
      </w:r>
    </w:p>
    <w:p>
      <w:pPr>
        <w:pStyle w:val="ListBullet"/>
        <w:spacing w:after="40"/>
      </w:pPr>
      <w:r>
        <w:t>“Shall” indicates a mandatory requirement; “should” indicates a recommended requirement; “may” indicates an optional capability.</w:t>
      </w:r>
    </w:p>
    <w:p>
      <w:pPr>
        <w:pStyle w:val="ListBullet"/>
        <w:spacing w:after="40"/>
      </w:pPr>
      <w:r>
        <w:t>Functional requirements use IDs FR-xxx; non-functional requirements use NFR-xxx; security requirements use SEC-xxx; interface requirements use IF-xxx; data requirements use DR-xxx.</w:t>
      </w:r>
    </w:p>
    <w:p>
      <w:pPr>
        <w:pStyle w:val="ListBullet"/>
        <w:spacing w:after="40"/>
      </w:pPr>
      <w:r>
        <w:t>Unless stated otherwise, all user-visible times shall be stored in UTC and rendered in the user's configured timezone.</w:t>
      </w:r>
    </w:p>
    <w:p>
      <w:pPr>
        <w:pStyle w:val="ListBullet"/>
        <w:spacing w:after="40"/>
      </w:pPr>
      <w:r>
        <w:t>Performance figures are targets for evaluation, not guaranteed results. Actual performance depends on hardware, library, operating system, and file size.</w:t>
      </w:r>
    </w:p>
    <w:p>
      <w:pPr>
        <w:pStyle w:val="Heading1"/>
        <w:keepNext/>
      </w:pPr>
      <w:r>
        <w:t>2. Overall Description</w:t>
      </w:r>
    </w:p>
    <w:p>
      <w:pPr>
        <w:pStyle w:val="Heading2"/>
        <w:keepNext/>
      </w:pPr>
      <w:r>
        <w:t>2.1 Product Perspective</w:t>
      </w:r>
    </w:p>
    <w:p>
      <w:r>
        <w:t>PQC-Secure is a client-server web application. The React frontend communicates with a Python FastAPI backend over HTTPS. The backend manages identity, authorization, file metadata, storage references, and cryptographic workflow orchestration. Encrypted file payloads are stored in local storage or an object-storage-compatible service. Cryptographic operations may execute in the backend for the prototype; a later design may move sensitive operations to a client-side component.</w:t>
      </w:r>
    </w:p>
    <w:p>
      <w:pPr>
        <w:pStyle w:val="Heading2"/>
        <w:keepNext/>
      </w:pPr>
      <w:r>
        <w:t>2.2 Product Functions</w:t>
      </w:r>
    </w:p>
    <w:p>
      <w:pPr>
        <w:pStyle w:val="ListBullet"/>
        <w:spacing w:after="40"/>
      </w:pPr>
      <w:r>
        <w:t>Register and authenticate users.</w:t>
      </w:r>
    </w:p>
    <w:p>
      <w:pPr>
        <w:pStyle w:val="ListBullet"/>
        <w:spacing w:after="40"/>
      </w:pPr>
      <w:r>
        <w:t>Create, register, rotate, and revoke user cryptographic public keys.</w:t>
      </w:r>
    </w:p>
    <w:p>
      <w:pPr>
        <w:pStyle w:val="ListBullet"/>
        <w:spacing w:after="40"/>
      </w:pPr>
      <w:r>
        <w:t>Upload files and select recipients.</w:t>
      </w:r>
    </w:p>
    <w:p>
      <w:pPr>
        <w:pStyle w:val="ListBullet"/>
        <w:spacing w:after="40"/>
      </w:pPr>
      <w:r>
        <w:t>Generate a per-file or per-recipient content-encryption key through an approved key-establishment workflow.</w:t>
      </w:r>
    </w:p>
    <w:p>
      <w:pPr>
        <w:pStyle w:val="ListBullet"/>
        <w:spacing w:after="40"/>
      </w:pPr>
      <w:r>
        <w:t>Encrypt file contents with AES-256-GCM.</w:t>
      </w:r>
    </w:p>
    <w:p>
      <w:pPr>
        <w:pStyle w:val="ListBullet"/>
        <w:spacing w:after="40"/>
      </w:pPr>
      <w:r>
        <w:t>Sign a canonical representation of the package metadata.</w:t>
      </w:r>
    </w:p>
    <w:p>
      <w:pPr>
        <w:pStyle w:val="ListBullet"/>
        <w:spacing w:after="40"/>
      </w:pPr>
      <w:r>
        <w:t>Store encrypted content and metadata, and issue recipient-specific access permissions.</w:t>
      </w:r>
    </w:p>
    <w:p>
      <w:pPr>
        <w:pStyle w:val="ListBullet"/>
        <w:spacing w:after="40"/>
      </w:pPr>
      <w:r>
        <w:t>List received files, verify package authenticity, and decrypt authorized files.</w:t>
      </w:r>
    </w:p>
    <w:p>
      <w:pPr>
        <w:pStyle w:val="ListBullet"/>
        <w:spacing w:after="40"/>
      </w:pPr>
      <w:r>
        <w:t>Record security-relevant audit events without logging secrets or plaintext.</w:t>
      </w:r>
    </w:p>
    <w:p>
      <w:pPr>
        <w:pStyle w:val="Heading2"/>
        <w:keepNext/>
      </w:pPr>
      <w:r>
        <w:t>2.3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User class</w:t>
            </w:r>
          </w:p>
        </w:tc>
        <w:tc>
          <w:tcPr>
            <w:tcW w:type="dxa" w:w="3312"/>
            <w:vAlign w:val="center"/>
            <w:shd w:fill="17365D"/>
          </w:tcPr>
          <w:p>
            <w:pPr>
              <w:spacing w:after="20"/>
            </w:pPr>
            <w:r/>
            <w:r>
              <w:rPr>
                <w:rFonts w:ascii="Arial" w:hAnsi="Arial"/>
                <w:b/>
                <w:color w:val="FFFFFF"/>
                <w:sz w:val="17"/>
              </w:rPr>
              <w:t>Description</w:t>
            </w:r>
          </w:p>
        </w:tc>
        <w:tc>
          <w:tcPr>
            <w:tcW w:type="dxa" w:w="3312"/>
            <w:vAlign w:val="center"/>
            <w:shd w:fill="17365D"/>
          </w:tcPr>
          <w:p>
            <w:pPr>
              <w:spacing w:after="20"/>
            </w:pPr>
            <w:r/>
            <w:r>
              <w:rPr>
                <w:rFonts w:ascii="Arial" w:hAnsi="Arial"/>
                <w:b/>
                <w:color w:val="FFFFFF"/>
                <w:sz w:val="17"/>
              </w:rPr>
              <w:t>Privileges</w:t>
            </w:r>
          </w:p>
        </w:tc>
      </w:tr>
      <w:tr>
        <w:tc>
          <w:tcPr>
            <w:tcW w:type="dxa" w:w="3312"/>
            <w:vAlign w:val="center"/>
          </w:tcPr>
          <w:p>
            <w:pPr>
              <w:spacing w:after="20"/>
            </w:pPr>
            <w:r/>
            <w:r>
              <w:rPr>
                <w:rFonts w:ascii="Arial" w:hAnsi="Arial"/>
                <w:b w:val="0"/>
                <w:sz w:val="16"/>
              </w:rPr>
              <w:t>Guest</w:t>
            </w:r>
          </w:p>
        </w:tc>
        <w:tc>
          <w:tcPr>
            <w:tcW w:type="dxa" w:w="3312"/>
            <w:vAlign w:val="center"/>
          </w:tcPr>
          <w:p>
            <w:pPr>
              <w:spacing w:after="20"/>
            </w:pPr>
            <w:r/>
            <w:r>
              <w:rPr>
                <w:rFonts w:ascii="Arial" w:hAnsi="Arial"/>
                <w:b w:val="0"/>
                <w:sz w:val="16"/>
              </w:rPr>
              <w:t>Unauthenticated visitor</w:t>
            </w:r>
          </w:p>
        </w:tc>
        <w:tc>
          <w:tcPr>
            <w:tcW w:type="dxa" w:w="3312"/>
            <w:vAlign w:val="center"/>
          </w:tcPr>
          <w:p>
            <w:pPr>
              <w:spacing w:after="20"/>
            </w:pPr>
            <w:r/>
            <w:r>
              <w:rPr>
                <w:rFonts w:ascii="Arial" w:hAnsi="Arial"/>
                <w:b w:val="0"/>
                <w:sz w:val="16"/>
              </w:rPr>
              <w:t>View public landing page and registration/login screens only.</w:t>
            </w:r>
          </w:p>
        </w:tc>
      </w:tr>
      <w:tr>
        <w:tc>
          <w:tcPr>
            <w:tcW w:type="dxa" w:w="3312"/>
            <w:vAlign w:val="center"/>
          </w:tcPr>
          <w:p>
            <w:pPr>
              <w:spacing w:after="20"/>
            </w:pPr>
            <w:r/>
            <w:r>
              <w:rPr>
                <w:rFonts w:ascii="Arial" w:hAnsi="Arial"/>
                <w:b w:val="0"/>
                <w:sz w:val="16"/>
              </w:rPr>
              <w:t>Registered user</w:t>
            </w:r>
          </w:p>
        </w:tc>
        <w:tc>
          <w:tcPr>
            <w:tcW w:type="dxa" w:w="3312"/>
            <w:vAlign w:val="center"/>
          </w:tcPr>
          <w:p>
            <w:pPr>
              <w:spacing w:after="20"/>
            </w:pPr>
            <w:r/>
            <w:r>
              <w:rPr>
                <w:rFonts w:ascii="Arial" w:hAnsi="Arial"/>
                <w:b w:val="0"/>
                <w:sz w:val="16"/>
              </w:rPr>
              <w:t>Person using the application to send and receive files</w:t>
            </w:r>
          </w:p>
        </w:tc>
        <w:tc>
          <w:tcPr>
            <w:tcW w:type="dxa" w:w="3312"/>
            <w:vAlign w:val="center"/>
          </w:tcPr>
          <w:p>
            <w:pPr>
              <w:spacing w:after="20"/>
            </w:pPr>
            <w:r/>
            <w:r>
              <w:rPr>
                <w:rFonts w:ascii="Arial" w:hAnsi="Arial"/>
                <w:b w:val="0"/>
                <w:sz w:val="16"/>
              </w:rPr>
              <w:t>Manage own profile and keys; upload, share, list, download, and decrypt files for which they are authorized.</w:t>
            </w:r>
          </w:p>
        </w:tc>
      </w:tr>
      <w:tr>
        <w:tc>
          <w:tcPr>
            <w:tcW w:type="dxa" w:w="3312"/>
            <w:vAlign w:val="center"/>
          </w:tcPr>
          <w:p>
            <w:pPr>
              <w:spacing w:after="20"/>
            </w:pPr>
            <w:r/>
            <w:r>
              <w:rPr>
                <w:rFonts w:ascii="Arial" w:hAnsi="Arial"/>
                <w:b w:val="0"/>
                <w:sz w:val="16"/>
              </w:rPr>
              <w:t>Administrator</w:t>
            </w:r>
          </w:p>
        </w:tc>
        <w:tc>
          <w:tcPr>
            <w:tcW w:type="dxa" w:w="3312"/>
            <w:vAlign w:val="center"/>
          </w:tcPr>
          <w:p>
            <w:pPr>
              <w:spacing w:after="20"/>
            </w:pPr>
            <w:r/>
            <w:r>
              <w:rPr>
                <w:rFonts w:ascii="Arial" w:hAnsi="Arial"/>
                <w:b w:val="0"/>
                <w:sz w:val="16"/>
              </w:rPr>
              <w:t>Operator responsible for platform administration</w:t>
            </w:r>
          </w:p>
        </w:tc>
        <w:tc>
          <w:tcPr>
            <w:tcW w:type="dxa" w:w="3312"/>
            <w:vAlign w:val="center"/>
          </w:tcPr>
          <w:p>
            <w:pPr>
              <w:spacing w:after="20"/>
            </w:pPr>
            <w:r/>
            <w:r>
              <w:rPr>
                <w:rFonts w:ascii="Arial" w:hAnsi="Arial"/>
                <w:b w:val="0"/>
                <w:sz w:val="16"/>
              </w:rPr>
              <w:t>Manage operational settings and user status; view system health and security events. Must not gain plaintext access merely by being an administrator.</w:t>
            </w:r>
          </w:p>
        </w:tc>
      </w:tr>
    </w:tbl>
    <w:p/>
    <w:p>
      <w:pPr>
        <w:pStyle w:val="Heading2"/>
        <w:keepNext/>
      </w:pPr>
      <w:r>
        <w:t>2.4 Operating Environment</w:t>
      </w:r>
    </w:p>
    <w:p>
      <w:pPr>
        <w:pStyle w:val="ListBullet"/>
        <w:spacing w:after="40"/>
      </w:pPr>
      <w:r>
        <w:t>Frontend: modern desktop and mobile browsers supporting current JavaScript and secure HTTPS connections.</w:t>
      </w:r>
    </w:p>
    <w:p>
      <w:pPr>
        <w:pStyle w:val="ListBullet"/>
        <w:spacing w:after="40"/>
      </w:pPr>
      <w:r>
        <w:t>Backend: Python 3.11 or later (final version to be pinned after library compatibility testing), FastAPI, ASGI server.</w:t>
      </w:r>
    </w:p>
    <w:p>
      <w:pPr>
        <w:pStyle w:val="ListBullet"/>
        <w:spacing w:after="40"/>
      </w:pPr>
      <w:r>
        <w:t>Database: PostgreSQL for user, key, file, permission, and audit metadata.</w:t>
      </w:r>
    </w:p>
    <w:p>
      <w:pPr>
        <w:pStyle w:val="ListBullet"/>
        <w:spacing w:after="40"/>
      </w:pPr>
      <w:r>
        <w:t>Storage: local development storage; production-like demonstration may use MinIO or compatible object storage.</w:t>
      </w:r>
    </w:p>
    <w:p>
      <w:pPr>
        <w:pStyle w:val="ListBullet"/>
        <w:spacing w:after="40"/>
      </w:pPr>
      <w:r>
        <w:t>Cryptographic provider: a maintained implementation supporting the selected standardized algorithms and parameter sets.</w:t>
      </w:r>
    </w:p>
    <w:p>
      <w:pPr>
        <w:pStyle w:val="ListBullet"/>
        <w:spacing w:after="40"/>
      </w:pPr>
      <w:r>
        <w:t>Deployment: Docker Compose for reproducible local deployment; reverse proxy with TLS for hosted demonstration.</w:t>
      </w:r>
    </w:p>
    <w:p>
      <w:pPr>
        <w:pStyle w:val="Heading2"/>
        <w:keepNext/>
      </w:pPr>
      <w:r>
        <w:t>2.5 Design and Implementation Constraints</w:t>
      </w:r>
    </w:p>
    <w:p>
      <w:pPr>
        <w:pStyle w:val="ListBullet"/>
        <w:spacing w:after="40"/>
      </w:pPr>
      <w:r>
        <w:t>Cryptographic algorithms shall be selected from standardized, maintained implementations; custom cryptographic primitives are prohibited.</w:t>
      </w:r>
    </w:p>
    <w:p>
      <w:pPr>
        <w:pStyle w:val="ListBullet"/>
        <w:spacing w:after="40"/>
      </w:pPr>
      <w:r>
        <w:t>ML-KEM shall be used for key establishment, not as a direct bulk-file encryption algorithm.</w:t>
      </w:r>
    </w:p>
    <w:p>
      <w:pPr>
        <w:pStyle w:val="ListBullet"/>
        <w:spacing w:after="40"/>
      </w:pPr>
      <w:r>
        <w:t>AES-GCM nonces shall never be reused with the same encryption key.</w:t>
      </w:r>
    </w:p>
    <w:p>
      <w:pPr>
        <w:pStyle w:val="ListBullet"/>
        <w:spacing w:after="40"/>
      </w:pPr>
      <w:r>
        <w:t>Private keys, shared secrets, derived keys, passwords, and plaintext file contents shall not be written to application logs.</w:t>
      </w:r>
    </w:p>
    <w:p>
      <w:pPr>
        <w:pStyle w:val="ListBullet"/>
        <w:spacing w:after="40"/>
      </w:pPr>
      <w:r>
        <w:t>Algorithm identifiers and package versioning shall be explicit to support future cryptographic agility.</w:t>
      </w:r>
    </w:p>
    <w:p>
      <w:pPr>
        <w:pStyle w:val="ListBullet"/>
        <w:spacing w:after="40"/>
      </w:pPr>
      <w:r>
        <w:t>The project shall distinguish demonstration results from security claims and shall not claim that a successful demonstration proves security.</w:t>
      </w:r>
    </w:p>
    <w:p>
      <w:pPr>
        <w:pStyle w:val="ListBullet"/>
        <w:spacing w:after="40"/>
      </w:pPr>
      <w:r>
        <w:t>If a chosen library lacks required support or is incompatible with the runtime, the implementation team shall select and document a supported alternative before proceeding.</w:t>
      </w:r>
    </w:p>
    <w:p>
      <w:pPr>
        <w:pStyle w:val="Heading2"/>
        <w:keepNext/>
      </w:pPr>
      <w:r>
        <w:t>2.6 User Documentation</w:t>
      </w:r>
    </w:p>
    <w:p>
      <w:r>
        <w:t>The release shall include a concise user guide covering registration, key setup, file upload, recipient selection, file retrieval, decryption, error recovery, and security limitations. Developer documentation shall cover local setup, environment variables, database migrations, cryptographic provider setup, API contracts, and test execution.</w:t>
      </w:r>
    </w:p>
    <w:p>
      <w:pPr>
        <w:pStyle w:val="Heading2"/>
        <w:keepNext/>
      </w:pPr>
      <w:r>
        <w:t>2.7 Assumptions and Dependencies</w:t>
      </w:r>
    </w:p>
    <w:p>
      <w:pPr>
        <w:pStyle w:val="ListBullet"/>
        <w:spacing w:after="40"/>
      </w:pPr>
      <w:r>
        <w:t>Users have access to a supported browser and network connection.</w:t>
      </w:r>
    </w:p>
    <w:p>
      <w:pPr>
        <w:pStyle w:val="ListBullet"/>
        <w:spacing w:after="40"/>
      </w:pPr>
      <w:r>
        <w:t>The server has sufficient storage and compute capacity for the selected demonstration workload.</w:t>
      </w:r>
    </w:p>
    <w:p>
      <w:pPr>
        <w:pStyle w:val="ListBullet"/>
        <w:spacing w:after="40"/>
      </w:pPr>
      <w:r>
        <w:t>The cryptographic provider correctly implements the chosen algorithms and is kept updated.</w:t>
      </w:r>
    </w:p>
    <w:p>
      <w:pPr>
        <w:pStyle w:val="ListBullet"/>
        <w:spacing w:after="40"/>
      </w:pPr>
      <w:r>
        <w:t>Users protect their account credentials and private keys; endpoint compromise is outside the system's ability to prevent.</w:t>
      </w:r>
    </w:p>
    <w:p>
      <w:pPr>
        <w:pStyle w:val="ListBullet"/>
        <w:spacing w:after="40"/>
      </w:pPr>
      <w:r>
        <w:t>The initial prototype may use server-managed private keys for usability, but this reduces end-to-end confidentiality. The key custody model must be clearly disclosed.</w:t>
      </w:r>
    </w:p>
    <w:p>
      <w:pPr>
        <w:pStyle w:val="Heading1"/>
        <w:keepNext/>
      </w:pPr>
      <w:r>
        <w:t>3. System Context and Architecture</w:t>
      </w:r>
    </w:p>
    <w:p>
      <w:pPr>
        <w:pStyle w:val="Heading2"/>
        <w:keepNext/>
      </w:pPr>
      <w:r>
        <w:t>3.1 Logical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Component</w:t>
            </w:r>
          </w:p>
        </w:tc>
        <w:tc>
          <w:tcPr>
            <w:tcW w:type="dxa" w:w="3312"/>
            <w:vAlign w:val="center"/>
            <w:shd w:fill="17365D"/>
          </w:tcPr>
          <w:p>
            <w:pPr>
              <w:spacing w:after="20"/>
            </w:pPr>
            <w:r/>
            <w:r>
              <w:rPr>
                <w:rFonts w:ascii="Arial" w:hAnsi="Arial"/>
                <w:b/>
                <w:color w:val="FFFFFF"/>
                <w:sz w:val="17"/>
              </w:rPr>
              <w:t>Responsibilities</w:t>
            </w:r>
          </w:p>
        </w:tc>
        <w:tc>
          <w:tcPr>
            <w:tcW w:type="dxa" w:w="3312"/>
            <w:vAlign w:val="center"/>
            <w:shd w:fill="17365D"/>
          </w:tcPr>
          <w:p>
            <w:pPr>
              <w:spacing w:after="20"/>
            </w:pPr>
            <w:r/>
            <w:r>
              <w:rPr>
                <w:rFonts w:ascii="Arial" w:hAnsi="Arial"/>
                <w:b/>
                <w:color w:val="FFFFFF"/>
                <w:sz w:val="17"/>
              </w:rPr>
              <w:t>Primary interfaces</w:t>
            </w:r>
          </w:p>
        </w:tc>
      </w:tr>
      <w:tr>
        <w:tc>
          <w:tcPr>
            <w:tcW w:type="dxa" w:w="3312"/>
            <w:vAlign w:val="center"/>
          </w:tcPr>
          <w:p>
            <w:pPr>
              <w:spacing w:after="20"/>
            </w:pPr>
            <w:r/>
            <w:r>
              <w:rPr>
                <w:rFonts w:ascii="Arial" w:hAnsi="Arial"/>
                <w:b w:val="0"/>
                <w:sz w:val="16"/>
              </w:rPr>
              <w:t>FastAPI application</w:t>
            </w:r>
          </w:p>
        </w:tc>
        <w:tc>
          <w:tcPr>
            <w:tcW w:type="dxa" w:w="3312"/>
            <w:vAlign w:val="center"/>
          </w:tcPr>
          <w:p>
            <w:pPr>
              <w:spacing w:after="20"/>
            </w:pPr>
            <w:r/>
            <w:r>
              <w:rPr>
                <w:rFonts w:ascii="Arial" w:hAnsi="Arial"/>
                <w:b w:val="0"/>
                <w:sz w:val="16"/>
              </w:rPr>
              <w:t>Request validation, authentication, authorization, orchestration, error mapping</w:t>
            </w:r>
          </w:p>
        </w:tc>
        <w:tc>
          <w:tcPr>
            <w:tcW w:type="dxa" w:w="3312"/>
            <w:vAlign w:val="center"/>
          </w:tcPr>
          <w:p>
            <w:pPr>
              <w:spacing w:after="20"/>
            </w:pPr>
            <w:r/>
            <w:r>
              <w:rPr>
                <w:rFonts w:ascii="Arial" w:hAnsi="Arial"/>
                <w:b w:val="0"/>
                <w:sz w:val="16"/>
              </w:rPr>
              <w:t>REST endpoints</w:t>
            </w:r>
          </w:p>
        </w:tc>
      </w:tr>
      <w:tr>
        <w:tc>
          <w:tcPr>
            <w:tcW w:type="dxa" w:w="3312"/>
            <w:vAlign w:val="center"/>
          </w:tcPr>
          <w:p>
            <w:pPr>
              <w:spacing w:after="20"/>
            </w:pPr>
            <w:r/>
            <w:r>
              <w:rPr>
                <w:rFonts w:ascii="Arial" w:hAnsi="Arial"/>
                <w:b w:val="0"/>
                <w:sz w:val="16"/>
              </w:rPr>
              <w:t>Identity and access module</w:t>
            </w:r>
          </w:p>
        </w:tc>
        <w:tc>
          <w:tcPr>
            <w:tcW w:type="dxa" w:w="3312"/>
            <w:vAlign w:val="center"/>
          </w:tcPr>
          <w:p>
            <w:pPr>
              <w:spacing w:after="20"/>
            </w:pPr>
            <w:r/>
            <w:r>
              <w:rPr>
                <w:rFonts w:ascii="Arial" w:hAnsi="Arial"/>
                <w:b w:val="0"/>
                <w:sz w:val="16"/>
              </w:rPr>
              <w:t>User records, password verification, sessions/tokens, access checks</w:t>
            </w:r>
          </w:p>
        </w:tc>
        <w:tc>
          <w:tcPr>
            <w:tcW w:type="dxa" w:w="3312"/>
            <w:vAlign w:val="center"/>
          </w:tcPr>
          <w:p>
            <w:pPr>
              <w:spacing w:after="20"/>
            </w:pPr>
            <w:r/>
            <w:r>
              <w:rPr>
                <w:rFonts w:ascii="Arial" w:hAnsi="Arial"/>
                <w:b w:val="0"/>
                <w:sz w:val="16"/>
              </w:rPr>
              <w:t>Database and auth middleware</w:t>
            </w:r>
          </w:p>
        </w:tc>
      </w:tr>
      <w:tr>
        <w:tc>
          <w:tcPr>
            <w:tcW w:type="dxa" w:w="3312"/>
            <w:vAlign w:val="center"/>
          </w:tcPr>
          <w:p>
            <w:pPr>
              <w:spacing w:after="20"/>
            </w:pPr>
            <w:r/>
            <w:r>
              <w:rPr>
                <w:rFonts w:ascii="Arial" w:hAnsi="Arial"/>
                <w:b w:val="0"/>
                <w:sz w:val="16"/>
              </w:rPr>
              <w:t>Cryptography service</w:t>
            </w:r>
          </w:p>
        </w:tc>
        <w:tc>
          <w:tcPr>
            <w:tcW w:type="dxa" w:w="3312"/>
            <w:vAlign w:val="center"/>
          </w:tcPr>
          <w:p>
            <w:pPr>
              <w:spacing w:after="20"/>
            </w:pPr>
            <w:r/>
            <w:r>
              <w:rPr>
                <w:rFonts w:ascii="Arial" w:hAnsi="Arial"/>
                <w:b w:val="0"/>
                <w:sz w:val="16"/>
              </w:rPr>
              <w:t>KEM, signature, KDF, AEAD operations behind provider-neutral interfaces</w:t>
            </w:r>
          </w:p>
        </w:tc>
        <w:tc>
          <w:tcPr>
            <w:tcW w:type="dxa" w:w="3312"/>
            <w:vAlign w:val="center"/>
          </w:tcPr>
          <w:p>
            <w:pPr>
              <w:spacing w:after="20"/>
            </w:pPr>
            <w:r/>
            <w:r>
              <w:rPr>
                <w:rFonts w:ascii="Arial" w:hAnsi="Arial"/>
                <w:b w:val="0"/>
                <w:sz w:val="16"/>
              </w:rPr>
              <w:t>Internal service interface</w:t>
            </w:r>
          </w:p>
        </w:tc>
      </w:tr>
      <w:tr>
        <w:tc>
          <w:tcPr>
            <w:tcW w:type="dxa" w:w="3312"/>
            <w:vAlign w:val="center"/>
          </w:tcPr>
          <w:p>
            <w:pPr>
              <w:spacing w:after="20"/>
            </w:pPr>
            <w:r/>
            <w:r>
              <w:rPr>
                <w:rFonts w:ascii="Arial" w:hAnsi="Arial"/>
                <w:b w:val="0"/>
                <w:sz w:val="16"/>
              </w:rPr>
              <w:t>File service</w:t>
            </w:r>
          </w:p>
        </w:tc>
        <w:tc>
          <w:tcPr>
            <w:tcW w:type="dxa" w:w="3312"/>
            <w:vAlign w:val="center"/>
          </w:tcPr>
          <w:p>
            <w:pPr>
              <w:spacing w:after="20"/>
            </w:pPr>
            <w:r/>
            <w:r>
              <w:rPr>
                <w:rFonts w:ascii="Arial" w:hAnsi="Arial"/>
                <w:b w:val="0"/>
                <w:sz w:val="16"/>
              </w:rPr>
              <w:t>Upload validation, streaming, package creation, retrieval, deletion</w:t>
            </w:r>
          </w:p>
        </w:tc>
        <w:tc>
          <w:tcPr>
            <w:tcW w:type="dxa" w:w="3312"/>
            <w:vAlign w:val="center"/>
          </w:tcPr>
          <w:p>
            <w:pPr>
              <w:spacing w:after="20"/>
            </w:pPr>
            <w:r/>
            <w:r>
              <w:rPr>
                <w:rFonts w:ascii="Arial" w:hAnsi="Arial"/>
                <w:b w:val="0"/>
                <w:sz w:val="16"/>
              </w:rPr>
              <w:t>Storage adapter</w:t>
            </w:r>
          </w:p>
        </w:tc>
      </w:tr>
      <w:tr>
        <w:tc>
          <w:tcPr>
            <w:tcW w:type="dxa" w:w="3312"/>
            <w:vAlign w:val="center"/>
          </w:tcPr>
          <w:p>
            <w:pPr>
              <w:spacing w:after="20"/>
            </w:pPr>
            <w:r/>
            <w:r>
              <w:rPr>
                <w:rFonts w:ascii="Arial" w:hAnsi="Arial"/>
                <w:b w:val="0"/>
                <w:sz w:val="16"/>
              </w:rPr>
              <w:t>Metadata database</w:t>
            </w:r>
          </w:p>
        </w:tc>
        <w:tc>
          <w:tcPr>
            <w:tcW w:type="dxa" w:w="3312"/>
            <w:vAlign w:val="center"/>
          </w:tcPr>
          <w:p>
            <w:r>
              <w:t>Users, key records, file packages, grants, system operations, audit events</w:t>
            </w:r>
          </w:p>
        </w:tc>
        <w:tc>
          <w:tcPr>
            <w:tcW w:type="dxa" w:w="3312"/>
            <w:vAlign w:val="center"/>
          </w:tcPr>
          <w:p>
            <w:pPr>
              <w:spacing w:after="20"/>
            </w:pPr>
            <w:r/>
            <w:r>
              <w:rPr>
                <w:rFonts w:ascii="Arial" w:hAnsi="Arial"/>
                <w:b w:val="0"/>
                <w:sz w:val="16"/>
              </w:rPr>
              <w:t>SQLAlchemy or equivalent</w:t>
            </w:r>
          </w:p>
        </w:tc>
      </w:tr>
      <w:tr>
        <w:tc>
          <w:tcPr>
            <w:tcW w:type="dxa" w:w="3312"/>
            <w:vAlign w:val="center"/>
          </w:tcPr>
          <w:p>
            <w:pPr>
              <w:spacing w:after="20"/>
            </w:pPr>
            <w:r/>
            <w:r>
              <w:rPr>
                <w:rFonts w:ascii="Arial" w:hAnsi="Arial"/>
                <w:b w:val="0"/>
                <w:sz w:val="16"/>
              </w:rPr>
              <w:t>Storage adapter</w:t>
            </w:r>
          </w:p>
        </w:tc>
        <w:tc>
          <w:tcPr>
            <w:tcW w:type="dxa" w:w="3312"/>
            <w:vAlign w:val="center"/>
          </w:tcPr>
          <w:p>
            <w:pPr>
              <w:spacing w:after="20"/>
            </w:pPr>
            <w:r/>
            <w:r>
              <w:rPr>
                <w:rFonts w:ascii="Arial" w:hAnsi="Arial"/>
                <w:b w:val="0"/>
                <w:sz w:val="16"/>
              </w:rPr>
              <w:t>Encrypted payload persistence and retrieval</w:t>
            </w:r>
          </w:p>
        </w:tc>
        <w:tc>
          <w:tcPr>
            <w:tcW w:type="dxa" w:w="3312"/>
            <w:vAlign w:val="center"/>
          </w:tcPr>
          <w:p>
            <w:pPr>
              <w:spacing w:after="20"/>
            </w:pPr>
            <w:r/>
            <w:r>
              <w:rPr>
                <w:rFonts w:ascii="Arial" w:hAnsi="Arial"/>
                <w:b w:val="0"/>
                <w:sz w:val="16"/>
              </w:rPr>
              <w:t>Filesystem/object storage</w:t>
            </w:r>
          </w:p>
        </w:tc>
      </w:tr>
      <w:tr>
        <w:tc>
          <w:tcPr>
            <w:tcW w:type="dxa" w:w="3312"/>
            <w:vAlign w:val="center"/>
          </w:tcPr>
          <w:p>
            <w:pPr>
              <w:spacing w:after="20"/>
            </w:pPr>
            <w:r/>
            <w:r>
              <w:rPr>
                <w:rFonts w:ascii="Arial" w:hAnsi="Arial"/>
                <w:b w:val="0"/>
                <w:sz w:val="16"/>
              </w:rPr>
              <w:t>Audit and monitoring</w:t>
            </w:r>
          </w:p>
        </w:tc>
        <w:tc>
          <w:tcPr>
            <w:tcW w:type="dxa" w:w="3312"/>
            <w:vAlign w:val="center"/>
          </w:tcPr>
          <w:p>
            <w:pPr>
              <w:spacing w:after="20"/>
            </w:pPr>
            <w:r/>
            <w:r>
              <w:rPr>
                <w:rFonts w:ascii="Arial" w:hAnsi="Arial"/>
                <w:b w:val="0"/>
                <w:sz w:val="16"/>
              </w:rPr>
              <w:t>Security event recording, application metrics, operational health</w:t>
            </w:r>
          </w:p>
        </w:tc>
        <w:tc>
          <w:tcPr>
            <w:tcW w:type="dxa" w:w="3312"/>
            <w:vAlign w:val="center"/>
          </w:tcPr>
          <w:p>
            <w:pPr>
              <w:spacing w:after="20"/>
            </w:pPr>
            <w:r/>
            <w:r>
              <w:rPr>
                <w:rFonts w:ascii="Arial" w:hAnsi="Arial"/>
                <w:b w:val="0"/>
                <w:sz w:val="16"/>
              </w:rPr>
              <w:t>Logs/metrics endpoint</w:t>
            </w:r>
          </w:p>
        </w:tc>
      </w:tr>
    </w:tbl>
    <w:p/>
    <w:p>
      <w:pPr>
        <w:pStyle w:val="Heading2"/>
        <w:keepNext/>
      </w:pPr>
      <w:r>
        <w:t>3.2 High-Level File-Sharing Sequence</w:t>
      </w:r>
    </w:p>
    <w:p>
      <w:pPr>
        <w:pStyle w:val="ListNumber"/>
        <w:spacing w:after="40"/>
      </w:pPr>
      <w:r>
        <w:t>The recipient registers and creates a key pair for the selected mode. The public key is registered with the service; private-key custody is governed by the configured model.</w:t>
      </w:r>
    </w:p>
    <w:p>
      <w:pPr>
        <w:pStyle w:val="ListNumber"/>
        <w:spacing w:after="40"/>
      </w:pPr>
      <w:r>
        <w:t>The sender authenticates, selects a file, and selects one or more registered recipients.</w:t>
      </w:r>
    </w:p>
    <w:p>
      <w:pPr>
        <w:pStyle w:val="ListNumber"/>
        <w:spacing w:after="40"/>
      </w:pPr>
      <w:r>
        <w:t>The backend validates the request, file type policy, file size, recipient status, and recipient key version.</w:t>
      </w:r>
    </w:p>
    <w:p>
      <w:pPr>
        <w:pStyle w:val="ListNumber"/>
        <w:spacing w:after="40"/>
      </w:pPr>
      <w:r>
        <w:t>For each recipient, the cryptography service encapsulates a shared secret to the recipient's public key (PQC mode) or performs the configured classical key agreement workflow.</w:t>
      </w:r>
    </w:p>
    <w:p>
      <w:pPr>
        <w:pStyle w:val="ListNumber"/>
        <w:spacing w:after="40"/>
      </w:pPr>
      <w:r>
        <w:t>The key derivation service derives a content-encryption key using HKDF with context-bound information and a unique salt.</w:t>
      </w:r>
    </w:p>
    <w:p>
      <w:pPr>
        <w:pStyle w:val="ListNumber"/>
        <w:spacing w:after="40"/>
      </w:pPr>
      <w:r>
        <w:t>The file service encrypts the file using AES-256-GCM with a fresh nonce. The package metadata binds the algorithm suite, sender, recipient, file identifier, version, and relevant cryptographic values.</w:t>
      </w:r>
    </w:p>
    <w:p>
      <w:pPr>
        <w:pStyle w:val="ListNumber"/>
        <w:spacing w:after="40"/>
      </w:pPr>
      <w:r>
        <w:t>The sender's signing key signs a canonical package manifest. The recipient's trusted sender public key is used later for verification.</w:t>
      </w:r>
    </w:p>
    <w:p>
      <w:pPr>
        <w:pStyle w:val="ListNumber"/>
        <w:spacing w:after="40"/>
      </w:pPr>
      <w:r>
        <w:t>The encrypted payload and package metadata are persisted. Access grants are created for recipients.</w:t>
      </w:r>
    </w:p>
    <w:p>
      <w:pPr>
        <w:pStyle w:val="ListNumber"/>
        <w:spacing w:after="40"/>
      </w:pPr>
      <w:r>
        <w:t>The recipient opens the shared item, the system checks authorization and validates the signature before accepting the package.</w:t>
      </w:r>
    </w:p>
    <w:p>
      <w:pPr>
        <w:pStyle w:val="ListNumber"/>
        <w:spacing w:after="40"/>
      </w:pPr>
      <w:r>
        <w:t>The recipient decapsulates or derives the shared secret, derives the file key, and decrypts the payload. Authentication failure shall prevent plaintext release.</w:t>
      </w:r>
    </w:p>
    <w:p>
      <w:pPr>
        <w:pStyle w:val="Heading2"/>
        <w:keepNext/>
      </w:pPr>
      <w:r>
        <w:t>3.3 Cryptographic Package Structure</w:t>
      </w:r>
    </w:p>
    <w:p>
      <w:r>
        <w:t>The package shall be versioned and use a canonical serialization format. The logical structure shall include the following fields; binary payloads may be stored separately.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Field</w:t>
            </w:r>
          </w:p>
        </w:tc>
        <w:tc>
          <w:tcPr>
            <w:tcW w:type="dxa" w:w="3312"/>
            <w:vAlign w:val="center"/>
            <w:shd w:fill="17365D"/>
          </w:tcPr>
          <w:p>
            <w:pPr>
              <w:spacing w:after="20"/>
            </w:pPr>
            <w:r/>
            <w:r>
              <w:rPr>
                <w:rFonts w:ascii="Arial" w:hAnsi="Arial"/>
                <w:b/>
                <w:color w:val="FFFFFF"/>
                <w:sz w:val="17"/>
              </w:rPr>
              <w:t>Type / example</w:t>
            </w:r>
          </w:p>
        </w:tc>
        <w:tc>
          <w:tcPr>
            <w:tcW w:type="dxa" w:w="3312"/>
            <w:vAlign w:val="center"/>
            <w:shd w:fill="17365D"/>
          </w:tcPr>
          <w:p>
            <w:pPr>
              <w:spacing w:after="20"/>
            </w:pPr>
            <w:r/>
            <w:r>
              <w:rPr>
                <w:rFonts w:ascii="Arial" w:hAnsi="Arial"/>
                <w:b/>
                <w:color w:val="FFFFFF"/>
                <w:sz w:val="17"/>
              </w:rPr>
              <w:t>Purpose</w:t>
            </w:r>
          </w:p>
        </w:tc>
      </w:tr>
      <w:tr>
        <w:tc>
          <w:tcPr>
            <w:tcW w:type="dxa" w:w="3312"/>
            <w:vAlign w:val="center"/>
          </w:tcPr>
          <w:p>
            <w:pPr>
              <w:spacing w:after="20"/>
            </w:pPr>
            <w:r/>
            <w:r>
              <w:rPr>
                <w:rFonts w:ascii="Arial" w:hAnsi="Arial"/>
                <w:b w:val="0"/>
                <w:sz w:val="16"/>
              </w:rPr>
              <w:t>package_version</w:t>
            </w:r>
          </w:p>
        </w:tc>
        <w:tc>
          <w:tcPr>
            <w:tcW w:type="dxa" w:w="3312"/>
            <w:vAlign w:val="center"/>
          </w:tcPr>
          <w:p>
            <w:pPr>
              <w:spacing w:after="20"/>
            </w:pPr>
            <w:r/>
            <w:r>
              <w:rPr>
                <w:rFonts w:ascii="Arial" w:hAnsi="Arial"/>
                <w:b w:val="0"/>
                <w:sz w:val="16"/>
              </w:rPr>
              <w:t>Integer/string</w:t>
            </w:r>
          </w:p>
        </w:tc>
        <w:tc>
          <w:tcPr>
            <w:tcW w:type="dxa" w:w="3312"/>
            <w:vAlign w:val="center"/>
          </w:tcPr>
          <w:p>
            <w:pPr>
              <w:spacing w:after="20"/>
            </w:pPr>
            <w:r/>
            <w:r>
              <w:rPr>
                <w:rFonts w:ascii="Arial" w:hAnsi="Arial"/>
                <w:b w:val="0"/>
                <w:sz w:val="16"/>
              </w:rPr>
              <w:t>Supports format evolution.</w:t>
            </w:r>
          </w:p>
        </w:tc>
      </w:tr>
      <w:tr>
        <w:tc>
          <w:tcPr>
            <w:tcW w:type="dxa" w:w="3312"/>
            <w:vAlign w:val="center"/>
          </w:tcPr>
          <w:p>
            <w:pPr>
              <w:spacing w:after="20"/>
            </w:pPr>
            <w:r/>
            <w:r>
              <w:rPr>
                <w:rFonts w:ascii="Arial" w:hAnsi="Arial"/>
                <w:b w:val="0"/>
                <w:sz w:val="16"/>
              </w:rPr>
              <w:t>file_id</w:t>
            </w:r>
          </w:p>
        </w:tc>
        <w:tc>
          <w:tcPr>
            <w:tcW w:type="dxa" w:w="3312"/>
            <w:vAlign w:val="center"/>
          </w:tcPr>
          <w:p>
            <w:pPr>
              <w:spacing w:after="20"/>
            </w:pPr>
            <w:r/>
            <w:r>
              <w:rPr>
                <w:rFonts w:ascii="Arial" w:hAnsi="Arial"/>
                <w:b w:val="0"/>
                <w:sz w:val="16"/>
              </w:rPr>
              <w:t>UUID</w:t>
            </w:r>
          </w:p>
        </w:tc>
        <w:tc>
          <w:tcPr>
            <w:tcW w:type="dxa" w:w="3312"/>
            <w:vAlign w:val="center"/>
          </w:tcPr>
          <w:p>
            <w:pPr>
              <w:spacing w:after="20"/>
            </w:pPr>
            <w:r/>
            <w:r>
              <w:rPr>
                <w:rFonts w:ascii="Arial" w:hAnsi="Arial"/>
                <w:b w:val="0"/>
                <w:sz w:val="16"/>
              </w:rPr>
              <w:t>Unique package identifier.</w:t>
            </w:r>
          </w:p>
        </w:tc>
      </w:tr>
      <w:tr>
        <w:tc>
          <w:tcPr>
            <w:tcW w:type="dxa" w:w="3312"/>
            <w:vAlign w:val="center"/>
          </w:tcPr>
          <w:p>
            <w:pPr>
              <w:spacing w:after="20"/>
            </w:pPr>
            <w:r/>
            <w:r>
              <w:rPr>
                <w:rFonts w:ascii="Arial" w:hAnsi="Arial"/>
                <w:b w:val="0"/>
                <w:sz w:val="16"/>
              </w:rPr>
              <w:t>sender_key_id</w:t>
            </w:r>
          </w:p>
        </w:tc>
        <w:tc>
          <w:tcPr>
            <w:tcW w:type="dxa" w:w="3312"/>
            <w:vAlign w:val="center"/>
          </w:tcPr>
          <w:p>
            <w:pPr>
              <w:spacing w:after="20"/>
            </w:pPr>
            <w:r/>
            <w:r>
              <w:rPr>
                <w:rFonts w:ascii="Arial" w:hAnsi="Arial"/>
                <w:b w:val="0"/>
                <w:sz w:val="16"/>
              </w:rPr>
              <w:t>UUID/string</w:t>
            </w:r>
          </w:p>
        </w:tc>
        <w:tc>
          <w:tcPr>
            <w:tcW w:type="dxa" w:w="3312"/>
            <w:vAlign w:val="center"/>
          </w:tcPr>
          <w:p>
            <w:pPr>
              <w:spacing w:after="20"/>
            </w:pPr>
            <w:r/>
            <w:r>
              <w:rPr>
                <w:rFonts w:ascii="Arial" w:hAnsi="Arial"/>
                <w:b w:val="0"/>
                <w:sz w:val="16"/>
              </w:rPr>
              <w:t>Identifies the signing key version.</w:t>
            </w:r>
          </w:p>
        </w:tc>
      </w:tr>
      <w:tr>
        <w:tc>
          <w:tcPr>
            <w:tcW w:type="dxa" w:w="3312"/>
            <w:vAlign w:val="center"/>
          </w:tcPr>
          <w:p>
            <w:pPr>
              <w:spacing w:after="20"/>
            </w:pPr>
            <w:r/>
            <w:r>
              <w:rPr>
                <w:rFonts w:ascii="Arial" w:hAnsi="Arial"/>
                <w:b w:val="0"/>
                <w:sz w:val="16"/>
              </w:rPr>
              <w:t>recipient_key_id</w:t>
            </w:r>
          </w:p>
        </w:tc>
        <w:tc>
          <w:tcPr>
            <w:tcW w:type="dxa" w:w="3312"/>
            <w:vAlign w:val="center"/>
          </w:tcPr>
          <w:p>
            <w:pPr>
              <w:spacing w:after="20"/>
            </w:pPr>
            <w:r/>
            <w:r>
              <w:rPr>
                <w:rFonts w:ascii="Arial" w:hAnsi="Arial"/>
                <w:b w:val="0"/>
                <w:sz w:val="16"/>
              </w:rPr>
              <w:t>UUID/string</w:t>
            </w:r>
          </w:p>
        </w:tc>
        <w:tc>
          <w:tcPr>
            <w:tcW w:type="dxa" w:w="3312"/>
            <w:vAlign w:val="center"/>
          </w:tcPr>
          <w:p>
            <w:pPr>
              <w:spacing w:after="20"/>
            </w:pPr>
            <w:r/>
            <w:r>
              <w:rPr>
                <w:rFonts w:ascii="Arial" w:hAnsi="Arial"/>
                <w:b w:val="0"/>
                <w:sz w:val="16"/>
              </w:rPr>
              <w:t>Identifies the recipient key version.</w:t>
            </w:r>
          </w:p>
        </w:tc>
      </w:tr>
      <w:tr>
        <w:tc>
          <w:tcPr>
            <w:tcW w:type="dxa" w:w="3312"/>
            <w:vAlign w:val="center"/>
          </w:tcPr>
          <w:p>
            <w:pPr>
              <w:spacing w:after="20"/>
            </w:pPr>
            <w:r/>
            <w:r>
              <w:rPr>
                <w:rFonts w:ascii="Arial" w:hAnsi="Arial"/>
                <w:b w:val="0"/>
                <w:sz w:val="16"/>
              </w:rPr>
              <w:t>mode</w:t>
            </w:r>
          </w:p>
        </w:tc>
        <w:tc>
          <w:tcPr>
            <w:tcW w:type="dxa" w:w="3312"/>
            <w:vAlign w:val="center"/>
          </w:tcPr>
          <w:p>
            <w:pPr>
              <w:spacing w:after="20"/>
            </w:pPr>
            <w:r/>
            <w:r>
              <w:rPr>
                <w:rFonts w:ascii="Arial" w:hAnsi="Arial"/>
                <w:b w:val="0"/>
                <w:sz w:val="16"/>
              </w:rPr>
              <w:t>pqc / classical / hybrid</w:t>
            </w:r>
          </w:p>
        </w:tc>
        <w:tc>
          <w:tcPr>
            <w:tcW w:type="dxa" w:w="3312"/>
            <w:vAlign w:val="center"/>
          </w:tcPr>
          <w:p>
            <w:pPr>
              <w:spacing w:after="20"/>
            </w:pPr>
            <w:r/>
            <w:r>
              <w:rPr>
                <w:rFonts w:ascii="Arial" w:hAnsi="Arial"/>
                <w:b w:val="0"/>
                <w:sz w:val="16"/>
              </w:rPr>
              <w:t>Identifies cryptographic suite.</w:t>
            </w:r>
          </w:p>
        </w:tc>
      </w:tr>
      <w:tr>
        <w:tc>
          <w:tcPr>
            <w:tcW w:type="dxa" w:w="3312"/>
            <w:vAlign w:val="center"/>
          </w:tcPr>
          <w:p>
            <w:pPr>
              <w:spacing w:after="20"/>
            </w:pPr>
            <w:r/>
            <w:r>
              <w:rPr>
                <w:rFonts w:ascii="Arial" w:hAnsi="Arial"/>
                <w:b w:val="0"/>
                <w:sz w:val="16"/>
              </w:rPr>
              <w:t>kem_algorithm</w:t>
            </w:r>
          </w:p>
        </w:tc>
        <w:tc>
          <w:tcPr>
            <w:tcW w:type="dxa" w:w="3312"/>
            <w:vAlign w:val="center"/>
          </w:tcPr>
          <w:p>
            <w:pPr>
              <w:spacing w:after="20"/>
            </w:pPr>
            <w:r/>
            <w:r>
              <w:rPr>
                <w:rFonts w:ascii="Arial" w:hAnsi="Arial"/>
                <w:b w:val="0"/>
                <w:sz w:val="16"/>
              </w:rPr>
              <w:t>ML-KEM-768 or X25519 profile</w:t>
            </w:r>
          </w:p>
        </w:tc>
        <w:tc>
          <w:tcPr>
            <w:tcW w:type="dxa" w:w="3312"/>
            <w:vAlign w:val="center"/>
          </w:tcPr>
          <w:p>
            <w:pPr>
              <w:spacing w:after="20"/>
            </w:pPr>
            <w:r/>
            <w:r>
              <w:rPr>
                <w:rFonts w:ascii="Arial" w:hAnsi="Arial"/>
                <w:b w:val="0"/>
                <w:sz w:val="16"/>
              </w:rPr>
              <w:t>Identifies key establishment.</w:t>
            </w:r>
          </w:p>
        </w:tc>
      </w:tr>
      <w:tr>
        <w:tc>
          <w:tcPr>
            <w:tcW w:type="dxa" w:w="3312"/>
            <w:vAlign w:val="center"/>
          </w:tcPr>
          <w:p>
            <w:pPr>
              <w:spacing w:after="20"/>
            </w:pPr>
            <w:r/>
            <w:r>
              <w:rPr>
                <w:rFonts w:ascii="Arial" w:hAnsi="Arial"/>
                <w:b w:val="0"/>
                <w:sz w:val="16"/>
              </w:rPr>
              <w:t>encapsulation</w:t>
            </w:r>
          </w:p>
        </w:tc>
        <w:tc>
          <w:tcPr>
            <w:tcW w:type="dxa" w:w="3312"/>
            <w:vAlign w:val="center"/>
          </w:tcPr>
          <w:p>
            <w:pPr>
              <w:spacing w:after="20"/>
            </w:pPr>
            <w:r/>
            <w:r>
              <w:rPr>
                <w:rFonts w:ascii="Arial" w:hAnsi="Arial"/>
                <w:b w:val="0"/>
                <w:sz w:val="16"/>
              </w:rPr>
              <w:t>Base64/binary</w:t>
            </w:r>
          </w:p>
        </w:tc>
        <w:tc>
          <w:tcPr>
            <w:tcW w:type="dxa" w:w="3312"/>
            <w:vAlign w:val="center"/>
          </w:tcPr>
          <w:p>
            <w:pPr>
              <w:spacing w:after="20"/>
            </w:pPr>
            <w:r/>
            <w:r>
              <w:rPr>
                <w:rFonts w:ascii="Arial" w:hAnsi="Arial"/>
                <w:b w:val="0"/>
                <w:sz w:val="16"/>
              </w:rPr>
              <w:t>KEM ciphertext or equivalent key-agreement material.</w:t>
            </w:r>
          </w:p>
        </w:tc>
      </w:tr>
      <w:tr>
        <w:tc>
          <w:tcPr>
            <w:tcW w:type="dxa" w:w="3312"/>
            <w:vAlign w:val="center"/>
          </w:tcPr>
          <w:p>
            <w:pPr>
              <w:spacing w:after="20"/>
            </w:pPr>
            <w:r/>
            <w:r>
              <w:rPr>
                <w:rFonts w:ascii="Arial" w:hAnsi="Arial"/>
                <w:b w:val="0"/>
                <w:sz w:val="16"/>
              </w:rPr>
              <w:t>kdf</w:t>
            </w:r>
          </w:p>
        </w:tc>
        <w:tc>
          <w:tcPr>
            <w:tcW w:type="dxa" w:w="3312"/>
            <w:vAlign w:val="center"/>
          </w:tcPr>
          <w:p>
            <w:pPr>
              <w:spacing w:after="20"/>
            </w:pPr>
            <w:r/>
            <w:r>
              <w:rPr>
                <w:rFonts w:ascii="Arial" w:hAnsi="Arial"/>
                <w:b w:val="0"/>
                <w:sz w:val="16"/>
              </w:rPr>
              <w:t>HKDF-SHA-256</w:t>
            </w:r>
          </w:p>
        </w:tc>
        <w:tc>
          <w:tcPr>
            <w:tcW w:type="dxa" w:w="3312"/>
            <w:vAlign w:val="center"/>
          </w:tcPr>
          <w:p>
            <w:pPr>
              <w:spacing w:after="20"/>
            </w:pPr>
            <w:r/>
            <w:r>
              <w:rPr>
                <w:rFonts w:ascii="Arial" w:hAnsi="Arial"/>
                <w:b w:val="0"/>
                <w:sz w:val="16"/>
              </w:rPr>
              <w:t>Key derivation identifier.</w:t>
            </w:r>
          </w:p>
        </w:tc>
      </w:tr>
      <w:tr>
        <w:tc>
          <w:tcPr>
            <w:tcW w:type="dxa" w:w="3312"/>
            <w:vAlign w:val="center"/>
          </w:tcPr>
          <w:p>
            <w:pPr>
              <w:spacing w:after="20"/>
            </w:pPr>
            <w:r/>
            <w:r>
              <w:rPr>
                <w:rFonts w:ascii="Arial" w:hAnsi="Arial"/>
                <w:b w:val="0"/>
                <w:sz w:val="16"/>
              </w:rPr>
              <w:t>aead</w:t>
            </w:r>
          </w:p>
        </w:tc>
        <w:tc>
          <w:tcPr>
            <w:tcW w:type="dxa" w:w="3312"/>
            <w:vAlign w:val="center"/>
          </w:tcPr>
          <w:p>
            <w:pPr>
              <w:spacing w:after="20"/>
            </w:pPr>
            <w:r/>
            <w:r>
              <w:rPr>
                <w:rFonts w:ascii="Arial" w:hAnsi="Arial"/>
                <w:b w:val="0"/>
                <w:sz w:val="16"/>
              </w:rPr>
              <w:t>AES-256-GCM</w:t>
            </w:r>
          </w:p>
        </w:tc>
        <w:tc>
          <w:tcPr>
            <w:tcW w:type="dxa" w:w="3312"/>
            <w:vAlign w:val="center"/>
          </w:tcPr>
          <w:p>
            <w:pPr>
              <w:spacing w:after="20"/>
            </w:pPr>
            <w:r/>
            <w:r>
              <w:rPr>
                <w:rFonts w:ascii="Arial" w:hAnsi="Arial"/>
                <w:b w:val="0"/>
                <w:sz w:val="16"/>
              </w:rPr>
              <w:t>Content encryption identifier.</w:t>
            </w:r>
          </w:p>
        </w:tc>
      </w:tr>
      <w:tr>
        <w:tc>
          <w:tcPr>
            <w:tcW w:type="dxa" w:w="3312"/>
            <w:vAlign w:val="center"/>
          </w:tcPr>
          <w:p>
            <w:pPr>
              <w:spacing w:after="20"/>
            </w:pPr>
            <w:r/>
            <w:r>
              <w:rPr>
                <w:rFonts w:ascii="Arial" w:hAnsi="Arial"/>
                <w:b w:val="0"/>
                <w:sz w:val="16"/>
              </w:rPr>
              <w:t>nonce</w:t>
            </w:r>
          </w:p>
        </w:tc>
        <w:tc>
          <w:tcPr>
            <w:tcW w:type="dxa" w:w="3312"/>
            <w:vAlign w:val="center"/>
          </w:tcPr>
          <w:p>
            <w:pPr>
              <w:spacing w:after="20"/>
            </w:pPr>
            <w:r/>
            <w:r>
              <w:rPr>
                <w:rFonts w:ascii="Arial" w:hAnsi="Arial"/>
                <w:b w:val="0"/>
                <w:sz w:val="16"/>
              </w:rPr>
              <w:t>Binary/base64</w:t>
            </w:r>
          </w:p>
        </w:tc>
        <w:tc>
          <w:tcPr>
            <w:tcW w:type="dxa" w:w="3312"/>
            <w:vAlign w:val="center"/>
          </w:tcPr>
          <w:p>
            <w:pPr>
              <w:spacing w:after="20"/>
            </w:pPr>
            <w:r/>
            <w:r>
              <w:rPr>
                <w:rFonts w:ascii="Arial" w:hAnsi="Arial"/>
                <w:b w:val="0"/>
                <w:sz w:val="16"/>
              </w:rPr>
              <w:t>Unique AEAD nonce.</w:t>
            </w:r>
          </w:p>
        </w:tc>
      </w:tr>
      <w:tr>
        <w:tc>
          <w:tcPr>
            <w:tcW w:type="dxa" w:w="3312"/>
            <w:vAlign w:val="center"/>
          </w:tcPr>
          <w:p>
            <w:pPr>
              <w:spacing w:after="20"/>
            </w:pPr>
            <w:r/>
            <w:r>
              <w:rPr>
                <w:rFonts w:ascii="Arial" w:hAnsi="Arial"/>
                <w:b w:val="0"/>
                <w:sz w:val="16"/>
              </w:rPr>
              <w:t>ciphertext_ref</w:t>
            </w:r>
          </w:p>
        </w:tc>
        <w:tc>
          <w:tcPr>
            <w:tcW w:type="dxa" w:w="3312"/>
            <w:vAlign w:val="center"/>
          </w:tcPr>
          <w:p>
            <w:pPr>
              <w:spacing w:after="20"/>
            </w:pPr>
            <w:r/>
            <w:r>
              <w:rPr>
                <w:rFonts w:ascii="Arial" w:hAnsi="Arial"/>
                <w:b w:val="0"/>
                <w:sz w:val="16"/>
              </w:rPr>
              <w:t>Storage key</w:t>
            </w:r>
          </w:p>
        </w:tc>
        <w:tc>
          <w:tcPr>
            <w:tcW w:type="dxa" w:w="3312"/>
            <w:vAlign w:val="center"/>
          </w:tcPr>
          <w:p>
            <w:pPr>
              <w:spacing w:after="20"/>
            </w:pPr>
            <w:r/>
            <w:r>
              <w:rPr>
                <w:rFonts w:ascii="Arial" w:hAnsi="Arial"/>
                <w:b w:val="0"/>
                <w:sz w:val="16"/>
              </w:rPr>
              <w:t>Reference to encrypted payload.</w:t>
            </w:r>
          </w:p>
        </w:tc>
      </w:tr>
      <w:tr>
        <w:tc>
          <w:tcPr>
            <w:tcW w:type="dxa" w:w="3312"/>
            <w:vAlign w:val="center"/>
          </w:tcPr>
          <w:p>
            <w:pPr>
              <w:spacing w:after="20"/>
            </w:pPr>
            <w:r/>
            <w:r>
              <w:rPr>
                <w:rFonts w:ascii="Arial" w:hAnsi="Arial"/>
                <w:b w:val="0"/>
                <w:sz w:val="16"/>
              </w:rPr>
              <w:t>ciphertext_digest</w:t>
            </w:r>
          </w:p>
        </w:tc>
        <w:tc>
          <w:tcPr>
            <w:tcW w:type="dxa" w:w="3312"/>
            <w:vAlign w:val="center"/>
          </w:tcPr>
          <w:p>
            <w:pPr>
              <w:spacing w:after="20"/>
            </w:pPr>
            <w:r/>
            <w:r>
              <w:rPr>
                <w:rFonts w:ascii="Arial" w:hAnsi="Arial"/>
                <w:b w:val="0"/>
                <w:sz w:val="16"/>
              </w:rPr>
              <w:t>SHA-256 digest</w:t>
            </w:r>
          </w:p>
        </w:tc>
        <w:tc>
          <w:tcPr>
            <w:tcW w:type="dxa" w:w="3312"/>
            <w:vAlign w:val="center"/>
          </w:tcPr>
          <w:p>
            <w:pPr>
              <w:spacing w:after="20"/>
            </w:pPr>
            <w:r/>
            <w:r>
              <w:rPr>
                <w:rFonts w:ascii="Arial" w:hAnsi="Arial"/>
                <w:b w:val="0"/>
                <w:sz w:val="16"/>
              </w:rPr>
              <w:t>Detects storage corruption; not a replacement for AEAD.</w:t>
            </w:r>
          </w:p>
        </w:tc>
      </w:tr>
      <w:tr>
        <w:tc>
          <w:tcPr>
            <w:tcW w:type="dxa" w:w="3312"/>
            <w:vAlign w:val="center"/>
          </w:tcPr>
          <w:p>
            <w:pPr>
              <w:spacing w:after="20"/>
            </w:pPr>
            <w:r/>
            <w:r>
              <w:rPr>
                <w:rFonts w:ascii="Arial" w:hAnsi="Arial"/>
                <w:b w:val="0"/>
                <w:sz w:val="16"/>
              </w:rPr>
              <w:t>manifest</w:t>
            </w:r>
          </w:p>
        </w:tc>
        <w:tc>
          <w:tcPr>
            <w:tcW w:type="dxa" w:w="3312"/>
            <w:vAlign w:val="center"/>
          </w:tcPr>
          <w:p>
            <w:pPr>
              <w:spacing w:after="20"/>
            </w:pPr>
            <w:r/>
            <w:r>
              <w:rPr>
                <w:rFonts w:ascii="Arial" w:hAnsi="Arial"/>
                <w:b w:val="0"/>
                <w:sz w:val="16"/>
              </w:rPr>
              <w:t>Canonical structured data</w:t>
            </w:r>
          </w:p>
        </w:tc>
        <w:tc>
          <w:tcPr>
            <w:tcW w:type="dxa" w:w="3312"/>
            <w:vAlign w:val="center"/>
          </w:tcPr>
          <w:p>
            <w:pPr>
              <w:spacing w:after="20"/>
            </w:pPr>
            <w:r/>
            <w:r>
              <w:rPr>
                <w:rFonts w:ascii="Arial" w:hAnsi="Arial"/>
                <w:b w:val="0"/>
                <w:sz w:val="16"/>
              </w:rPr>
              <w:t>Data covered by sender signature.</w:t>
            </w:r>
          </w:p>
        </w:tc>
      </w:tr>
      <w:tr>
        <w:tc>
          <w:tcPr>
            <w:tcW w:type="dxa" w:w="3312"/>
            <w:vAlign w:val="center"/>
          </w:tcPr>
          <w:p>
            <w:pPr>
              <w:spacing w:after="20"/>
            </w:pPr>
            <w:r/>
            <w:r>
              <w:rPr>
                <w:rFonts w:ascii="Arial" w:hAnsi="Arial"/>
                <w:b w:val="0"/>
                <w:sz w:val="16"/>
              </w:rPr>
              <w:t>signature_algorithm</w:t>
            </w:r>
          </w:p>
        </w:tc>
        <w:tc>
          <w:tcPr>
            <w:tcW w:type="dxa" w:w="3312"/>
            <w:vAlign w:val="center"/>
          </w:tcPr>
          <w:p>
            <w:pPr>
              <w:spacing w:after="20"/>
            </w:pPr>
            <w:r/>
            <w:r>
              <w:rPr>
                <w:rFonts w:ascii="Arial" w:hAnsi="Arial"/>
                <w:b w:val="0"/>
                <w:sz w:val="16"/>
              </w:rPr>
              <w:t>ML-DSA-65 or Ed25519</w:t>
            </w:r>
          </w:p>
        </w:tc>
        <w:tc>
          <w:tcPr>
            <w:tcW w:type="dxa" w:w="3312"/>
            <w:vAlign w:val="center"/>
          </w:tcPr>
          <w:p>
            <w:pPr>
              <w:spacing w:after="20"/>
            </w:pPr>
            <w:r/>
            <w:r>
              <w:rPr>
                <w:rFonts w:ascii="Arial" w:hAnsi="Arial"/>
                <w:b w:val="0"/>
                <w:sz w:val="16"/>
              </w:rPr>
              <w:t>Signature scheme identifier.</w:t>
            </w:r>
          </w:p>
        </w:tc>
      </w:tr>
      <w:tr>
        <w:tc>
          <w:tcPr>
            <w:tcW w:type="dxa" w:w="3312"/>
            <w:vAlign w:val="center"/>
          </w:tcPr>
          <w:p>
            <w:pPr>
              <w:spacing w:after="20"/>
            </w:pPr>
            <w:r/>
            <w:r>
              <w:rPr>
                <w:rFonts w:ascii="Arial" w:hAnsi="Arial"/>
                <w:b w:val="0"/>
                <w:sz w:val="16"/>
              </w:rPr>
              <w:t>signature</w:t>
            </w:r>
          </w:p>
        </w:tc>
        <w:tc>
          <w:tcPr>
            <w:tcW w:type="dxa" w:w="3312"/>
            <w:vAlign w:val="center"/>
          </w:tcPr>
          <w:p>
            <w:pPr>
              <w:spacing w:after="20"/>
            </w:pPr>
            <w:r/>
            <w:r>
              <w:rPr>
                <w:rFonts w:ascii="Arial" w:hAnsi="Arial"/>
                <w:b w:val="0"/>
                <w:sz w:val="16"/>
              </w:rPr>
              <w:t>Binary/base64</w:t>
            </w:r>
          </w:p>
        </w:tc>
        <w:tc>
          <w:tcPr>
            <w:tcW w:type="dxa" w:w="3312"/>
            <w:vAlign w:val="center"/>
          </w:tcPr>
          <w:p>
            <w:pPr>
              <w:spacing w:after="20"/>
            </w:pPr>
            <w:r/>
            <w:r>
              <w:rPr>
                <w:rFonts w:ascii="Arial" w:hAnsi="Arial"/>
                <w:b w:val="0"/>
                <w:sz w:val="16"/>
              </w:rPr>
              <w:t>Authenticates signed manifest.</w:t>
            </w:r>
          </w:p>
        </w:tc>
      </w:tr>
      <w:tr>
        <w:tc>
          <w:tcPr>
            <w:tcW w:type="dxa" w:w="3312"/>
            <w:vAlign w:val="center"/>
          </w:tcPr>
          <w:p>
            <w:pPr>
              <w:spacing w:after="20"/>
            </w:pPr>
            <w:r/>
            <w:r>
              <w:rPr>
                <w:rFonts w:ascii="Arial" w:hAnsi="Arial"/>
                <w:b w:val="0"/>
                <w:sz w:val="16"/>
              </w:rPr>
              <w:t>created_at</w:t>
            </w:r>
          </w:p>
        </w:tc>
        <w:tc>
          <w:tcPr>
            <w:tcW w:type="dxa" w:w="3312"/>
            <w:vAlign w:val="center"/>
          </w:tcPr>
          <w:p>
            <w:pPr>
              <w:spacing w:after="20"/>
            </w:pPr>
            <w:r/>
            <w:r>
              <w:rPr>
                <w:rFonts w:ascii="Arial" w:hAnsi="Arial"/>
                <w:b w:val="0"/>
                <w:sz w:val="16"/>
              </w:rPr>
              <w:t>UTC timestamp</w:t>
            </w:r>
          </w:p>
        </w:tc>
        <w:tc>
          <w:tcPr>
            <w:tcW w:type="dxa" w:w="3312"/>
            <w:vAlign w:val="center"/>
          </w:tcPr>
          <w:p>
            <w:pPr>
              <w:spacing w:after="20"/>
            </w:pPr>
            <w:r/>
            <w:r>
              <w:rPr>
                <w:rFonts w:ascii="Arial" w:hAnsi="Arial"/>
                <w:b w:val="0"/>
                <w:sz w:val="16"/>
              </w:rPr>
              <w:t>Package creation time.</w:t>
            </w:r>
          </w:p>
        </w:tc>
      </w:tr>
    </w:tbl>
    <w:p/>
    <w:p>
      <w:r>
        <w:t>The package manifest shall avoid ambiguous serialization. The exact canonical encoding (for example, deterministic JSON or a defined binary format) must be specified and implemented consistently by signing and verification code.</w:t>
      </w:r>
    </w:p>
    <w:p>
      <w:pPr>
        <w:pStyle w:val="Heading2"/>
        <w:keepNext/>
      </w:pPr>
      <w:r>
        <w:t>3.4 Trust Boundaries</w:t>
      </w:r>
    </w:p>
    <w:p>
      <w:pPr>
        <w:pStyle w:val="ListBullet"/>
        <w:spacing w:after="40"/>
      </w:pPr>
      <w:r>
        <w:t>Browser-to-server boundary: HTTPS, secure session handling, CSRF protections where cookie authentication is used, and strict origin policy.</w:t>
      </w:r>
    </w:p>
    <w:p>
      <w:pPr>
        <w:pStyle w:val="ListBullet"/>
        <w:spacing w:after="40"/>
      </w:pPr>
      <w:r>
        <w:t>Application-to-database boundary: least-privilege database credentials and parameterized queries.</w:t>
      </w:r>
    </w:p>
    <w:p>
      <w:pPr>
        <w:pStyle w:val="ListBullet"/>
        <w:spacing w:after="40"/>
      </w:pPr>
      <w:r>
        <w:t>Application-to-storage boundary: storage credentials scoped to required operations; encrypted payloads only.</w:t>
      </w:r>
    </w:p>
    <w:p>
      <w:pPr>
        <w:pStyle w:val="ListBullet"/>
        <w:spacing w:after="40"/>
      </w:pPr>
      <w:r>
        <w:t>Key custody boundary: private-key storage and recovery mechanisms are security-critical and must be explicit.</w:t>
      </w:r>
    </w:p>
    <w:p>
      <w:pPr>
        <w:pStyle w:val="ListBullet"/>
        <w:spacing w:after="40"/>
      </w:pPr>
      <w:r>
        <w:t>Sender/recipient identity boundary: public keys must be bound to authenticated identities and key versions to reduce key-substitution risk.</w:t>
      </w:r>
    </w:p>
    <w:p>
      <w:pPr>
        <w:pStyle w:val="Heading1"/>
        <w:keepNext/>
      </w:pPr>
      <w:r>
        <w:t>4. Functional Requirements</w:t>
      </w:r>
    </w:p>
    <w:p>
      <w:r>
        <w:t>Priority levels: P0 = required for MVP; P1 = important; P2 = optional or post-MVP.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7365D"/>
          </w:tcPr>
          <w:p>
            <w:pPr>
              <w:spacing w:after="20"/>
            </w:pPr>
            <w:r/>
            <w:r>
              <w:rPr>
                <w:rFonts w:ascii="Arial" w:hAnsi="Arial"/>
                <w:b/>
                <w:color w:val="FFFFFF"/>
                <w:sz w:val="17"/>
              </w:rPr>
              <w:t>ID</w:t>
            </w:r>
          </w:p>
        </w:tc>
        <w:tc>
          <w:tcPr>
            <w:tcW w:type="dxa" w:w="1800"/>
            <w:vAlign w:val="center"/>
            <w:shd w:fill="17365D"/>
          </w:tcPr>
          <w:p>
            <w:pPr>
              <w:spacing w:after="20"/>
            </w:pPr>
            <w:r/>
            <w:r>
              <w:rPr>
                <w:rFonts w:ascii="Arial" w:hAnsi="Arial"/>
                <w:b/>
                <w:color w:val="FFFFFF"/>
                <w:sz w:val="17"/>
              </w:rPr>
              <w:t>Requirement</w:t>
            </w:r>
          </w:p>
        </w:tc>
        <w:tc>
          <w:tcPr>
            <w:tcW w:type="dxa" w:w="7344"/>
            <w:vAlign w:val="center"/>
            <w:shd w:fill="17365D"/>
          </w:tcPr>
          <w:p>
            <w:pPr>
              <w:spacing w:after="20"/>
            </w:pPr>
            <w:r/>
            <w:r>
              <w:rPr>
                <w:rFonts w:ascii="Arial" w:hAnsi="Arial"/>
                <w:b/>
                <w:color w:val="FFFFFF"/>
                <w:sz w:val="17"/>
              </w:rPr>
              <w:t>Statement</w:t>
            </w:r>
          </w:p>
        </w:tc>
        <w:tc>
          <w:tcPr>
            <w:tcW w:type="dxa" w:w="936"/>
            <w:vAlign w:val="center"/>
            <w:shd w:fill="17365D"/>
          </w:tcPr>
          <w:p>
            <w:pPr>
              <w:spacing w:after="20"/>
            </w:pPr>
            <w:r/>
            <w:r>
              <w:rPr>
                <w:rFonts w:ascii="Arial" w:hAnsi="Arial"/>
                <w:b/>
                <w:color w:val="FFFFFF"/>
                <w:sz w:val="17"/>
              </w:rPr>
              <w:t>Priority</w:t>
            </w:r>
          </w:p>
        </w:tc>
      </w:tr>
      <w:tr>
        <w:tc>
          <w:tcPr>
            <w:tcW w:type="dxa" w:w="936"/>
            <w:vAlign w:val="center"/>
          </w:tcPr>
          <w:p>
            <w:pPr>
              <w:spacing w:after="20"/>
            </w:pPr>
            <w:r/>
            <w:r>
              <w:rPr>
                <w:rFonts w:ascii="Arial" w:hAnsi="Arial"/>
                <w:b w:val="0"/>
                <w:sz w:val="16"/>
              </w:rPr>
              <w:t>FR-001</w:t>
            </w:r>
          </w:p>
        </w:tc>
        <w:tc>
          <w:tcPr>
            <w:tcW w:type="dxa" w:w="1800"/>
            <w:vAlign w:val="center"/>
          </w:tcPr>
          <w:p>
            <w:pPr>
              <w:spacing w:after="20"/>
            </w:pPr>
            <w:r/>
            <w:r>
              <w:rPr>
                <w:rFonts w:ascii="Arial" w:hAnsi="Arial"/>
                <w:b w:val="0"/>
                <w:sz w:val="16"/>
              </w:rPr>
              <w:t>Account registration</w:t>
            </w:r>
          </w:p>
        </w:tc>
        <w:tc>
          <w:tcPr>
            <w:tcW w:type="dxa" w:w="7344"/>
            <w:vAlign w:val="center"/>
          </w:tcPr>
          <w:p>
            <w:pPr>
              <w:spacing w:after="20"/>
            </w:pPr>
            <w:r/>
            <w:r>
              <w:rPr>
                <w:rFonts w:ascii="Arial" w:hAnsi="Arial"/>
                <w:b w:val="0"/>
                <w:sz w:val="16"/>
              </w:rPr>
              <w:t>The system shall allow a guest to register using a unique email address and a password that satisfies the configured password policy.</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FR-002</w:t>
            </w:r>
          </w:p>
        </w:tc>
        <w:tc>
          <w:tcPr>
            <w:tcW w:type="dxa" w:w="1800"/>
            <w:vAlign w:val="center"/>
          </w:tcPr>
          <w:p>
            <w:pPr>
              <w:spacing w:after="20"/>
            </w:pPr>
            <w:r/>
            <w:r>
              <w:rPr>
                <w:rFonts w:ascii="Arial" w:hAnsi="Arial"/>
                <w:b w:val="0"/>
                <w:sz w:val="16"/>
              </w:rPr>
              <w:t>Authentication</w:t>
            </w:r>
          </w:p>
        </w:tc>
        <w:tc>
          <w:tcPr>
            <w:tcW w:type="dxa" w:w="7344"/>
            <w:vAlign w:val="center"/>
          </w:tcPr>
          <w:p>
            <w:pPr>
              <w:spacing w:after="20"/>
            </w:pPr>
            <w:r/>
            <w:r>
              <w:rPr>
                <w:rFonts w:ascii="Arial" w:hAnsi="Arial"/>
                <w:b w:val="0"/>
                <w:sz w:val="16"/>
              </w:rPr>
              <w:t>The system shall authenticate registered users and establish a session or token with a configurable expiry.</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FR-003</w:t>
            </w:r>
          </w:p>
        </w:tc>
        <w:tc>
          <w:tcPr>
            <w:tcW w:type="dxa" w:w="1800"/>
            <w:vAlign w:val="center"/>
          </w:tcPr>
          <w:p>
            <w:pPr>
              <w:spacing w:after="20"/>
            </w:pPr>
            <w:r/>
            <w:r>
              <w:rPr>
                <w:rFonts w:ascii="Arial" w:hAnsi="Arial"/>
                <w:b w:val="0"/>
                <w:sz w:val="16"/>
              </w:rPr>
              <w:t>Logout</w:t>
            </w:r>
          </w:p>
        </w:tc>
        <w:tc>
          <w:tcPr>
            <w:tcW w:type="dxa" w:w="7344"/>
            <w:vAlign w:val="center"/>
          </w:tcPr>
          <w:p>
            <w:pPr>
              <w:spacing w:after="20"/>
            </w:pPr>
            <w:r/>
            <w:r>
              <w:rPr>
                <w:rFonts w:ascii="Arial" w:hAnsi="Arial"/>
                <w:b w:val="0"/>
                <w:sz w:val="16"/>
              </w:rPr>
              <w:t>The system shall allow a user to terminate the active session.</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FR-004</w:t>
            </w:r>
          </w:p>
        </w:tc>
        <w:tc>
          <w:tcPr>
            <w:tcW w:type="dxa" w:w="1800"/>
            <w:vAlign w:val="center"/>
          </w:tcPr>
          <w:p>
            <w:pPr>
              <w:spacing w:after="20"/>
            </w:pPr>
            <w:r/>
            <w:r>
              <w:rPr>
                <w:rFonts w:ascii="Arial" w:hAnsi="Arial"/>
                <w:b w:val="0"/>
                <w:sz w:val="16"/>
              </w:rPr>
              <w:t>Account status</w:t>
            </w:r>
          </w:p>
        </w:tc>
        <w:tc>
          <w:tcPr>
            <w:tcW w:type="dxa" w:w="7344"/>
            <w:vAlign w:val="center"/>
          </w:tcPr>
          <w:p>
            <w:pPr>
              <w:spacing w:after="20"/>
            </w:pPr>
            <w:r/>
            <w:r>
              <w:rPr>
                <w:rFonts w:ascii="Arial" w:hAnsi="Arial"/>
                <w:b w:val="0"/>
                <w:sz w:val="16"/>
              </w:rPr>
              <w:t>The system shall reject authentication and protected requests for disabled accounts.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FR-005</w:t>
            </w:r>
          </w:p>
        </w:tc>
        <w:tc>
          <w:tcPr>
            <w:tcW w:type="dxa" w:w="1800"/>
            <w:vAlign w:val="center"/>
          </w:tcPr>
          <w:p>
            <w:pPr>
              <w:spacing w:after="20"/>
            </w:pPr>
            <w:r/>
            <w:r>
              <w:rPr>
                <w:rFonts w:ascii="Arial" w:hAnsi="Arial"/>
                <w:b w:val="0"/>
                <w:sz w:val="16"/>
              </w:rPr>
              <w:t>Profile</w:t>
            </w:r>
          </w:p>
        </w:tc>
        <w:tc>
          <w:tcPr>
            <w:tcW w:type="dxa" w:w="7344"/>
            <w:vAlign w:val="center"/>
          </w:tcPr>
          <w:p>
            <w:pPr>
              <w:spacing w:after="20"/>
            </w:pPr>
            <w:r/>
            <w:r>
              <w:rPr>
                <w:rFonts w:ascii="Arial" w:hAnsi="Arial"/>
                <w:b w:val="0"/>
                <w:sz w:val="16"/>
              </w:rPr>
              <w:t>The system shall allow users to view and update permitted profile fields.</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FR-006</w:t>
            </w:r>
          </w:p>
        </w:tc>
        <w:tc>
          <w:tcPr>
            <w:tcW w:type="dxa" w:w="1800"/>
            <w:vAlign w:val="center"/>
          </w:tcPr>
          <w:p>
            <w:pPr>
              <w:spacing w:after="20"/>
            </w:pPr>
            <w:r/>
            <w:r>
              <w:rPr>
                <w:rFonts w:ascii="Arial" w:hAnsi="Arial"/>
                <w:b w:val="0"/>
                <w:sz w:val="16"/>
              </w:rPr>
              <w:t>Key generation</w:t>
            </w:r>
          </w:p>
        </w:tc>
        <w:tc>
          <w:tcPr>
            <w:tcW w:type="dxa" w:w="7344"/>
            <w:vAlign w:val="center"/>
          </w:tcPr>
          <w:p>
            <w:pPr>
              <w:spacing w:after="20"/>
            </w:pPr>
            <w:r/>
            <w:r>
              <w:rPr>
                <w:rFonts w:ascii="Arial" w:hAnsi="Arial"/>
                <w:b w:val="0"/>
                <w:sz w:val="16"/>
              </w:rPr>
              <w:t>The system shall support generation of the configured PQC and classical key pairs through the cryptographic service.</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FR-007</w:t>
            </w:r>
          </w:p>
        </w:tc>
        <w:tc>
          <w:tcPr>
            <w:tcW w:type="dxa" w:w="1800"/>
            <w:vAlign w:val="center"/>
          </w:tcPr>
          <w:p>
            <w:pPr>
              <w:spacing w:after="20"/>
            </w:pPr>
            <w:r/>
            <w:r>
              <w:rPr>
                <w:rFonts w:ascii="Arial" w:hAnsi="Arial"/>
                <w:b w:val="0"/>
                <w:sz w:val="16"/>
              </w:rPr>
              <w:t>Public-key registration</w:t>
            </w:r>
          </w:p>
        </w:tc>
        <w:tc>
          <w:tcPr>
            <w:tcW w:type="dxa" w:w="7344"/>
            <w:vAlign w:val="center"/>
          </w:tcPr>
          <w:p>
            <w:pPr>
              <w:spacing w:after="20"/>
            </w:pPr>
            <w:r/>
            <w:r>
              <w:rPr>
                <w:rFonts w:ascii="Arial" w:hAnsi="Arial"/>
                <w:b w:val="0"/>
                <w:sz w:val="16"/>
              </w:rPr>
              <w:t>The system shall associate a public key with an authenticated user, algorithm, key identifier, creation time, and status.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FR-008</w:t>
            </w:r>
          </w:p>
        </w:tc>
        <w:tc>
          <w:tcPr>
            <w:tcW w:type="dxa" w:w="1800"/>
            <w:vAlign w:val="center"/>
          </w:tcPr>
          <w:p>
            <w:pPr>
              <w:spacing w:after="20"/>
            </w:pPr>
            <w:r/>
            <w:r>
              <w:rPr>
                <w:rFonts w:ascii="Arial" w:hAnsi="Arial"/>
                <w:b w:val="0"/>
                <w:sz w:val="16"/>
              </w:rPr>
              <w:t>Key versioning</w:t>
            </w:r>
          </w:p>
        </w:tc>
        <w:tc>
          <w:tcPr>
            <w:tcW w:type="dxa" w:w="7344"/>
            <w:vAlign w:val="center"/>
          </w:tcPr>
          <w:p>
            <w:pPr>
              <w:spacing w:after="20"/>
            </w:pPr>
            <w:r/>
            <w:r>
              <w:rPr>
                <w:rFonts w:ascii="Arial" w:hAnsi="Arial"/>
                <w:b w:val="0"/>
                <w:sz w:val="16"/>
              </w:rPr>
              <w:t>The system shall retain key-version metadata so existing packages can identify the exact key used.</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FR-009</w:t>
            </w:r>
          </w:p>
        </w:tc>
        <w:tc>
          <w:tcPr>
            <w:tcW w:type="dxa" w:w="1800"/>
            <w:vAlign w:val="center"/>
          </w:tcPr>
          <w:p>
            <w:pPr>
              <w:spacing w:after="20"/>
            </w:pPr>
            <w:r/>
            <w:r>
              <w:rPr>
                <w:rFonts w:ascii="Arial" w:hAnsi="Arial"/>
                <w:b w:val="0"/>
                <w:sz w:val="16"/>
              </w:rPr>
              <w:t>Key revocation</w:t>
            </w:r>
          </w:p>
        </w:tc>
        <w:tc>
          <w:tcPr>
            <w:tcW w:type="dxa" w:w="7344"/>
            <w:vAlign w:val="center"/>
          </w:tcPr>
          <w:p>
            <w:pPr>
              <w:spacing w:after="20"/>
            </w:pPr>
            <w:r/>
            <w:r>
              <w:rPr>
                <w:rFonts w:ascii="Arial" w:hAnsi="Arial"/>
                <w:b w:val="0"/>
                <w:sz w:val="16"/>
              </w:rPr>
              <w:t>The system shall allow users or authorized administrators to mark a public key as revoked; new sharing shall not use revoked keys.</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FR-010</w:t>
            </w:r>
          </w:p>
        </w:tc>
        <w:tc>
          <w:tcPr>
            <w:tcW w:type="dxa" w:w="1800"/>
            <w:vAlign w:val="center"/>
          </w:tcPr>
          <w:p>
            <w:pPr>
              <w:spacing w:after="20"/>
            </w:pPr>
            <w:r/>
            <w:r>
              <w:rPr>
                <w:rFonts w:ascii="Arial" w:hAnsi="Arial"/>
                <w:b w:val="0"/>
                <w:sz w:val="16"/>
              </w:rPr>
              <w:t>Key custody disclosure</w:t>
            </w:r>
          </w:p>
        </w:tc>
        <w:tc>
          <w:tcPr>
            <w:tcW w:type="dxa" w:w="7344"/>
            <w:vAlign w:val="center"/>
          </w:tcPr>
          <w:p>
            <w:pPr>
              <w:spacing w:after="20"/>
            </w:pPr>
            <w:r/>
            <w:r>
              <w:rPr>
                <w:rFonts w:ascii="Arial" w:hAnsi="Arial"/>
                <w:b w:val="0"/>
                <w:sz w:val="16"/>
              </w:rPr>
              <w:t>The system shall disclose whether private keys are stored server-side, browser-side, or imported by the user.</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FR-011</w:t>
            </w:r>
          </w:p>
        </w:tc>
        <w:tc>
          <w:tcPr>
            <w:tcW w:type="dxa" w:w="1800"/>
            <w:vAlign w:val="center"/>
          </w:tcPr>
          <w:p>
            <w:pPr>
              <w:spacing w:after="20"/>
            </w:pPr>
            <w:r/>
            <w:r>
              <w:rPr>
                <w:rFonts w:ascii="Arial" w:hAnsi="Arial"/>
                <w:b w:val="0"/>
                <w:sz w:val="16"/>
              </w:rPr>
              <w:t>Recipient discovery</w:t>
            </w:r>
          </w:p>
        </w:tc>
        <w:tc>
          <w:tcPr>
            <w:tcW w:type="dxa" w:w="7344"/>
            <w:vAlign w:val="center"/>
          </w:tcPr>
          <w:p>
            <w:pPr>
              <w:spacing w:after="20"/>
            </w:pPr>
            <w:r/>
            <w:r>
              <w:rPr>
                <w:rFonts w:ascii="Arial" w:hAnsi="Arial"/>
                <w:b w:val="0"/>
                <w:sz w:val="16"/>
              </w:rPr>
              <w:t>The system shall allow an authenticated user to search or select eligible recipients without exposing private information beyond the configured policy.</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FR-012</w:t>
            </w:r>
          </w:p>
        </w:tc>
        <w:tc>
          <w:tcPr>
            <w:tcW w:type="dxa" w:w="1800"/>
            <w:vAlign w:val="center"/>
          </w:tcPr>
          <w:p>
            <w:pPr>
              <w:spacing w:after="20"/>
            </w:pPr>
            <w:r/>
            <w:r>
              <w:rPr>
                <w:rFonts w:ascii="Arial" w:hAnsi="Arial"/>
                <w:b w:val="0"/>
                <w:sz w:val="16"/>
              </w:rPr>
              <w:t>Upload initiation</w:t>
            </w:r>
          </w:p>
        </w:tc>
        <w:tc>
          <w:tcPr>
            <w:tcW w:type="dxa" w:w="7344"/>
            <w:vAlign w:val="center"/>
          </w:tcPr>
          <w:p>
            <w:pPr>
              <w:spacing w:after="20"/>
            </w:pPr>
            <w:r/>
            <w:r>
              <w:rPr>
                <w:rFonts w:ascii="Arial" w:hAnsi="Arial"/>
                <w:b w:val="0"/>
                <w:sz w:val="16"/>
              </w:rPr>
              <w:t>The system shall allow an authenticated sender to initiate a file upload and specify recipients and cryptographic mode.</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FR-013</w:t>
            </w:r>
          </w:p>
        </w:tc>
        <w:tc>
          <w:tcPr>
            <w:tcW w:type="dxa" w:w="1800"/>
            <w:vAlign w:val="center"/>
          </w:tcPr>
          <w:p>
            <w:pPr>
              <w:spacing w:after="20"/>
            </w:pPr>
            <w:r/>
            <w:r>
              <w:rPr>
                <w:rFonts w:ascii="Arial" w:hAnsi="Arial"/>
                <w:b w:val="0"/>
                <w:sz w:val="16"/>
              </w:rPr>
              <w:t>Upload validation</w:t>
            </w:r>
          </w:p>
        </w:tc>
        <w:tc>
          <w:tcPr>
            <w:tcW w:type="dxa" w:w="7344"/>
            <w:vAlign w:val="center"/>
          </w:tcPr>
          <w:p>
            <w:pPr>
              <w:spacing w:after="20"/>
            </w:pPr>
            <w:r/>
            <w:r>
              <w:rPr>
                <w:rFonts w:ascii="Arial" w:hAnsi="Arial"/>
                <w:b w:val="0"/>
                <w:sz w:val="16"/>
              </w:rPr>
              <w:t>The system shall validate file size, filename, extension policy, declared content type, and upload completeness.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FR-014</w:t>
            </w:r>
          </w:p>
        </w:tc>
        <w:tc>
          <w:tcPr>
            <w:tcW w:type="dxa" w:w="1800"/>
            <w:vAlign w:val="center"/>
          </w:tcPr>
          <w:p>
            <w:pPr>
              <w:spacing w:after="20"/>
            </w:pPr>
            <w:r/>
            <w:r>
              <w:rPr>
                <w:rFonts w:ascii="Arial" w:hAnsi="Arial"/>
                <w:b w:val="0"/>
                <w:sz w:val="16"/>
              </w:rPr>
              <w:t>File encryption</w:t>
            </w:r>
          </w:p>
        </w:tc>
        <w:tc>
          <w:tcPr>
            <w:tcW w:type="dxa" w:w="7344"/>
            <w:vAlign w:val="center"/>
          </w:tcPr>
          <w:p>
            <w:pPr>
              <w:spacing w:after="20"/>
            </w:pPr>
            <w:r/>
            <w:r>
              <w:rPr>
                <w:rFonts w:ascii="Arial" w:hAnsi="Arial"/>
                <w:b w:val="0"/>
                <w:sz w:val="16"/>
              </w:rPr>
              <w:t>The system shall encrypt file contents using AES-256-GCM before persistent storage.</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FR-015</w:t>
            </w:r>
          </w:p>
        </w:tc>
        <w:tc>
          <w:tcPr>
            <w:tcW w:type="dxa" w:w="1800"/>
            <w:vAlign w:val="center"/>
          </w:tcPr>
          <w:p>
            <w:pPr>
              <w:spacing w:after="20"/>
            </w:pPr>
            <w:r/>
            <w:r>
              <w:rPr>
                <w:rFonts w:ascii="Arial" w:hAnsi="Arial"/>
                <w:b w:val="0"/>
                <w:sz w:val="16"/>
              </w:rPr>
              <w:t>Fresh nonce</w:t>
            </w:r>
          </w:p>
        </w:tc>
        <w:tc>
          <w:tcPr>
            <w:tcW w:type="dxa" w:w="7344"/>
            <w:vAlign w:val="center"/>
          </w:tcPr>
          <w:p>
            <w:pPr>
              <w:spacing w:after="20"/>
            </w:pPr>
            <w:r/>
            <w:r>
              <w:rPr>
                <w:rFonts w:ascii="Arial" w:hAnsi="Arial"/>
                <w:b w:val="0"/>
                <w:sz w:val="16"/>
              </w:rPr>
              <w:t>The system shall generate a fresh nonce for each encryption operation and reject malformed nonce lengths.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FR-016</w:t>
            </w:r>
          </w:p>
        </w:tc>
        <w:tc>
          <w:tcPr>
            <w:tcW w:type="dxa" w:w="1800"/>
            <w:vAlign w:val="center"/>
          </w:tcPr>
          <w:p>
            <w:pPr>
              <w:spacing w:after="20"/>
            </w:pPr>
            <w:r/>
            <w:r>
              <w:rPr>
                <w:rFonts w:ascii="Arial" w:hAnsi="Arial"/>
                <w:b w:val="0"/>
                <w:sz w:val="16"/>
              </w:rPr>
              <w:t>Key establishment</w:t>
            </w:r>
          </w:p>
        </w:tc>
        <w:tc>
          <w:tcPr>
            <w:tcW w:type="dxa" w:w="7344"/>
            <w:vAlign w:val="center"/>
          </w:tcPr>
          <w:p>
            <w:pPr>
              <w:spacing w:after="20"/>
            </w:pPr>
            <w:r/>
            <w:r>
              <w:rPr>
                <w:rFonts w:ascii="Arial" w:hAnsi="Arial"/>
                <w:b w:val="0"/>
                <w:sz w:val="16"/>
              </w:rPr>
              <w:t>In PQC mode, the system shall use ML-KEM-768 to establish a shared secret for each recipient.</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FR-017</w:t>
            </w:r>
          </w:p>
        </w:tc>
        <w:tc>
          <w:tcPr>
            <w:tcW w:type="dxa" w:w="1800"/>
            <w:vAlign w:val="center"/>
          </w:tcPr>
          <w:p>
            <w:pPr>
              <w:spacing w:after="20"/>
            </w:pPr>
            <w:r/>
            <w:r>
              <w:rPr>
                <w:rFonts w:ascii="Arial" w:hAnsi="Arial"/>
                <w:b w:val="0"/>
                <w:sz w:val="16"/>
              </w:rPr>
              <w:t>Key derivation</w:t>
            </w:r>
          </w:p>
        </w:tc>
        <w:tc>
          <w:tcPr>
            <w:tcW w:type="dxa" w:w="7344"/>
            <w:vAlign w:val="center"/>
          </w:tcPr>
          <w:p>
            <w:pPr>
              <w:spacing w:after="20"/>
            </w:pPr>
            <w:r/>
            <w:r>
              <w:rPr>
                <w:rFonts w:ascii="Arial" w:hAnsi="Arial"/>
                <w:b w:val="0"/>
                <w:sz w:val="16"/>
              </w:rPr>
              <w:t>The system shall derive an AES-256 key using HKDF-SHA-256 with a fresh salt and context-bound information.</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FR-018</w:t>
            </w:r>
          </w:p>
        </w:tc>
        <w:tc>
          <w:tcPr>
            <w:tcW w:type="dxa" w:w="1800"/>
            <w:vAlign w:val="center"/>
          </w:tcPr>
          <w:p>
            <w:pPr>
              <w:spacing w:after="20"/>
            </w:pPr>
            <w:r/>
            <w:r>
              <w:rPr>
                <w:rFonts w:ascii="Arial" w:hAnsi="Arial"/>
                <w:b w:val="0"/>
                <w:sz w:val="16"/>
              </w:rPr>
              <w:t>Signature creation</w:t>
            </w:r>
          </w:p>
        </w:tc>
        <w:tc>
          <w:tcPr>
            <w:tcW w:type="dxa" w:w="7344"/>
            <w:vAlign w:val="center"/>
          </w:tcPr>
          <w:p>
            <w:pPr>
              <w:spacing w:after="20"/>
            </w:pPr>
            <w:r/>
            <w:r>
              <w:rPr>
                <w:rFonts w:ascii="Arial" w:hAnsi="Arial"/>
                <w:b w:val="0"/>
                <w:sz w:val="16"/>
              </w:rPr>
              <w:t>The system shall sign a canonical manifest using ML-DSA-65 in PQC mode or Ed25519 in classical mode.</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FR-019</w:t>
            </w:r>
          </w:p>
        </w:tc>
        <w:tc>
          <w:tcPr>
            <w:tcW w:type="dxa" w:w="1800"/>
            <w:vAlign w:val="center"/>
          </w:tcPr>
          <w:p>
            <w:pPr>
              <w:spacing w:after="20"/>
            </w:pPr>
            <w:r/>
            <w:r>
              <w:rPr>
                <w:rFonts w:ascii="Arial" w:hAnsi="Arial"/>
                <w:b w:val="0"/>
                <w:sz w:val="16"/>
              </w:rPr>
              <w:t>Package binding</w:t>
            </w:r>
          </w:p>
        </w:tc>
        <w:tc>
          <w:tcPr>
            <w:tcW w:type="dxa" w:w="7344"/>
            <w:vAlign w:val="center"/>
          </w:tcPr>
          <w:p>
            <w:pPr>
              <w:spacing w:after="20"/>
            </w:pPr>
            <w:r/>
            <w:r>
              <w:rPr>
                <w:rFonts w:ascii="Arial" w:hAnsi="Arial"/>
                <w:b w:val="0"/>
                <w:sz w:val="16"/>
              </w:rPr>
              <w:t>The signed manifest shall bind the package version, file identifier, sender and recipient key identifiers, algorithm suite, encapsulation material, nonce, and encrypted payload digest or equivalent integrity binding.</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FR-020</w:t>
            </w:r>
          </w:p>
        </w:tc>
        <w:tc>
          <w:tcPr>
            <w:tcW w:type="dxa" w:w="1800"/>
            <w:vAlign w:val="center"/>
          </w:tcPr>
          <w:p>
            <w:pPr>
              <w:spacing w:after="20"/>
            </w:pPr>
            <w:r/>
            <w:r>
              <w:rPr>
                <w:rFonts w:ascii="Arial" w:hAnsi="Arial"/>
                <w:b w:val="0"/>
                <w:sz w:val="16"/>
              </w:rPr>
              <w:t>Package persistence</w:t>
            </w:r>
          </w:p>
        </w:tc>
        <w:tc>
          <w:tcPr>
            <w:tcW w:type="dxa" w:w="7344"/>
            <w:vAlign w:val="center"/>
          </w:tcPr>
          <w:p>
            <w:pPr>
              <w:spacing w:after="20"/>
            </w:pPr>
            <w:r/>
            <w:r>
              <w:rPr>
                <w:rFonts w:ascii="Arial" w:hAnsi="Arial"/>
                <w:b w:val="0"/>
                <w:sz w:val="16"/>
              </w:rPr>
              <w:t>The system shall store encrypted payloads and metadata without storing plaintext file contents in persistent storage.</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FR-021</w:t>
            </w:r>
          </w:p>
        </w:tc>
        <w:tc>
          <w:tcPr>
            <w:tcW w:type="dxa" w:w="1800"/>
            <w:vAlign w:val="center"/>
          </w:tcPr>
          <w:p>
            <w:pPr>
              <w:spacing w:after="20"/>
            </w:pPr>
            <w:r/>
            <w:r>
              <w:rPr>
                <w:rFonts w:ascii="Arial" w:hAnsi="Arial"/>
                <w:b w:val="0"/>
                <w:sz w:val="16"/>
              </w:rPr>
              <w:t>Grant creation</w:t>
            </w:r>
          </w:p>
        </w:tc>
        <w:tc>
          <w:tcPr>
            <w:tcW w:type="dxa" w:w="7344"/>
            <w:vAlign w:val="center"/>
          </w:tcPr>
          <w:p>
            <w:pPr>
              <w:spacing w:after="20"/>
            </w:pPr>
            <w:r/>
            <w:r>
              <w:rPr>
                <w:rFonts w:ascii="Arial" w:hAnsi="Arial"/>
                <w:b w:val="0"/>
                <w:sz w:val="16"/>
              </w:rPr>
              <w:t>The system shall create an access grant for each selected recipient only after successful package creation.</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FR-022</w:t>
            </w:r>
          </w:p>
        </w:tc>
        <w:tc>
          <w:tcPr>
            <w:tcW w:type="dxa" w:w="1800"/>
            <w:vAlign w:val="center"/>
          </w:tcPr>
          <w:p>
            <w:pPr>
              <w:spacing w:after="20"/>
            </w:pPr>
            <w:r/>
            <w:r>
              <w:rPr>
                <w:rFonts w:ascii="Arial" w:hAnsi="Arial"/>
                <w:b w:val="0"/>
                <w:sz w:val="16"/>
              </w:rPr>
              <w:t>Sent-file listing</w:t>
            </w:r>
          </w:p>
        </w:tc>
        <w:tc>
          <w:tcPr>
            <w:tcW w:type="dxa" w:w="7344"/>
            <w:vAlign w:val="center"/>
          </w:tcPr>
          <w:p>
            <w:pPr>
              <w:spacing w:after="20"/>
            </w:pPr>
            <w:r/>
            <w:r>
              <w:rPr>
                <w:rFonts w:ascii="Arial" w:hAnsi="Arial"/>
                <w:b w:val="0"/>
                <w:sz w:val="16"/>
              </w:rPr>
              <w:t>The system shall list files shared by the authenticated user with status, recipients, timestamp, and file metadata permitted by policy.</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FR-023</w:t>
            </w:r>
          </w:p>
        </w:tc>
        <w:tc>
          <w:tcPr>
            <w:tcW w:type="dxa" w:w="1800"/>
            <w:vAlign w:val="center"/>
          </w:tcPr>
          <w:p>
            <w:pPr>
              <w:spacing w:after="20"/>
            </w:pPr>
            <w:r/>
            <w:r>
              <w:rPr>
                <w:rFonts w:ascii="Arial" w:hAnsi="Arial"/>
                <w:b w:val="0"/>
                <w:sz w:val="16"/>
              </w:rPr>
              <w:t>Received-file listing</w:t>
            </w:r>
          </w:p>
        </w:tc>
        <w:tc>
          <w:tcPr>
            <w:tcW w:type="dxa" w:w="7344"/>
            <w:vAlign w:val="center"/>
          </w:tcPr>
          <w:p>
            <w:pPr>
              <w:spacing w:after="20"/>
            </w:pPr>
            <w:r/>
            <w:r>
              <w:rPr>
                <w:rFonts w:ascii="Arial" w:hAnsi="Arial"/>
                <w:b w:val="0"/>
                <w:sz w:val="16"/>
              </w:rPr>
              <w:t>The system shall list files shared with the authenticated user.</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FR-024</w:t>
            </w:r>
          </w:p>
        </w:tc>
        <w:tc>
          <w:tcPr>
            <w:tcW w:type="dxa" w:w="1800"/>
            <w:vAlign w:val="center"/>
          </w:tcPr>
          <w:p>
            <w:pPr>
              <w:spacing w:after="20"/>
            </w:pPr>
            <w:r/>
            <w:r>
              <w:rPr>
                <w:rFonts w:ascii="Arial" w:hAnsi="Arial"/>
                <w:b w:val="0"/>
                <w:sz w:val="16"/>
              </w:rPr>
              <w:t>Authorization</w:t>
            </w:r>
          </w:p>
        </w:tc>
        <w:tc>
          <w:tcPr>
            <w:tcW w:type="dxa" w:w="7344"/>
            <w:vAlign w:val="center"/>
          </w:tcPr>
          <w:p>
            <w:pPr>
              <w:spacing w:after="20"/>
            </w:pPr>
            <w:r/>
            <w:r>
              <w:rPr>
                <w:rFonts w:ascii="Arial" w:hAnsi="Arial"/>
                <w:b w:val="0"/>
                <w:sz w:val="16"/>
              </w:rPr>
              <w:t>The system shall verify recipient access rights before returning encrypted payloads or package data.</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FR-025</w:t>
            </w:r>
          </w:p>
        </w:tc>
        <w:tc>
          <w:tcPr>
            <w:tcW w:type="dxa" w:w="1800"/>
            <w:vAlign w:val="center"/>
          </w:tcPr>
          <w:p>
            <w:pPr>
              <w:spacing w:after="20"/>
            </w:pPr>
            <w:r/>
            <w:r>
              <w:rPr>
                <w:rFonts w:ascii="Arial" w:hAnsi="Arial"/>
                <w:b w:val="0"/>
                <w:sz w:val="16"/>
              </w:rPr>
              <w:t>Signature verification</w:t>
            </w:r>
          </w:p>
        </w:tc>
        <w:tc>
          <w:tcPr>
            <w:tcW w:type="dxa" w:w="7344"/>
            <w:vAlign w:val="center"/>
          </w:tcPr>
          <w:p>
            <w:pPr>
              <w:spacing w:after="20"/>
            </w:pPr>
            <w:r/>
            <w:r>
              <w:rPr>
                <w:rFonts w:ascii="Arial" w:hAnsi="Arial"/>
                <w:b w:val="0"/>
                <w:sz w:val="16"/>
              </w:rPr>
              <w:t>The system shall verify the sender signature against a trusted, correctly bound sender public key before decrypting or releasing plaintext.</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FR-026</w:t>
            </w:r>
          </w:p>
        </w:tc>
        <w:tc>
          <w:tcPr>
            <w:tcW w:type="dxa" w:w="1800"/>
            <w:vAlign w:val="center"/>
          </w:tcPr>
          <w:p>
            <w:pPr>
              <w:spacing w:after="20"/>
            </w:pPr>
            <w:r/>
            <w:r>
              <w:rPr>
                <w:rFonts w:ascii="Arial" w:hAnsi="Arial"/>
                <w:b w:val="0"/>
                <w:sz w:val="16"/>
              </w:rPr>
              <w:t>Decryption</w:t>
            </w:r>
          </w:p>
        </w:tc>
        <w:tc>
          <w:tcPr>
            <w:tcW w:type="dxa" w:w="7344"/>
            <w:vAlign w:val="center"/>
          </w:tcPr>
          <w:p>
            <w:pPr>
              <w:spacing w:after="20"/>
            </w:pPr>
            <w:r/>
            <w:r>
              <w:rPr>
                <w:rFonts w:ascii="Arial" w:hAnsi="Arial"/>
                <w:b w:val="0"/>
                <w:sz w:val="16"/>
              </w:rPr>
              <w:t>The system shall decapsulate or derive the shared secret, derive the file key, and decrypt the file only for an authorized recipient.</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FR-027</w:t>
            </w:r>
          </w:p>
        </w:tc>
        <w:tc>
          <w:tcPr>
            <w:tcW w:type="dxa" w:w="1800"/>
            <w:vAlign w:val="center"/>
          </w:tcPr>
          <w:p>
            <w:pPr>
              <w:spacing w:after="20"/>
            </w:pPr>
            <w:r/>
            <w:r>
              <w:rPr>
                <w:rFonts w:ascii="Arial" w:hAnsi="Arial"/>
                <w:b w:val="0"/>
                <w:sz w:val="16"/>
              </w:rPr>
              <w:t>Tamper handling</w:t>
            </w:r>
          </w:p>
        </w:tc>
        <w:tc>
          <w:tcPr>
            <w:tcW w:type="dxa" w:w="7344"/>
            <w:vAlign w:val="center"/>
          </w:tcPr>
          <w:p>
            <w:pPr>
              <w:spacing w:after="20"/>
            </w:pPr>
            <w:r/>
            <w:r>
              <w:rPr>
                <w:rFonts w:ascii="Arial" w:hAnsi="Arial"/>
                <w:b w:val="0"/>
                <w:sz w:val="16"/>
              </w:rPr>
              <w:t>The system shall reject packages that fail signature verification, AEAD authentication, digest checks, or structural validation.</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FR-028</w:t>
            </w:r>
          </w:p>
        </w:tc>
        <w:tc>
          <w:tcPr>
            <w:tcW w:type="dxa" w:w="1800"/>
            <w:vAlign w:val="center"/>
          </w:tcPr>
          <w:p>
            <w:pPr>
              <w:spacing w:after="20"/>
            </w:pPr>
            <w:r/>
            <w:r>
              <w:rPr>
                <w:rFonts w:ascii="Arial" w:hAnsi="Arial"/>
                <w:b w:val="0"/>
                <w:sz w:val="16"/>
              </w:rPr>
              <w:t>Download</w:t>
            </w:r>
          </w:p>
        </w:tc>
        <w:tc>
          <w:tcPr>
            <w:tcW w:type="dxa" w:w="7344"/>
            <w:vAlign w:val="center"/>
          </w:tcPr>
          <w:p>
            <w:pPr>
              <w:spacing w:after="20"/>
            </w:pPr>
            <w:r/>
            <w:r>
              <w:rPr>
                <w:rFonts w:ascii="Arial" w:hAnsi="Arial"/>
                <w:b w:val="0"/>
                <w:sz w:val="16"/>
              </w:rPr>
              <w:t>The system shall provide a download flow that returns the decrypted file only after all required verification steps succeed.</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FR-029</w:t>
            </w:r>
          </w:p>
        </w:tc>
        <w:tc>
          <w:tcPr>
            <w:tcW w:type="dxa" w:w="1800"/>
            <w:vAlign w:val="center"/>
          </w:tcPr>
          <w:p>
            <w:pPr>
              <w:spacing w:after="20"/>
            </w:pPr>
            <w:r/>
            <w:r>
              <w:rPr>
                <w:rFonts w:ascii="Arial" w:hAnsi="Arial"/>
                <w:b w:val="0"/>
                <w:sz w:val="16"/>
              </w:rPr>
              <w:t>Sharing revocation</w:t>
            </w:r>
          </w:p>
        </w:tc>
        <w:tc>
          <w:tcPr>
            <w:tcW w:type="dxa" w:w="7344"/>
            <w:vAlign w:val="center"/>
          </w:tcPr>
          <w:p>
            <w:pPr>
              <w:spacing w:after="20"/>
            </w:pPr>
            <w:r/>
            <w:r>
              <w:rPr>
                <w:rFonts w:ascii="Arial" w:hAnsi="Arial"/>
                <w:b w:val="0"/>
                <w:sz w:val="16"/>
              </w:rPr>
              <w:t>The system shall allow the sender to revoke future access to a shared package where technically possible and clearly explain that previously downloaded plaintext cannot be recalled.</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FR-030</w:t>
            </w:r>
          </w:p>
        </w:tc>
        <w:tc>
          <w:tcPr>
            <w:tcW w:type="dxa" w:w="1800"/>
            <w:vAlign w:val="center"/>
          </w:tcPr>
          <w:p>
            <w:pPr>
              <w:spacing w:after="20"/>
            </w:pPr>
            <w:r/>
            <w:r>
              <w:rPr>
                <w:rFonts w:ascii="Arial" w:hAnsi="Arial"/>
                <w:b w:val="0"/>
                <w:sz w:val="16"/>
              </w:rPr>
              <w:t>Deletion</w:t>
            </w:r>
          </w:p>
        </w:tc>
        <w:tc>
          <w:tcPr>
            <w:tcW w:type="dxa" w:w="7344"/>
            <w:vAlign w:val="center"/>
          </w:tcPr>
          <w:p>
            <w:pPr>
              <w:spacing w:after="20"/>
            </w:pPr>
            <w:r/>
            <w:r>
              <w:rPr>
                <w:rFonts w:ascii="Arial" w:hAnsi="Arial"/>
                <w:b w:val="0"/>
                <w:sz w:val="16"/>
              </w:rPr>
              <w:t>The system shall allow permitted users to request deletion of their files and associated metadata, subject to retention and audit rules.</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FR-037</w:t>
            </w:r>
          </w:p>
        </w:tc>
        <w:tc>
          <w:tcPr>
            <w:tcW w:type="dxa" w:w="1800"/>
            <w:vAlign w:val="center"/>
          </w:tcPr>
          <w:p>
            <w:pPr>
              <w:spacing w:after="20"/>
            </w:pPr>
            <w:r/>
            <w:r>
              <w:rPr>
                <w:rFonts w:ascii="Arial" w:hAnsi="Arial"/>
                <w:b w:val="0"/>
                <w:sz w:val="16"/>
              </w:rPr>
              <w:t>Audit events</w:t>
            </w:r>
          </w:p>
        </w:tc>
        <w:tc>
          <w:tcPr>
            <w:tcW w:type="dxa" w:w="7344"/>
            <w:vAlign w:val="center"/>
          </w:tcPr>
          <w:p>
            <w:pPr>
              <w:spacing w:after="20"/>
            </w:pPr>
            <w:r/>
            <w:r>
              <w:rPr>
                <w:rFonts w:ascii="Arial" w:hAnsi="Arial"/>
                <w:b w:val="0"/>
                <w:sz w:val="16"/>
              </w:rPr>
              <w:t>The system shall record security-relevant events such as login failures, key registration/revocation, upload, share, download, signature failure, and administrative actions.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FR-038</w:t>
            </w:r>
          </w:p>
        </w:tc>
        <w:tc>
          <w:tcPr>
            <w:tcW w:type="dxa" w:w="1800"/>
            <w:vAlign w:val="center"/>
          </w:tcPr>
          <w:p>
            <w:pPr>
              <w:spacing w:after="20"/>
            </w:pPr>
            <w:r/>
            <w:r>
              <w:rPr>
                <w:rFonts w:ascii="Arial" w:hAnsi="Arial"/>
                <w:b w:val="0"/>
                <w:sz w:val="16"/>
              </w:rPr>
              <w:t>Audit secrecy</w:t>
            </w:r>
          </w:p>
        </w:tc>
        <w:tc>
          <w:tcPr>
            <w:tcW w:type="dxa" w:w="7344"/>
            <w:vAlign w:val="center"/>
          </w:tcPr>
          <w:p>
            <w:pPr>
              <w:spacing w:after="20"/>
            </w:pPr>
            <w:r/>
            <w:r>
              <w:rPr>
                <w:rFonts w:ascii="Arial" w:hAnsi="Arial"/>
                <w:b w:val="0"/>
                <w:sz w:val="16"/>
              </w:rPr>
              <w:t>Audit records shall not contain passwords, private keys, shared secrets, derived keys, access tokens, or plaintext file contents.</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FR-039</w:t>
            </w:r>
          </w:p>
        </w:tc>
        <w:tc>
          <w:tcPr>
            <w:tcW w:type="dxa" w:w="1800"/>
            <w:vAlign w:val="center"/>
          </w:tcPr>
          <w:p>
            <w:pPr>
              <w:spacing w:after="20"/>
            </w:pPr>
            <w:r/>
            <w:r>
              <w:rPr>
                <w:rFonts w:ascii="Arial" w:hAnsi="Arial"/>
                <w:b w:val="0"/>
                <w:sz w:val="16"/>
              </w:rPr>
              <w:t>Error messages</w:t>
            </w:r>
          </w:p>
        </w:tc>
        <w:tc>
          <w:tcPr>
            <w:tcW w:type="dxa" w:w="7344"/>
            <w:vAlign w:val="center"/>
          </w:tcPr>
          <w:p>
            <w:pPr>
              <w:spacing w:after="20"/>
            </w:pPr>
            <w:r/>
            <w:r>
              <w:rPr>
                <w:rFonts w:ascii="Arial" w:hAnsi="Arial"/>
                <w:b w:val="0"/>
                <w:sz w:val="16"/>
              </w:rPr>
              <w:t>The system shall return consistent error codes and safe user-facing messages without exposing stack traces or secret data.</w:t>
            </w:r>
          </w:p>
        </w:tc>
        <w:tc>
          <w:tcPr>
            <w:tcW w:type="dxa" w:w="936"/>
            <w:vAlign w:val="center"/>
          </w:tcPr>
          <w:p>
            <w:pPr>
              <w:spacing w:after="20"/>
            </w:pPr>
            <w:r/>
            <w:r>
              <w:rPr>
                <w:rFonts w:ascii="Arial" w:hAnsi="Arial"/>
                <w:b w:val="0"/>
                <w:sz w:val="16"/>
              </w:rPr>
              <w:t>P0</w:t>
            </w:r>
          </w:p>
        </w:tc>
      </w:tr>
      <w:tr>
        <w:tc>
          <w:tcPr>
            <w:tcW w:type="dxa" w:w="936"/>
            <w:vAlign w:val="center"/>
          </w:tcPr>
          <w:p>
            <w:pPr>
              <w:spacing w:after="20"/>
            </w:pPr>
            <w:r/>
            <w:r>
              <w:rPr>
                <w:rFonts w:ascii="Arial" w:hAnsi="Arial"/>
                <w:b w:val="0"/>
                <w:sz w:val="16"/>
              </w:rPr>
              <w:t>FR-040</w:t>
            </w:r>
          </w:p>
        </w:tc>
        <w:tc>
          <w:tcPr>
            <w:tcW w:type="dxa" w:w="1800"/>
            <w:vAlign w:val="center"/>
          </w:tcPr>
          <w:p>
            <w:pPr>
              <w:spacing w:after="20"/>
            </w:pPr>
            <w:r/>
            <w:r>
              <w:rPr>
                <w:rFonts w:ascii="Arial" w:hAnsi="Arial"/>
                <w:b w:val="0"/>
                <w:sz w:val="16"/>
              </w:rPr>
              <w:t>Health status</w:t>
            </w:r>
          </w:p>
        </w:tc>
        <w:tc>
          <w:tcPr>
            <w:tcW w:type="dxa" w:w="7344"/>
            <w:vAlign w:val="center"/>
          </w:tcPr>
          <w:p>
            <w:pPr>
              <w:spacing w:after="20"/>
            </w:pPr>
            <w:r/>
            <w:r>
              <w:rPr>
                <w:rFonts w:ascii="Arial" w:hAnsi="Arial"/>
                <w:b w:val="0"/>
                <w:sz w:val="16"/>
              </w:rPr>
              <w:t>The system shall expose a restricted or sanitized health endpoint for application and dependency status.</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FR-041</w:t>
            </w:r>
          </w:p>
        </w:tc>
        <w:tc>
          <w:tcPr>
            <w:tcW w:type="dxa" w:w="1800"/>
            <w:vAlign w:val="center"/>
          </w:tcPr>
          <w:p>
            <w:pPr>
              <w:spacing w:after="20"/>
            </w:pPr>
            <w:r/>
            <w:r>
              <w:rPr>
                <w:rFonts w:ascii="Arial" w:hAnsi="Arial"/>
                <w:b w:val="0"/>
                <w:sz w:val="16"/>
              </w:rPr>
              <w:t>Responsive interface</w:t>
            </w:r>
          </w:p>
        </w:tc>
        <w:tc>
          <w:tcPr>
            <w:tcW w:type="dxa" w:w="7344"/>
            <w:vAlign w:val="center"/>
          </w:tcPr>
          <w:p>
            <w:pPr>
              <w:spacing w:after="20"/>
            </w:pPr>
            <w:r/>
            <w:r>
              <w:rPr>
                <w:rFonts w:ascii="Arial" w:hAnsi="Arial"/>
                <w:b w:val="0"/>
                <w:sz w:val="16"/>
              </w:rPr>
              <w:t>The frontend shall support common desktop and mobile viewport sizes.</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FR-042</w:t>
            </w:r>
          </w:p>
        </w:tc>
        <w:tc>
          <w:tcPr>
            <w:tcW w:type="dxa" w:w="1800"/>
            <w:vAlign w:val="center"/>
          </w:tcPr>
          <w:p>
            <w:pPr>
              <w:spacing w:after="20"/>
            </w:pPr>
            <w:r/>
            <w:r>
              <w:rPr>
                <w:rFonts w:ascii="Arial" w:hAnsi="Arial"/>
                <w:b w:val="0"/>
                <w:sz w:val="16"/>
              </w:rPr>
              <w:t>Accessibility</w:t>
            </w:r>
          </w:p>
        </w:tc>
        <w:tc>
          <w:tcPr>
            <w:tcW w:type="dxa" w:w="7344"/>
            <w:vAlign w:val="center"/>
          </w:tcPr>
          <w:p>
            <w:pPr>
              <w:spacing w:after="20"/>
            </w:pPr>
            <w:r/>
            <w:r>
              <w:rPr>
                <w:rFonts w:ascii="Arial" w:hAnsi="Arial"/>
                <w:b w:val="0"/>
                <w:sz w:val="16"/>
              </w:rPr>
              <w:t>The frontend should support keyboard navigation, visible focus, labels, and readable contrast.</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FR-043</w:t>
            </w:r>
          </w:p>
        </w:tc>
        <w:tc>
          <w:tcPr>
            <w:tcW w:type="dxa" w:w="1800"/>
            <w:vAlign w:val="center"/>
          </w:tcPr>
          <w:p>
            <w:pPr>
              <w:spacing w:after="20"/>
            </w:pPr>
            <w:r/>
            <w:r>
              <w:rPr>
                <w:rFonts w:ascii="Arial" w:hAnsi="Arial"/>
                <w:b w:val="0"/>
                <w:sz w:val="16"/>
              </w:rPr>
              <w:t>Algorithm agility</w:t>
            </w:r>
          </w:p>
        </w:tc>
        <w:tc>
          <w:tcPr>
            <w:tcW w:type="dxa" w:w="7344"/>
            <w:vAlign w:val="center"/>
          </w:tcPr>
          <w:p>
            <w:pPr>
              <w:spacing w:after="20"/>
            </w:pPr>
            <w:r/>
            <w:r>
              <w:rPr>
                <w:rFonts w:ascii="Arial" w:hAnsi="Arial"/>
                <w:b w:val="0"/>
                <w:sz w:val="16"/>
              </w:rPr>
              <w:t>The package format and backend interfaces shall support adding or retiring algorithm profiles without changing the entire file-sharing workflow.</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FR-044</w:t>
            </w:r>
          </w:p>
        </w:tc>
        <w:tc>
          <w:tcPr>
            <w:tcW w:type="dxa" w:w="1800"/>
            <w:vAlign w:val="center"/>
          </w:tcPr>
          <w:p>
            <w:pPr>
              <w:spacing w:after="20"/>
            </w:pPr>
            <w:r/>
            <w:r>
              <w:rPr>
                <w:rFonts w:ascii="Arial" w:hAnsi="Arial"/>
                <w:b w:val="0"/>
                <w:sz w:val="16"/>
              </w:rPr>
              <w:t>Admin user management</w:t>
            </w:r>
          </w:p>
        </w:tc>
        <w:tc>
          <w:tcPr>
            <w:tcW w:type="dxa" w:w="7344"/>
            <w:vAlign w:val="center"/>
          </w:tcPr>
          <w:p>
            <w:pPr>
              <w:spacing w:after="20"/>
            </w:pPr>
            <w:r/>
            <w:r>
              <w:rPr>
                <w:rFonts w:ascii="Arial" w:hAnsi="Arial"/>
                <w:b w:val="0"/>
                <w:sz w:val="16"/>
              </w:rPr>
              <w:t>An administrator shall be able to disable accounts and inspect operational audit events without being granted automatic file decryption capability.</w:t>
            </w:r>
          </w:p>
        </w:tc>
        <w:tc>
          <w:tcPr>
            <w:tcW w:type="dxa" w:w="936"/>
            <w:vAlign w:val="center"/>
          </w:tcPr>
          <w:p>
            <w:pPr>
              <w:spacing w:after="20"/>
            </w:pPr>
            <w:r/>
            <w:r>
              <w:rPr>
                <w:rFonts w:ascii="Arial" w:hAnsi="Arial"/>
                <w:b w:val="0"/>
                <w:sz w:val="16"/>
              </w:rPr>
              <w:t>P1</w:t>
            </w:r>
          </w:p>
        </w:tc>
      </w:tr>
      <w:tr>
        <w:tc>
          <w:tcPr>
            <w:tcW w:type="dxa" w:w="936"/>
            <w:vAlign w:val="center"/>
          </w:tcPr>
          <w:p>
            <w:pPr>
              <w:spacing w:after="20"/>
            </w:pPr>
            <w:r/>
            <w:r>
              <w:rPr>
                <w:rFonts w:ascii="Arial" w:hAnsi="Arial"/>
                <w:b w:val="0"/>
                <w:sz w:val="16"/>
              </w:rPr>
              <w:t>FR-045</w:t>
            </w:r>
          </w:p>
        </w:tc>
        <w:tc>
          <w:tcPr>
            <w:tcW w:type="dxa" w:w="1800"/>
            <w:vAlign w:val="center"/>
          </w:tcPr>
          <w:p>
            <w:pPr>
              <w:spacing w:after="20"/>
            </w:pPr>
            <w:r/>
            <w:r>
              <w:rPr>
                <w:rFonts w:ascii="Arial" w:hAnsi="Arial"/>
                <w:b w:val="0"/>
                <w:sz w:val="16"/>
              </w:rPr>
              <w:t>Concurrent operations</w:t>
            </w:r>
          </w:p>
        </w:tc>
        <w:tc>
          <w:tcPr>
            <w:tcW w:type="dxa" w:w="7344"/>
            <w:vAlign w:val="center"/>
          </w:tcPr>
          <w:p>
            <w:r>
              <w:t>The system shall handle concurrent uploads within configured resource limits.</w:t>
            </w:r>
          </w:p>
        </w:tc>
        <w:tc>
          <w:tcPr>
            <w:tcW w:type="dxa" w:w="936"/>
            <w:vAlign w:val="center"/>
          </w:tcPr>
          <w:p>
            <w:pPr>
              <w:spacing w:after="20"/>
            </w:pPr>
            <w:r/>
            <w:r>
              <w:rPr>
                <w:rFonts w:ascii="Arial" w:hAnsi="Arial"/>
                <w:b w:val="0"/>
                <w:sz w:val="16"/>
              </w:rPr>
              <w:t>P1</w:t>
            </w:r>
          </w:p>
        </w:tc>
      </w:tr>
    </w:tbl>
    <w:p/>
    <w:p>
      <w:pPr>
        <w:pStyle w:val="Heading1"/>
        <w:keepNext/>
      </w:pPr>
      <w:r>
        <w:t>5. External Interface Requirements</w:t>
      </w:r>
    </w:p>
    <w:p>
      <w:pPr>
        <w:pStyle w:val="Heading2"/>
        <w:keepNext/>
      </w:pPr>
      <w:r>
        <w:t>5.1 User Interface Requirements</w:t>
      </w:r>
    </w:p>
    <w:p>
      <w:pPr>
        <w:pStyle w:val="ListBullet"/>
        <w:spacing w:after="40"/>
      </w:pPr>
      <w:r>
        <w:t>The application shall provide pages for landing, registration, login, dashboard, key management, upload/share, sent files, received files, file details, and account settings.</w:t>
      </w:r>
    </w:p>
    <w:p>
      <w:pPr>
        <w:pStyle w:val="ListBullet"/>
        <w:spacing w:after="40"/>
      </w:pPr>
      <w:r>
        <w:t>Forms shall display inline validation messages and preserve safe, non-sensitive form values after recoverable validation errors.</w:t>
      </w:r>
    </w:p>
    <w:p>
      <w:pPr>
        <w:pStyle w:val="ListBullet"/>
        <w:spacing w:after="40"/>
      </w:pPr>
      <w:r>
        <w:t>The upload page shall display file name, size, selected recipients, selected cryptographic mode, and upload progress.</w:t>
      </w:r>
    </w:p>
    <w:p>
      <w:pPr>
        <w:pStyle w:val="ListBullet"/>
        <w:spacing w:after="40"/>
      </w:pPr>
      <w:r>
        <w:t>The file details page shall display sender, recipients, creation time, algorithm suite, verification status, and available actions.</w:t>
      </w:r>
    </w:p>
    <w:p>
      <w:pPr>
        <w:pStyle w:val="ListBullet"/>
        <w:spacing w:after="40"/>
      </w:pPr>
      <w:r>
        <w:t>Destructive actions such as revoke and delete shall require confirmation.</w:t>
      </w:r>
    </w:p>
    <w:p>
      <w:pPr>
        <w:pStyle w:val="ListBullet"/>
        <w:spacing w:after="40"/>
      </w:pPr>
      <w:r>
        <w:t>Security failures shall be presented in clear terms, such as “Signature verification failed; file was not decrypted.”</w:t>
      </w:r>
    </w:p>
    <w:p>
      <w:pPr>
        <w:pStyle w:val="Heading2"/>
        <w:keepNext/>
      </w:pPr>
      <w:r>
        <w:t>5.2 REST API Requirements</w:t>
      </w:r>
    </w:p>
    <w:p>
      <w:r>
        <w:t>The API shall use JSON for metadata requests and multipart or streaming requests for file upload. Binary values shall use a documented encoding. All protected endpoints shall require authentication and enforce object-level authorization.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Method / endpoint</w:t>
            </w:r>
          </w:p>
        </w:tc>
        <w:tc>
          <w:tcPr>
            <w:tcW w:type="dxa" w:w="3312"/>
            <w:vAlign w:val="center"/>
            <w:shd w:fill="17365D"/>
          </w:tcPr>
          <w:p>
            <w:pPr>
              <w:spacing w:after="20"/>
            </w:pPr>
            <w:r/>
            <w:r>
              <w:rPr>
                <w:rFonts w:ascii="Arial" w:hAnsi="Arial"/>
                <w:b/>
                <w:color w:val="FFFFFF"/>
                <w:sz w:val="17"/>
              </w:rPr>
              <w:t>Purpose</w:t>
            </w:r>
          </w:p>
        </w:tc>
        <w:tc>
          <w:tcPr>
            <w:tcW w:type="dxa" w:w="3312"/>
            <w:vAlign w:val="center"/>
            <w:shd w:fill="17365D"/>
          </w:tcPr>
          <w:p>
            <w:pPr>
              <w:spacing w:after="20"/>
            </w:pPr>
            <w:r/>
            <w:r>
              <w:rPr>
                <w:rFonts w:ascii="Arial" w:hAnsi="Arial"/>
                <w:b/>
                <w:color w:val="FFFFFF"/>
                <w:sz w:val="17"/>
              </w:rPr>
              <w:t>Typical request / response</w:t>
            </w:r>
          </w:p>
        </w:tc>
      </w:tr>
      <w:tr>
        <w:tc>
          <w:tcPr>
            <w:tcW w:type="dxa" w:w="3312"/>
            <w:vAlign w:val="center"/>
          </w:tcPr>
          <w:p>
            <w:pPr>
              <w:spacing w:after="20"/>
            </w:pPr>
            <w:r/>
            <w:r>
              <w:rPr>
                <w:rFonts w:ascii="Arial" w:hAnsi="Arial"/>
                <w:b w:val="0"/>
                <w:sz w:val="16"/>
              </w:rPr>
              <w:t>POST /api/v1/auth/register</w:t>
            </w:r>
          </w:p>
        </w:tc>
        <w:tc>
          <w:tcPr>
            <w:tcW w:type="dxa" w:w="3312"/>
            <w:vAlign w:val="center"/>
          </w:tcPr>
          <w:p>
            <w:pPr>
              <w:spacing w:after="20"/>
            </w:pPr>
            <w:r/>
            <w:r>
              <w:rPr>
                <w:rFonts w:ascii="Arial" w:hAnsi="Arial"/>
                <w:b w:val="0"/>
                <w:sz w:val="16"/>
              </w:rPr>
              <w:t>Create account</w:t>
            </w:r>
          </w:p>
        </w:tc>
        <w:tc>
          <w:tcPr>
            <w:tcW w:type="dxa" w:w="3312"/>
            <w:vAlign w:val="center"/>
          </w:tcPr>
          <w:p>
            <w:pPr>
              <w:spacing w:after="20"/>
            </w:pPr>
            <w:r/>
            <w:r>
              <w:rPr>
                <w:rFonts w:ascii="Arial" w:hAnsi="Arial"/>
                <w:b w:val="0"/>
                <w:sz w:val="16"/>
              </w:rPr>
              <w:t>Email, password; returns user ID and status.</w:t>
            </w:r>
          </w:p>
        </w:tc>
      </w:tr>
      <w:tr>
        <w:tc>
          <w:tcPr>
            <w:tcW w:type="dxa" w:w="3312"/>
            <w:vAlign w:val="center"/>
          </w:tcPr>
          <w:p>
            <w:pPr>
              <w:spacing w:after="20"/>
            </w:pPr>
            <w:r/>
            <w:r>
              <w:rPr>
                <w:rFonts w:ascii="Arial" w:hAnsi="Arial"/>
                <w:b w:val="0"/>
                <w:sz w:val="16"/>
              </w:rPr>
              <w:t>POST /api/v1/auth/login</w:t>
            </w:r>
          </w:p>
        </w:tc>
        <w:tc>
          <w:tcPr>
            <w:tcW w:type="dxa" w:w="3312"/>
            <w:vAlign w:val="center"/>
          </w:tcPr>
          <w:p>
            <w:pPr>
              <w:spacing w:after="20"/>
            </w:pPr>
            <w:r/>
            <w:r>
              <w:rPr>
                <w:rFonts w:ascii="Arial" w:hAnsi="Arial"/>
                <w:b w:val="0"/>
                <w:sz w:val="16"/>
              </w:rPr>
              <w:t>Authenticate</w:t>
            </w:r>
          </w:p>
        </w:tc>
        <w:tc>
          <w:tcPr>
            <w:tcW w:type="dxa" w:w="3312"/>
            <w:vAlign w:val="center"/>
          </w:tcPr>
          <w:p>
            <w:pPr>
              <w:spacing w:after="20"/>
            </w:pPr>
            <w:r/>
            <w:r>
              <w:rPr>
                <w:rFonts w:ascii="Arial" w:hAnsi="Arial"/>
                <w:b w:val="0"/>
                <w:sz w:val="16"/>
              </w:rPr>
              <w:t>Credentials; returns session/token response.</w:t>
            </w:r>
          </w:p>
        </w:tc>
      </w:tr>
      <w:tr>
        <w:tc>
          <w:tcPr>
            <w:tcW w:type="dxa" w:w="3312"/>
            <w:vAlign w:val="center"/>
          </w:tcPr>
          <w:p>
            <w:pPr>
              <w:spacing w:after="20"/>
            </w:pPr>
            <w:r/>
            <w:r>
              <w:rPr>
                <w:rFonts w:ascii="Arial" w:hAnsi="Arial"/>
                <w:b w:val="0"/>
                <w:sz w:val="16"/>
              </w:rPr>
              <w:t>POST /api/v1/auth/logout</w:t>
            </w:r>
          </w:p>
        </w:tc>
        <w:tc>
          <w:tcPr>
            <w:tcW w:type="dxa" w:w="3312"/>
            <w:vAlign w:val="center"/>
          </w:tcPr>
          <w:p>
            <w:pPr>
              <w:spacing w:after="20"/>
            </w:pPr>
            <w:r/>
            <w:r>
              <w:rPr>
                <w:rFonts w:ascii="Arial" w:hAnsi="Arial"/>
                <w:b w:val="0"/>
                <w:sz w:val="16"/>
              </w:rPr>
              <w:t>Terminate session</w:t>
            </w:r>
          </w:p>
        </w:tc>
        <w:tc>
          <w:tcPr>
            <w:tcW w:type="dxa" w:w="3312"/>
            <w:vAlign w:val="center"/>
          </w:tcPr>
          <w:p>
            <w:pPr>
              <w:spacing w:after="20"/>
            </w:pPr>
            <w:r/>
            <w:r>
              <w:rPr>
                <w:rFonts w:ascii="Arial" w:hAnsi="Arial"/>
                <w:b w:val="0"/>
                <w:sz w:val="16"/>
              </w:rPr>
              <w:t>Returns success status.</w:t>
            </w:r>
          </w:p>
        </w:tc>
      </w:tr>
      <w:tr>
        <w:tc>
          <w:tcPr>
            <w:tcW w:type="dxa" w:w="3312"/>
            <w:vAlign w:val="center"/>
          </w:tcPr>
          <w:p>
            <w:pPr>
              <w:spacing w:after="20"/>
            </w:pPr>
            <w:r/>
            <w:r>
              <w:rPr>
                <w:rFonts w:ascii="Arial" w:hAnsi="Arial"/>
                <w:b w:val="0"/>
                <w:sz w:val="16"/>
              </w:rPr>
              <w:t>GET /api/v1/users/me</w:t>
            </w:r>
          </w:p>
        </w:tc>
        <w:tc>
          <w:tcPr>
            <w:tcW w:type="dxa" w:w="3312"/>
            <w:vAlign w:val="center"/>
          </w:tcPr>
          <w:p>
            <w:pPr>
              <w:spacing w:after="20"/>
            </w:pPr>
            <w:r/>
            <w:r>
              <w:rPr>
                <w:rFonts w:ascii="Arial" w:hAnsi="Arial"/>
                <w:b w:val="0"/>
                <w:sz w:val="16"/>
              </w:rPr>
              <w:t>Get current profile</w:t>
            </w:r>
          </w:p>
        </w:tc>
        <w:tc>
          <w:tcPr>
            <w:tcW w:type="dxa" w:w="3312"/>
            <w:vAlign w:val="center"/>
          </w:tcPr>
          <w:p>
            <w:pPr>
              <w:spacing w:after="20"/>
            </w:pPr>
            <w:r/>
            <w:r>
              <w:rPr>
                <w:rFonts w:ascii="Arial" w:hAnsi="Arial"/>
                <w:b w:val="0"/>
                <w:sz w:val="16"/>
              </w:rPr>
              <w:t>Returns current user profile.</w:t>
            </w:r>
          </w:p>
        </w:tc>
      </w:tr>
      <w:tr>
        <w:tc>
          <w:tcPr>
            <w:tcW w:type="dxa" w:w="3312"/>
            <w:vAlign w:val="center"/>
          </w:tcPr>
          <w:p>
            <w:pPr>
              <w:spacing w:after="20"/>
            </w:pPr>
            <w:r/>
            <w:r>
              <w:rPr>
                <w:rFonts w:ascii="Arial" w:hAnsi="Arial"/>
                <w:b w:val="0"/>
                <w:sz w:val="16"/>
              </w:rPr>
              <w:t>GET /api/v1/keys</w:t>
            </w:r>
          </w:p>
        </w:tc>
        <w:tc>
          <w:tcPr>
            <w:tcW w:type="dxa" w:w="3312"/>
            <w:vAlign w:val="center"/>
          </w:tcPr>
          <w:p>
            <w:pPr>
              <w:spacing w:after="20"/>
            </w:pPr>
            <w:r/>
            <w:r>
              <w:rPr>
                <w:rFonts w:ascii="Arial" w:hAnsi="Arial"/>
                <w:b w:val="0"/>
                <w:sz w:val="16"/>
              </w:rPr>
              <w:t>List own key records</w:t>
            </w:r>
          </w:p>
        </w:tc>
        <w:tc>
          <w:tcPr>
            <w:tcW w:type="dxa" w:w="3312"/>
            <w:vAlign w:val="center"/>
          </w:tcPr>
          <w:p>
            <w:pPr>
              <w:spacing w:after="20"/>
            </w:pPr>
            <w:r/>
            <w:r>
              <w:rPr>
                <w:rFonts w:ascii="Arial" w:hAnsi="Arial"/>
                <w:b w:val="0"/>
                <w:sz w:val="16"/>
              </w:rPr>
              <w:t>Returns key IDs, algorithms, versions, status; never private keys.</w:t>
            </w:r>
          </w:p>
        </w:tc>
      </w:tr>
      <w:tr>
        <w:tc>
          <w:tcPr>
            <w:tcW w:type="dxa" w:w="3312"/>
            <w:vAlign w:val="center"/>
          </w:tcPr>
          <w:p>
            <w:pPr>
              <w:spacing w:after="20"/>
            </w:pPr>
            <w:r/>
            <w:r>
              <w:rPr>
                <w:rFonts w:ascii="Arial" w:hAnsi="Arial"/>
                <w:b w:val="0"/>
                <w:sz w:val="16"/>
              </w:rPr>
              <w:t>POST /api/v1/keys</w:t>
            </w:r>
          </w:p>
        </w:tc>
        <w:tc>
          <w:tcPr>
            <w:tcW w:type="dxa" w:w="3312"/>
            <w:vAlign w:val="center"/>
          </w:tcPr>
          <w:p>
            <w:pPr>
              <w:spacing w:after="20"/>
            </w:pPr>
            <w:r/>
            <w:r>
              <w:rPr>
                <w:rFonts w:ascii="Arial" w:hAnsi="Arial"/>
                <w:b w:val="0"/>
                <w:sz w:val="16"/>
              </w:rPr>
              <w:t>Register public key</w:t>
            </w:r>
          </w:p>
        </w:tc>
        <w:tc>
          <w:tcPr>
            <w:tcW w:type="dxa" w:w="3312"/>
            <w:vAlign w:val="center"/>
          </w:tcPr>
          <w:p>
            <w:pPr>
              <w:spacing w:after="20"/>
            </w:pPr>
            <w:r/>
            <w:r>
              <w:rPr>
                <w:rFonts w:ascii="Arial" w:hAnsi="Arial"/>
                <w:b w:val="0"/>
                <w:sz w:val="16"/>
              </w:rPr>
              <w:t>Algorithm, public key, key metadata; returns key ID.</w:t>
            </w:r>
          </w:p>
        </w:tc>
      </w:tr>
      <w:tr>
        <w:tc>
          <w:tcPr>
            <w:tcW w:type="dxa" w:w="3312"/>
            <w:vAlign w:val="center"/>
          </w:tcPr>
          <w:p>
            <w:pPr>
              <w:spacing w:after="20"/>
            </w:pPr>
            <w:r/>
            <w:r>
              <w:rPr>
                <w:rFonts w:ascii="Arial" w:hAnsi="Arial"/>
                <w:b w:val="0"/>
                <w:sz w:val="16"/>
              </w:rPr>
              <w:t>POST /api/v1/keys/{key_id}/revoke</w:t>
            </w:r>
          </w:p>
        </w:tc>
        <w:tc>
          <w:tcPr>
            <w:tcW w:type="dxa" w:w="3312"/>
            <w:vAlign w:val="center"/>
          </w:tcPr>
          <w:p>
            <w:pPr>
              <w:spacing w:after="20"/>
            </w:pPr>
            <w:r/>
            <w:r>
              <w:rPr>
                <w:rFonts w:ascii="Arial" w:hAnsi="Arial"/>
                <w:b w:val="0"/>
                <w:sz w:val="16"/>
              </w:rPr>
              <w:t>Revoke key</w:t>
            </w:r>
          </w:p>
        </w:tc>
        <w:tc>
          <w:tcPr>
            <w:tcW w:type="dxa" w:w="3312"/>
            <w:vAlign w:val="center"/>
          </w:tcPr>
          <w:p>
            <w:pPr>
              <w:spacing w:after="20"/>
            </w:pPr>
            <w:r/>
            <w:r>
              <w:rPr>
                <w:rFonts w:ascii="Arial" w:hAnsi="Arial"/>
                <w:b w:val="0"/>
                <w:sz w:val="16"/>
              </w:rPr>
              <w:t>Returns new key status.</w:t>
            </w:r>
          </w:p>
        </w:tc>
      </w:tr>
      <w:tr>
        <w:tc>
          <w:tcPr>
            <w:tcW w:type="dxa" w:w="3312"/>
            <w:vAlign w:val="center"/>
          </w:tcPr>
          <w:p>
            <w:pPr>
              <w:spacing w:after="20"/>
            </w:pPr>
            <w:r/>
            <w:r>
              <w:rPr>
                <w:rFonts w:ascii="Arial" w:hAnsi="Arial"/>
                <w:b w:val="0"/>
                <w:sz w:val="16"/>
              </w:rPr>
              <w:t>GET /api/v1/recipients?query=</w:t>
            </w:r>
          </w:p>
        </w:tc>
        <w:tc>
          <w:tcPr>
            <w:tcW w:type="dxa" w:w="3312"/>
            <w:vAlign w:val="center"/>
          </w:tcPr>
          <w:p>
            <w:pPr>
              <w:spacing w:after="20"/>
            </w:pPr>
            <w:r/>
            <w:r>
              <w:rPr>
                <w:rFonts w:ascii="Arial" w:hAnsi="Arial"/>
                <w:b w:val="0"/>
                <w:sz w:val="16"/>
              </w:rPr>
              <w:t>Search eligible recipients</w:t>
            </w:r>
          </w:p>
        </w:tc>
        <w:tc>
          <w:tcPr>
            <w:tcW w:type="dxa" w:w="3312"/>
            <w:vAlign w:val="center"/>
          </w:tcPr>
          <w:p>
            <w:pPr>
              <w:spacing w:after="20"/>
            </w:pPr>
            <w:r/>
            <w:r>
              <w:rPr>
                <w:rFonts w:ascii="Arial" w:hAnsi="Arial"/>
                <w:b w:val="0"/>
                <w:sz w:val="16"/>
              </w:rPr>
              <w:t>Returns minimal recipient identity and usable public-key references.</w:t>
            </w:r>
          </w:p>
        </w:tc>
      </w:tr>
      <w:tr>
        <w:tc>
          <w:tcPr>
            <w:tcW w:type="dxa" w:w="3312"/>
            <w:vAlign w:val="center"/>
          </w:tcPr>
          <w:p>
            <w:pPr>
              <w:spacing w:after="20"/>
            </w:pPr>
            <w:r/>
            <w:r>
              <w:rPr>
                <w:rFonts w:ascii="Arial" w:hAnsi="Arial"/>
                <w:b w:val="0"/>
                <w:sz w:val="16"/>
              </w:rPr>
              <w:t>POST /api/v1/files</w:t>
            </w:r>
          </w:p>
        </w:tc>
        <w:tc>
          <w:tcPr>
            <w:tcW w:type="dxa" w:w="3312"/>
            <w:vAlign w:val="center"/>
          </w:tcPr>
          <w:p>
            <w:pPr>
              <w:spacing w:after="20"/>
            </w:pPr>
            <w:r/>
            <w:r>
              <w:rPr>
                <w:rFonts w:ascii="Arial" w:hAnsi="Arial"/>
                <w:b w:val="0"/>
                <w:sz w:val="16"/>
              </w:rPr>
              <w:t>Upload and share</w:t>
            </w:r>
          </w:p>
        </w:tc>
        <w:tc>
          <w:tcPr>
            <w:tcW w:type="dxa" w:w="3312"/>
            <w:vAlign w:val="center"/>
          </w:tcPr>
          <w:p>
            <w:pPr>
              <w:spacing w:after="20"/>
            </w:pPr>
            <w:r/>
            <w:r>
              <w:rPr>
                <w:rFonts w:ascii="Arial" w:hAnsi="Arial"/>
                <w:b w:val="0"/>
                <w:sz w:val="16"/>
              </w:rPr>
              <w:t>File, recipient IDs, mode, optional metadata; returns package ID and status.</w:t>
            </w:r>
          </w:p>
        </w:tc>
      </w:tr>
      <w:tr>
        <w:tc>
          <w:tcPr>
            <w:tcW w:type="dxa" w:w="3312"/>
            <w:vAlign w:val="center"/>
          </w:tcPr>
          <w:p>
            <w:pPr>
              <w:spacing w:after="20"/>
            </w:pPr>
            <w:r/>
            <w:r>
              <w:rPr>
                <w:rFonts w:ascii="Arial" w:hAnsi="Arial"/>
                <w:b w:val="0"/>
                <w:sz w:val="16"/>
              </w:rPr>
              <w:t>GET /api/v1/files/sent</w:t>
            </w:r>
          </w:p>
        </w:tc>
        <w:tc>
          <w:tcPr>
            <w:tcW w:type="dxa" w:w="3312"/>
            <w:vAlign w:val="center"/>
          </w:tcPr>
          <w:p>
            <w:pPr>
              <w:spacing w:after="20"/>
            </w:pPr>
            <w:r/>
            <w:r>
              <w:rPr>
                <w:rFonts w:ascii="Arial" w:hAnsi="Arial"/>
                <w:b w:val="0"/>
                <w:sz w:val="16"/>
              </w:rPr>
              <w:t>List sent files</w:t>
            </w:r>
          </w:p>
        </w:tc>
        <w:tc>
          <w:tcPr>
            <w:tcW w:type="dxa" w:w="3312"/>
            <w:vAlign w:val="center"/>
          </w:tcPr>
          <w:p>
            <w:pPr>
              <w:spacing w:after="20"/>
            </w:pPr>
            <w:r/>
            <w:r>
              <w:rPr>
                <w:rFonts w:ascii="Arial" w:hAnsi="Arial"/>
                <w:b w:val="0"/>
                <w:sz w:val="16"/>
              </w:rPr>
              <w:t>Returns authorized sent-file metadata.</w:t>
            </w:r>
          </w:p>
        </w:tc>
      </w:tr>
      <w:tr>
        <w:tc>
          <w:tcPr>
            <w:tcW w:type="dxa" w:w="3312"/>
            <w:vAlign w:val="center"/>
          </w:tcPr>
          <w:p>
            <w:pPr>
              <w:spacing w:after="20"/>
            </w:pPr>
            <w:r/>
            <w:r>
              <w:rPr>
                <w:rFonts w:ascii="Arial" w:hAnsi="Arial"/>
                <w:b w:val="0"/>
                <w:sz w:val="16"/>
              </w:rPr>
              <w:t>GET /api/v1/files/received</w:t>
            </w:r>
          </w:p>
        </w:tc>
        <w:tc>
          <w:tcPr>
            <w:tcW w:type="dxa" w:w="3312"/>
            <w:vAlign w:val="center"/>
          </w:tcPr>
          <w:p>
            <w:pPr>
              <w:spacing w:after="20"/>
            </w:pPr>
            <w:r/>
            <w:r>
              <w:rPr>
                <w:rFonts w:ascii="Arial" w:hAnsi="Arial"/>
                <w:b w:val="0"/>
                <w:sz w:val="16"/>
              </w:rPr>
              <w:t>List received files</w:t>
            </w:r>
          </w:p>
        </w:tc>
        <w:tc>
          <w:tcPr>
            <w:tcW w:type="dxa" w:w="3312"/>
            <w:vAlign w:val="center"/>
          </w:tcPr>
          <w:p>
            <w:pPr>
              <w:spacing w:after="20"/>
            </w:pPr>
            <w:r/>
            <w:r>
              <w:rPr>
                <w:rFonts w:ascii="Arial" w:hAnsi="Arial"/>
                <w:b w:val="0"/>
                <w:sz w:val="16"/>
              </w:rPr>
              <w:t>Returns authorized received-file metadata.</w:t>
            </w:r>
          </w:p>
        </w:tc>
      </w:tr>
      <w:tr>
        <w:tc>
          <w:tcPr>
            <w:tcW w:type="dxa" w:w="3312"/>
            <w:vAlign w:val="center"/>
          </w:tcPr>
          <w:p>
            <w:pPr>
              <w:spacing w:after="20"/>
            </w:pPr>
            <w:r/>
            <w:r>
              <w:rPr>
                <w:rFonts w:ascii="Arial" w:hAnsi="Arial"/>
                <w:b w:val="0"/>
                <w:sz w:val="16"/>
              </w:rPr>
              <w:t>GET /api/v1/files/{file_id}</w:t>
            </w:r>
          </w:p>
        </w:tc>
        <w:tc>
          <w:tcPr>
            <w:tcW w:type="dxa" w:w="3312"/>
            <w:vAlign w:val="center"/>
          </w:tcPr>
          <w:p>
            <w:pPr>
              <w:spacing w:after="20"/>
            </w:pPr>
            <w:r/>
            <w:r>
              <w:rPr>
                <w:rFonts w:ascii="Arial" w:hAnsi="Arial"/>
                <w:b w:val="0"/>
                <w:sz w:val="16"/>
              </w:rPr>
              <w:t>Get package metadata</w:t>
            </w:r>
          </w:p>
        </w:tc>
        <w:tc>
          <w:tcPr>
            <w:tcW w:type="dxa" w:w="3312"/>
            <w:vAlign w:val="center"/>
          </w:tcPr>
          <w:p>
            <w:pPr>
              <w:spacing w:after="20"/>
            </w:pPr>
            <w:r/>
            <w:r>
              <w:rPr>
                <w:rFonts w:ascii="Arial" w:hAnsi="Arial"/>
                <w:b w:val="0"/>
                <w:sz w:val="16"/>
              </w:rPr>
              <w:t>Returns metadata only after access check.</w:t>
            </w:r>
          </w:p>
        </w:tc>
      </w:tr>
      <w:tr>
        <w:tc>
          <w:tcPr>
            <w:tcW w:type="dxa" w:w="3312"/>
            <w:vAlign w:val="center"/>
          </w:tcPr>
          <w:p>
            <w:pPr>
              <w:spacing w:after="20"/>
            </w:pPr>
            <w:r/>
            <w:r>
              <w:rPr>
                <w:rFonts w:ascii="Arial" w:hAnsi="Arial"/>
                <w:b w:val="0"/>
                <w:sz w:val="16"/>
              </w:rPr>
              <w:t>GET /api/v1/files/{file_id}/download</w:t>
            </w:r>
          </w:p>
        </w:tc>
        <w:tc>
          <w:tcPr>
            <w:tcW w:type="dxa" w:w="3312"/>
            <w:vAlign w:val="center"/>
          </w:tcPr>
          <w:p>
            <w:pPr>
              <w:spacing w:after="20"/>
            </w:pPr>
            <w:r/>
            <w:r>
              <w:rPr>
                <w:rFonts w:ascii="Arial" w:hAnsi="Arial"/>
                <w:b w:val="0"/>
                <w:sz w:val="16"/>
              </w:rPr>
              <w:t>Retrieve/decrypt file workflow</w:t>
            </w:r>
          </w:p>
        </w:tc>
        <w:tc>
          <w:tcPr>
            <w:tcW w:type="dxa" w:w="3312"/>
            <w:vAlign w:val="center"/>
          </w:tcPr>
          <w:p>
            <w:pPr>
              <w:spacing w:after="20"/>
            </w:pPr>
            <w:r/>
            <w:r>
              <w:rPr>
                <w:rFonts w:ascii="Arial" w:hAnsi="Arial"/>
                <w:b w:val="0"/>
                <w:sz w:val="16"/>
              </w:rPr>
              <w:t>Returns file only after authorization and cryptographic verification.</w:t>
            </w:r>
          </w:p>
        </w:tc>
      </w:tr>
      <w:tr>
        <w:tc>
          <w:tcPr>
            <w:tcW w:type="dxa" w:w="3312"/>
            <w:vAlign w:val="center"/>
          </w:tcPr>
          <w:p>
            <w:pPr>
              <w:spacing w:after="20"/>
            </w:pPr>
            <w:r/>
            <w:r>
              <w:rPr>
                <w:rFonts w:ascii="Arial" w:hAnsi="Arial"/>
                <w:b w:val="0"/>
                <w:sz w:val="16"/>
              </w:rPr>
              <w:t>POST /api/v1/files/{file_id}/revoke</w:t>
            </w:r>
          </w:p>
        </w:tc>
        <w:tc>
          <w:tcPr>
            <w:tcW w:type="dxa" w:w="3312"/>
            <w:vAlign w:val="center"/>
          </w:tcPr>
          <w:p>
            <w:pPr>
              <w:spacing w:after="20"/>
            </w:pPr>
            <w:r/>
            <w:r>
              <w:rPr>
                <w:rFonts w:ascii="Arial" w:hAnsi="Arial"/>
                <w:b w:val="0"/>
                <w:sz w:val="16"/>
              </w:rPr>
              <w:t>Revoke share grant</w:t>
            </w:r>
          </w:p>
        </w:tc>
        <w:tc>
          <w:tcPr>
            <w:tcW w:type="dxa" w:w="3312"/>
            <w:vAlign w:val="center"/>
          </w:tcPr>
          <w:p>
            <w:pPr>
              <w:spacing w:after="20"/>
            </w:pPr>
            <w:r/>
            <w:r>
              <w:rPr>
                <w:rFonts w:ascii="Arial" w:hAnsi="Arial"/>
                <w:b w:val="0"/>
                <w:sz w:val="16"/>
              </w:rPr>
              <w:t>Returns grant status and limitations.</w:t>
            </w:r>
          </w:p>
        </w:tc>
      </w:tr>
      <w:tr>
        <w:tc>
          <w:tcPr>
            <w:tcW w:type="dxa" w:w="3312"/>
            <w:vAlign w:val="center"/>
          </w:tcPr>
          <w:p>
            <w:pPr>
              <w:spacing w:after="20"/>
            </w:pPr>
            <w:r/>
            <w:r>
              <w:rPr>
                <w:rFonts w:ascii="Arial" w:hAnsi="Arial"/>
                <w:b w:val="0"/>
                <w:sz w:val="16"/>
              </w:rPr>
              <w:t>DELETE /api/v1/files/{file_id}</w:t>
            </w:r>
          </w:p>
        </w:tc>
        <w:tc>
          <w:tcPr>
            <w:tcW w:type="dxa" w:w="3312"/>
            <w:vAlign w:val="center"/>
          </w:tcPr>
          <w:p>
            <w:pPr>
              <w:spacing w:after="20"/>
            </w:pPr>
            <w:r/>
            <w:r>
              <w:rPr>
                <w:rFonts w:ascii="Arial" w:hAnsi="Arial"/>
                <w:b w:val="0"/>
                <w:sz w:val="16"/>
              </w:rPr>
              <w:t>Delete file/package</w:t>
            </w:r>
          </w:p>
        </w:tc>
        <w:tc>
          <w:tcPr>
            <w:tcW w:type="dxa" w:w="3312"/>
            <w:vAlign w:val="center"/>
          </w:tcPr>
          <w:p>
            <w:pPr>
              <w:spacing w:after="20"/>
            </w:pPr>
            <w:r/>
            <w:r>
              <w:rPr>
                <w:rFonts w:ascii="Arial" w:hAnsi="Arial"/>
                <w:b w:val="0"/>
                <w:sz w:val="16"/>
              </w:rPr>
              <w:t>Returns deletion status.</w:t>
            </w:r>
          </w:p>
        </w:tc>
      </w:tr>
      <w:tr>
        <w:tc>
          <w:tcPr>
            <w:tcW w:type="dxa" w:w="3312"/>
            <w:vAlign w:val="center"/>
          </w:tcPr>
          <w:p>
            <w:pPr>
              <w:spacing w:after="20"/>
            </w:pPr>
            <w:r/>
            <w:r>
              <w:rPr>
                <w:rFonts w:ascii="Arial" w:hAnsi="Arial"/>
                <w:b w:val="0"/>
                <w:sz w:val="16"/>
              </w:rPr>
              <w:t>GET /api/v1/health</w:t>
            </w:r>
          </w:p>
        </w:tc>
        <w:tc>
          <w:tcPr>
            <w:tcW w:type="dxa" w:w="3312"/>
            <w:vAlign w:val="center"/>
          </w:tcPr>
          <w:p>
            <w:pPr>
              <w:spacing w:after="20"/>
            </w:pPr>
            <w:r/>
            <w:r>
              <w:rPr>
                <w:rFonts w:ascii="Arial" w:hAnsi="Arial"/>
                <w:b w:val="0"/>
                <w:sz w:val="16"/>
              </w:rPr>
              <w:t>Health check</w:t>
            </w:r>
          </w:p>
        </w:tc>
        <w:tc>
          <w:tcPr>
            <w:tcW w:type="dxa" w:w="3312"/>
            <w:vAlign w:val="center"/>
          </w:tcPr>
          <w:p>
            <w:pPr>
              <w:spacing w:after="20"/>
            </w:pPr>
            <w:r/>
            <w:r>
              <w:rPr>
                <w:rFonts w:ascii="Arial" w:hAnsi="Arial"/>
                <w:b w:val="0"/>
                <w:sz w:val="16"/>
              </w:rPr>
              <w:t>Sanitized service/dependency status.</w:t>
            </w:r>
          </w:p>
        </w:tc>
      </w:tr>
    </w:tbl>
    <w:p/>
    <w:p>
      <w:pPr>
        <w:pStyle w:val="Heading2"/>
        <w:keepNext/>
      </w:pPr>
      <w:r>
        <w:t>5.3 API Error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HTTP status</w:t>
            </w:r>
          </w:p>
        </w:tc>
        <w:tc>
          <w:tcPr>
            <w:tcW w:type="dxa" w:w="3312"/>
            <w:vAlign w:val="center"/>
            <w:shd w:fill="17365D"/>
          </w:tcPr>
          <w:p>
            <w:pPr>
              <w:spacing w:after="20"/>
            </w:pPr>
            <w:r/>
            <w:r>
              <w:rPr>
                <w:rFonts w:ascii="Arial" w:hAnsi="Arial"/>
                <w:b/>
                <w:color w:val="FFFFFF"/>
                <w:sz w:val="17"/>
              </w:rPr>
              <w:t>Meaning</w:t>
            </w:r>
          </w:p>
        </w:tc>
        <w:tc>
          <w:tcPr>
            <w:tcW w:type="dxa" w:w="3312"/>
            <w:vAlign w:val="center"/>
            <w:shd w:fill="17365D"/>
          </w:tcPr>
          <w:p>
            <w:pPr>
              <w:spacing w:after="20"/>
            </w:pPr>
            <w:r/>
            <w:r>
              <w:rPr>
                <w:rFonts w:ascii="Arial" w:hAnsi="Arial"/>
                <w:b/>
                <w:color w:val="FFFFFF"/>
                <w:sz w:val="17"/>
              </w:rPr>
              <w:t>Example error code</w:t>
            </w:r>
          </w:p>
        </w:tc>
      </w:tr>
      <w:tr>
        <w:tc>
          <w:tcPr>
            <w:tcW w:type="dxa" w:w="3312"/>
            <w:vAlign w:val="center"/>
          </w:tcPr>
          <w:p>
            <w:pPr>
              <w:spacing w:after="20"/>
            </w:pPr>
            <w:r/>
            <w:r>
              <w:rPr>
                <w:rFonts w:ascii="Arial" w:hAnsi="Arial"/>
                <w:b w:val="0"/>
                <w:sz w:val="16"/>
              </w:rPr>
              <w:t>400</w:t>
            </w:r>
          </w:p>
        </w:tc>
        <w:tc>
          <w:tcPr>
            <w:tcW w:type="dxa" w:w="3312"/>
            <w:vAlign w:val="center"/>
          </w:tcPr>
          <w:p>
            <w:pPr>
              <w:spacing w:after="20"/>
            </w:pPr>
            <w:r/>
            <w:r>
              <w:rPr>
                <w:rFonts w:ascii="Arial" w:hAnsi="Arial"/>
                <w:b w:val="0"/>
                <w:sz w:val="16"/>
              </w:rPr>
              <w:t>Malformed request or invalid package input</w:t>
            </w:r>
          </w:p>
        </w:tc>
        <w:tc>
          <w:tcPr>
            <w:tcW w:type="dxa" w:w="3312"/>
            <w:vAlign w:val="center"/>
          </w:tcPr>
          <w:p>
            <w:pPr>
              <w:spacing w:after="20"/>
            </w:pPr>
            <w:r/>
            <w:r>
              <w:rPr>
                <w:rFonts w:ascii="Arial" w:hAnsi="Arial"/>
                <w:b w:val="0"/>
                <w:sz w:val="16"/>
              </w:rPr>
              <w:t>INVALID_REQUEST</w:t>
            </w:r>
          </w:p>
        </w:tc>
      </w:tr>
      <w:tr>
        <w:tc>
          <w:tcPr>
            <w:tcW w:type="dxa" w:w="3312"/>
            <w:vAlign w:val="center"/>
          </w:tcPr>
          <w:p>
            <w:pPr>
              <w:spacing w:after="20"/>
            </w:pPr>
            <w:r/>
            <w:r>
              <w:rPr>
                <w:rFonts w:ascii="Arial" w:hAnsi="Arial"/>
                <w:b w:val="0"/>
                <w:sz w:val="16"/>
              </w:rPr>
              <w:t>401</w:t>
            </w:r>
          </w:p>
        </w:tc>
        <w:tc>
          <w:tcPr>
            <w:tcW w:type="dxa" w:w="3312"/>
            <w:vAlign w:val="center"/>
          </w:tcPr>
          <w:p>
            <w:pPr>
              <w:spacing w:after="20"/>
            </w:pPr>
            <w:r/>
            <w:r>
              <w:rPr>
                <w:rFonts w:ascii="Arial" w:hAnsi="Arial"/>
                <w:b w:val="0"/>
                <w:sz w:val="16"/>
              </w:rPr>
              <w:t>Missing or invalid authentication</w:t>
            </w:r>
          </w:p>
        </w:tc>
        <w:tc>
          <w:tcPr>
            <w:tcW w:type="dxa" w:w="3312"/>
            <w:vAlign w:val="center"/>
          </w:tcPr>
          <w:p>
            <w:pPr>
              <w:spacing w:after="20"/>
            </w:pPr>
            <w:r/>
            <w:r>
              <w:rPr>
                <w:rFonts w:ascii="Arial" w:hAnsi="Arial"/>
                <w:b w:val="0"/>
                <w:sz w:val="16"/>
              </w:rPr>
              <w:t>UNAUTHENTICATED</w:t>
            </w:r>
          </w:p>
        </w:tc>
      </w:tr>
      <w:tr>
        <w:tc>
          <w:tcPr>
            <w:tcW w:type="dxa" w:w="3312"/>
            <w:vAlign w:val="center"/>
          </w:tcPr>
          <w:p>
            <w:pPr>
              <w:spacing w:after="20"/>
            </w:pPr>
            <w:r/>
            <w:r>
              <w:rPr>
                <w:rFonts w:ascii="Arial" w:hAnsi="Arial"/>
                <w:b w:val="0"/>
                <w:sz w:val="16"/>
              </w:rPr>
              <w:t>403</w:t>
            </w:r>
          </w:p>
        </w:tc>
        <w:tc>
          <w:tcPr>
            <w:tcW w:type="dxa" w:w="3312"/>
            <w:vAlign w:val="center"/>
          </w:tcPr>
          <w:p>
            <w:pPr>
              <w:spacing w:after="20"/>
            </w:pPr>
            <w:r/>
            <w:r>
              <w:rPr>
                <w:rFonts w:ascii="Arial" w:hAnsi="Arial"/>
                <w:b w:val="0"/>
                <w:sz w:val="16"/>
              </w:rPr>
              <w:t>Authenticated but not authorized</w:t>
            </w:r>
          </w:p>
        </w:tc>
        <w:tc>
          <w:tcPr>
            <w:tcW w:type="dxa" w:w="3312"/>
            <w:vAlign w:val="center"/>
          </w:tcPr>
          <w:p>
            <w:pPr>
              <w:spacing w:after="20"/>
            </w:pPr>
            <w:r/>
            <w:r>
              <w:rPr>
                <w:rFonts w:ascii="Arial" w:hAnsi="Arial"/>
                <w:b w:val="0"/>
                <w:sz w:val="16"/>
              </w:rPr>
              <w:t>ACCESS_DENIED</w:t>
            </w:r>
          </w:p>
        </w:tc>
      </w:tr>
      <w:tr>
        <w:tc>
          <w:tcPr>
            <w:tcW w:type="dxa" w:w="3312"/>
            <w:vAlign w:val="center"/>
          </w:tcPr>
          <w:p>
            <w:pPr>
              <w:spacing w:after="20"/>
            </w:pPr>
            <w:r/>
            <w:r>
              <w:rPr>
                <w:rFonts w:ascii="Arial" w:hAnsi="Arial"/>
                <w:b w:val="0"/>
                <w:sz w:val="16"/>
              </w:rPr>
              <w:t>404</w:t>
            </w:r>
          </w:p>
        </w:tc>
        <w:tc>
          <w:tcPr>
            <w:tcW w:type="dxa" w:w="3312"/>
            <w:vAlign w:val="center"/>
          </w:tcPr>
          <w:p>
            <w:pPr>
              <w:spacing w:after="20"/>
            </w:pPr>
            <w:r/>
            <w:r>
              <w:rPr>
                <w:rFonts w:ascii="Arial" w:hAnsi="Arial"/>
                <w:b w:val="0"/>
                <w:sz w:val="16"/>
              </w:rPr>
              <w:t>Resource does not exist or is not visible to caller</w:t>
            </w:r>
          </w:p>
        </w:tc>
        <w:tc>
          <w:tcPr>
            <w:tcW w:type="dxa" w:w="3312"/>
            <w:vAlign w:val="center"/>
          </w:tcPr>
          <w:p>
            <w:pPr>
              <w:spacing w:after="20"/>
            </w:pPr>
            <w:r/>
            <w:r>
              <w:rPr>
                <w:rFonts w:ascii="Arial" w:hAnsi="Arial"/>
                <w:b w:val="0"/>
                <w:sz w:val="16"/>
              </w:rPr>
              <w:t>NOT_FOUND</w:t>
            </w:r>
          </w:p>
        </w:tc>
      </w:tr>
      <w:tr>
        <w:tc>
          <w:tcPr>
            <w:tcW w:type="dxa" w:w="3312"/>
            <w:vAlign w:val="center"/>
          </w:tcPr>
          <w:p>
            <w:pPr>
              <w:spacing w:after="20"/>
            </w:pPr>
            <w:r/>
            <w:r>
              <w:rPr>
                <w:rFonts w:ascii="Arial" w:hAnsi="Arial"/>
                <w:b w:val="0"/>
                <w:sz w:val="16"/>
              </w:rPr>
              <w:t>409</w:t>
            </w:r>
          </w:p>
        </w:tc>
        <w:tc>
          <w:tcPr>
            <w:tcW w:type="dxa" w:w="3312"/>
            <w:vAlign w:val="center"/>
          </w:tcPr>
          <w:p>
            <w:pPr>
              <w:spacing w:after="20"/>
            </w:pPr>
            <w:r/>
            <w:r>
              <w:rPr>
                <w:rFonts w:ascii="Arial" w:hAnsi="Arial"/>
                <w:b w:val="0"/>
                <w:sz w:val="16"/>
              </w:rPr>
              <w:t>Conflict, duplicate key, or incompatible state</w:t>
            </w:r>
          </w:p>
        </w:tc>
        <w:tc>
          <w:tcPr>
            <w:tcW w:type="dxa" w:w="3312"/>
            <w:vAlign w:val="center"/>
          </w:tcPr>
          <w:p>
            <w:pPr>
              <w:spacing w:after="20"/>
            </w:pPr>
            <w:r/>
            <w:r>
              <w:rPr>
                <w:rFonts w:ascii="Arial" w:hAnsi="Arial"/>
                <w:b w:val="0"/>
                <w:sz w:val="16"/>
              </w:rPr>
              <w:t>STATE_CONFLICT</w:t>
            </w:r>
          </w:p>
        </w:tc>
      </w:tr>
      <w:tr>
        <w:tc>
          <w:tcPr>
            <w:tcW w:type="dxa" w:w="3312"/>
            <w:vAlign w:val="center"/>
          </w:tcPr>
          <w:p>
            <w:pPr>
              <w:spacing w:after="20"/>
            </w:pPr>
            <w:r/>
            <w:r>
              <w:rPr>
                <w:rFonts w:ascii="Arial" w:hAnsi="Arial"/>
                <w:b w:val="0"/>
                <w:sz w:val="16"/>
              </w:rPr>
              <w:t>413</w:t>
            </w:r>
          </w:p>
        </w:tc>
        <w:tc>
          <w:tcPr>
            <w:tcW w:type="dxa" w:w="3312"/>
            <w:vAlign w:val="center"/>
          </w:tcPr>
          <w:p>
            <w:pPr>
              <w:spacing w:after="20"/>
            </w:pPr>
            <w:r/>
            <w:r>
              <w:rPr>
                <w:rFonts w:ascii="Arial" w:hAnsi="Arial"/>
                <w:b w:val="0"/>
                <w:sz w:val="16"/>
              </w:rPr>
              <w:t>Upload exceeds configured limit</w:t>
            </w:r>
          </w:p>
        </w:tc>
        <w:tc>
          <w:tcPr>
            <w:tcW w:type="dxa" w:w="3312"/>
            <w:vAlign w:val="center"/>
          </w:tcPr>
          <w:p>
            <w:pPr>
              <w:spacing w:after="20"/>
            </w:pPr>
            <w:r/>
            <w:r>
              <w:rPr>
                <w:rFonts w:ascii="Arial" w:hAnsi="Arial"/>
                <w:b w:val="0"/>
                <w:sz w:val="16"/>
              </w:rPr>
              <w:t>FILE_TOO_LARGE</w:t>
            </w:r>
          </w:p>
        </w:tc>
      </w:tr>
      <w:tr>
        <w:tc>
          <w:tcPr>
            <w:tcW w:type="dxa" w:w="3312"/>
            <w:vAlign w:val="center"/>
          </w:tcPr>
          <w:p>
            <w:pPr>
              <w:spacing w:after="20"/>
            </w:pPr>
            <w:r/>
            <w:r>
              <w:rPr>
                <w:rFonts w:ascii="Arial" w:hAnsi="Arial"/>
                <w:b w:val="0"/>
                <w:sz w:val="16"/>
              </w:rPr>
              <w:t>415</w:t>
            </w:r>
          </w:p>
        </w:tc>
        <w:tc>
          <w:tcPr>
            <w:tcW w:type="dxa" w:w="3312"/>
            <w:vAlign w:val="center"/>
          </w:tcPr>
          <w:p>
            <w:pPr>
              <w:spacing w:after="20"/>
            </w:pPr>
            <w:r/>
            <w:r>
              <w:rPr>
                <w:rFonts w:ascii="Arial" w:hAnsi="Arial"/>
                <w:b w:val="0"/>
                <w:sz w:val="16"/>
              </w:rPr>
              <w:t>Unsupported media type</w:t>
            </w:r>
          </w:p>
        </w:tc>
        <w:tc>
          <w:tcPr>
            <w:tcW w:type="dxa" w:w="3312"/>
            <w:vAlign w:val="center"/>
          </w:tcPr>
          <w:p>
            <w:pPr>
              <w:spacing w:after="20"/>
            </w:pPr>
            <w:r/>
            <w:r>
              <w:rPr>
                <w:rFonts w:ascii="Arial" w:hAnsi="Arial"/>
                <w:b w:val="0"/>
                <w:sz w:val="16"/>
              </w:rPr>
              <w:t>UNSUPPORTED_MEDIA_TYPE</w:t>
            </w:r>
          </w:p>
        </w:tc>
      </w:tr>
      <w:tr>
        <w:tc>
          <w:tcPr>
            <w:tcW w:type="dxa" w:w="3312"/>
            <w:vAlign w:val="center"/>
          </w:tcPr>
          <w:p>
            <w:pPr>
              <w:spacing w:after="20"/>
            </w:pPr>
            <w:r/>
            <w:r>
              <w:rPr>
                <w:rFonts w:ascii="Arial" w:hAnsi="Arial"/>
                <w:b w:val="0"/>
                <w:sz w:val="16"/>
              </w:rPr>
              <w:t>422</w:t>
            </w:r>
          </w:p>
        </w:tc>
        <w:tc>
          <w:tcPr>
            <w:tcW w:type="dxa" w:w="3312"/>
            <w:vAlign w:val="center"/>
          </w:tcPr>
          <w:p>
            <w:pPr>
              <w:spacing w:after="20"/>
            </w:pPr>
            <w:r/>
            <w:r>
              <w:rPr>
                <w:rFonts w:ascii="Arial" w:hAnsi="Arial"/>
                <w:b w:val="0"/>
                <w:sz w:val="16"/>
              </w:rPr>
              <w:t>Semantic validation failure</w:t>
            </w:r>
          </w:p>
        </w:tc>
        <w:tc>
          <w:tcPr>
            <w:tcW w:type="dxa" w:w="3312"/>
            <w:vAlign w:val="center"/>
          </w:tcPr>
          <w:p>
            <w:pPr>
              <w:spacing w:after="20"/>
            </w:pPr>
            <w:r/>
            <w:r>
              <w:rPr>
                <w:rFonts w:ascii="Arial" w:hAnsi="Arial"/>
                <w:b w:val="0"/>
                <w:sz w:val="16"/>
              </w:rPr>
              <w:t>VALIDATION_FAILED</w:t>
            </w:r>
          </w:p>
        </w:tc>
      </w:tr>
      <w:tr>
        <w:tc>
          <w:tcPr>
            <w:tcW w:type="dxa" w:w="3312"/>
            <w:vAlign w:val="center"/>
          </w:tcPr>
          <w:p>
            <w:pPr>
              <w:spacing w:after="20"/>
            </w:pPr>
            <w:r/>
            <w:r>
              <w:rPr>
                <w:rFonts w:ascii="Arial" w:hAnsi="Arial"/>
                <w:b w:val="0"/>
                <w:sz w:val="16"/>
              </w:rPr>
              <w:t>429</w:t>
            </w:r>
          </w:p>
        </w:tc>
        <w:tc>
          <w:tcPr>
            <w:tcW w:type="dxa" w:w="3312"/>
            <w:vAlign w:val="center"/>
          </w:tcPr>
          <w:p>
            <w:pPr>
              <w:spacing w:after="20"/>
            </w:pPr>
            <w:r/>
            <w:r>
              <w:rPr>
                <w:rFonts w:ascii="Arial" w:hAnsi="Arial"/>
                <w:b w:val="0"/>
                <w:sz w:val="16"/>
              </w:rPr>
              <w:t>Rate limit exceeded</w:t>
            </w:r>
          </w:p>
        </w:tc>
        <w:tc>
          <w:tcPr>
            <w:tcW w:type="dxa" w:w="3312"/>
            <w:vAlign w:val="center"/>
          </w:tcPr>
          <w:p>
            <w:pPr>
              <w:spacing w:after="20"/>
            </w:pPr>
            <w:r/>
            <w:r>
              <w:rPr>
                <w:rFonts w:ascii="Arial" w:hAnsi="Arial"/>
                <w:b w:val="0"/>
                <w:sz w:val="16"/>
              </w:rPr>
              <w:t>RATE_LIMITED</w:t>
            </w:r>
          </w:p>
        </w:tc>
      </w:tr>
      <w:tr>
        <w:tc>
          <w:tcPr>
            <w:tcW w:type="dxa" w:w="3312"/>
            <w:vAlign w:val="center"/>
          </w:tcPr>
          <w:p>
            <w:pPr>
              <w:spacing w:after="20"/>
            </w:pPr>
            <w:r/>
            <w:r>
              <w:rPr>
                <w:rFonts w:ascii="Arial" w:hAnsi="Arial"/>
                <w:b w:val="0"/>
                <w:sz w:val="16"/>
              </w:rPr>
              <w:t>500</w:t>
            </w:r>
          </w:p>
        </w:tc>
        <w:tc>
          <w:tcPr>
            <w:tcW w:type="dxa" w:w="3312"/>
            <w:vAlign w:val="center"/>
          </w:tcPr>
          <w:p>
            <w:pPr>
              <w:spacing w:after="20"/>
            </w:pPr>
            <w:r/>
            <w:r>
              <w:rPr>
                <w:rFonts w:ascii="Arial" w:hAnsi="Arial"/>
                <w:b w:val="0"/>
                <w:sz w:val="16"/>
              </w:rPr>
              <w:t>Unexpected server failure</w:t>
            </w:r>
          </w:p>
        </w:tc>
        <w:tc>
          <w:tcPr>
            <w:tcW w:type="dxa" w:w="3312"/>
            <w:vAlign w:val="center"/>
          </w:tcPr>
          <w:p>
            <w:pPr>
              <w:spacing w:after="20"/>
            </w:pPr>
            <w:r/>
            <w:r>
              <w:rPr>
                <w:rFonts w:ascii="Arial" w:hAnsi="Arial"/>
                <w:b w:val="0"/>
                <w:sz w:val="16"/>
              </w:rPr>
              <w:t>INTERNAL_ERROR</w:t>
            </w:r>
          </w:p>
        </w:tc>
      </w:tr>
      <w:tr>
        <w:tc>
          <w:tcPr>
            <w:tcW w:type="dxa" w:w="3312"/>
            <w:vAlign w:val="center"/>
          </w:tcPr>
          <w:p>
            <w:pPr>
              <w:spacing w:after="20"/>
            </w:pPr>
            <w:r/>
            <w:r>
              <w:rPr>
                <w:rFonts w:ascii="Arial" w:hAnsi="Arial"/>
                <w:b w:val="0"/>
                <w:sz w:val="16"/>
              </w:rPr>
              <w:t>503</w:t>
            </w:r>
          </w:p>
        </w:tc>
        <w:tc>
          <w:tcPr>
            <w:tcW w:type="dxa" w:w="3312"/>
            <w:vAlign w:val="center"/>
          </w:tcPr>
          <w:p>
            <w:pPr>
              <w:spacing w:after="20"/>
            </w:pPr>
            <w:r/>
            <w:r>
              <w:rPr>
                <w:rFonts w:ascii="Arial" w:hAnsi="Arial"/>
                <w:b w:val="0"/>
                <w:sz w:val="16"/>
              </w:rPr>
              <w:t>Required dependency unavailable</w:t>
            </w:r>
          </w:p>
        </w:tc>
        <w:tc>
          <w:tcPr>
            <w:tcW w:type="dxa" w:w="3312"/>
            <w:vAlign w:val="center"/>
          </w:tcPr>
          <w:p>
            <w:pPr>
              <w:spacing w:after="20"/>
            </w:pPr>
            <w:r/>
            <w:r>
              <w:rPr>
                <w:rFonts w:ascii="Arial" w:hAnsi="Arial"/>
                <w:b w:val="0"/>
                <w:sz w:val="16"/>
              </w:rPr>
              <w:t>SERVICE_UNAVAILABLE</w:t>
            </w:r>
          </w:p>
        </w:tc>
      </w:tr>
    </w:tbl>
    <w:p/>
    <w:p>
      <w:pPr>
        <w:pStyle w:val="Heading2"/>
        <w:keepNext/>
      </w:pPr>
      <w:r>
        <w:t>5.4 Hardware Interfaces</w:t>
      </w:r>
    </w:p>
    <w:p>
      <w:r>
        <w:t>No dedicated hardware interface is required for the MVP. The system shall run on standard computing hardware. Optional future support may include hardware-backed key storage or security modules, but such integrations are outside the initial scope.</w:t>
      </w:r>
    </w:p>
    <w:p>
      <w:pPr>
        <w:pStyle w:val="Heading2"/>
        <w:keepNext/>
      </w:pPr>
      <w:r>
        <w:t>5.5 Software Interfaces</w:t>
      </w:r>
    </w:p>
    <w:p>
      <w:pPr>
        <w:pStyle w:val="ListBullet"/>
        <w:spacing w:after="40"/>
      </w:pPr>
      <w:r>
        <w:t>PostgreSQL database using a least-privilege application account.</w:t>
      </w:r>
    </w:p>
    <w:p>
      <w:pPr>
        <w:pStyle w:val="ListBullet"/>
        <w:spacing w:after="40"/>
      </w:pPr>
      <w:r>
        <w:t>Filesystem or S3-compatible object storage through a storage abstraction.</w:t>
      </w:r>
    </w:p>
    <w:p>
      <w:pPr>
        <w:pStyle w:val="ListBullet"/>
        <w:spacing w:after="40"/>
      </w:pPr>
      <w:r>
        <w:t>Cryptographic provider interface supporting selected KEM, signature, AEAD, and KDF operations.</w:t>
      </w:r>
    </w:p>
    <w:p>
      <w:pPr>
        <w:pStyle w:val="ListBullet"/>
        <w:spacing w:after="40"/>
      </w:pPr>
      <w:r>
        <w:t>Optional reverse proxy for TLS termination, request-size limits, and security headers.</w:t>
      </w:r>
    </w:p>
    <w:p>
      <w:pPr>
        <w:pStyle w:val="ListBullet"/>
        <w:spacing w:after="40"/>
      </w:pPr>
      <w:r>
        <w:t>Optional metrics and logging stack for operational monitoring.</w:t>
      </w:r>
    </w:p>
    <w:p>
      <w:pPr>
        <w:pStyle w:val="Heading2"/>
        <w:keepNext/>
      </w:pPr>
      <w:r>
        <w:t>5.6 Communications Interfaces</w:t>
      </w:r>
    </w:p>
    <w:p>
      <w:pPr>
        <w:pStyle w:val="ListBullet"/>
        <w:spacing w:after="40"/>
      </w:pPr>
      <w:r>
        <w:t>All client-server communication shall use HTTPS in hosted deployments.</w:t>
      </w:r>
    </w:p>
    <w:p>
      <w:pPr>
        <w:pStyle w:val="ListBullet"/>
        <w:spacing w:after="40"/>
      </w:pPr>
      <w:r>
        <w:t>API requests shall use a documented version prefix.</w:t>
      </w:r>
    </w:p>
    <w:p>
      <w:pPr>
        <w:pStyle w:val="ListBullet"/>
        <w:spacing w:after="40"/>
      </w:pPr>
      <w:r>
        <w:t>Uploads and downloads should use streaming to avoid loading large files fully into memory.</w:t>
      </w:r>
    </w:p>
    <w:p>
      <w:pPr>
        <w:pStyle w:val="ListBullet"/>
        <w:spacing w:after="40"/>
      </w:pPr>
      <w:r>
        <w:t>The application shall enforce configurable request and upload timeouts.</w:t>
      </w:r>
    </w:p>
    <w:p>
      <w:pPr>
        <w:pStyle w:val="ListBullet"/>
        <w:spacing w:after="40"/>
      </w:pPr>
      <w:r>
        <w:t>CORS shall allow only explicitly configured frontend origins.</w:t>
      </w:r>
    </w:p>
    <w:p>
      <w:pPr>
        <w:pStyle w:val="Heading1"/>
        <w:keepNext/>
      </w:pPr>
      <w:r>
        <w:t>6. Data Requirements</w:t>
      </w:r>
    </w:p>
    <w:p>
      <w:pPr>
        <w:pStyle w:val="Heading2"/>
        <w:keepNext/>
      </w:pPr>
      <w:r>
        <w:t>6.1 Core Data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Entity</w:t>
            </w:r>
          </w:p>
        </w:tc>
        <w:tc>
          <w:tcPr>
            <w:tcW w:type="dxa" w:w="3312"/>
            <w:vAlign w:val="center"/>
            <w:shd w:fill="17365D"/>
          </w:tcPr>
          <w:p>
            <w:pPr>
              <w:spacing w:after="20"/>
            </w:pPr>
            <w:r/>
            <w:r>
              <w:rPr>
                <w:rFonts w:ascii="Arial" w:hAnsi="Arial"/>
                <w:b/>
                <w:color w:val="FFFFFF"/>
                <w:sz w:val="17"/>
              </w:rPr>
              <w:t>Key attributes</w:t>
            </w:r>
          </w:p>
        </w:tc>
        <w:tc>
          <w:tcPr>
            <w:tcW w:type="dxa" w:w="3312"/>
            <w:vAlign w:val="center"/>
            <w:shd w:fill="17365D"/>
          </w:tcPr>
          <w:p>
            <w:pPr>
              <w:spacing w:after="20"/>
            </w:pPr>
            <w:r/>
            <w:r>
              <w:rPr>
                <w:rFonts w:ascii="Arial" w:hAnsi="Arial"/>
                <w:b/>
                <w:color w:val="FFFFFF"/>
                <w:sz w:val="17"/>
              </w:rPr>
              <w:t>Notes</w:t>
            </w:r>
          </w:p>
        </w:tc>
      </w:tr>
      <w:tr>
        <w:tc>
          <w:tcPr>
            <w:tcW w:type="dxa" w:w="3312"/>
            <w:vAlign w:val="center"/>
          </w:tcPr>
          <w:p>
            <w:pPr>
              <w:spacing w:after="20"/>
            </w:pPr>
            <w:r/>
            <w:r>
              <w:rPr>
                <w:rFonts w:ascii="Arial" w:hAnsi="Arial"/>
                <w:b w:val="0"/>
                <w:sz w:val="16"/>
              </w:rPr>
              <w:t>User</w:t>
            </w:r>
          </w:p>
        </w:tc>
        <w:tc>
          <w:tcPr>
            <w:tcW w:type="dxa" w:w="3312"/>
            <w:vAlign w:val="center"/>
          </w:tcPr>
          <w:p>
            <w:pPr>
              <w:spacing w:after="20"/>
            </w:pPr>
            <w:r/>
            <w:r>
              <w:rPr>
                <w:rFonts w:ascii="Arial" w:hAnsi="Arial"/>
                <w:b w:val="0"/>
                <w:sz w:val="16"/>
              </w:rPr>
              <w:t>user_id, email, password_hash, status, created_at, updated_at</w:t>
            </w:r>
          </w:p>
        </w:tc>
        <w:tc>
          <w:tcPr>
            <w:tcW w:type="dxa" w:w="3312"/>
            <w:vAlign w:val="center"/>
          </w:tcPr>
          <w:p>
            <w:pPr>
              <w:spacing w:after="20"/>
            </w:pPr>
            <w:r/>
            <w:r>
              <w:rPr>
                <w:rFonts w:ascii="Arial" w:hAnsi="Arial"/>
                <w:b w:val="0"/>
                <w:sz w:val="16"/>
              </w:rPr>
              <w:t>Email unique; password stored only as a salted adaptive hash.</w:t>
            </w:r>
          </w:p>
        </w:tc>
      </w:tr>
      <w:tr>
        <w:tc>
          <w:tcPr>
            <w:tcW w:type="dxa" w:w="3312"/>
            <w:vAlign w:val="center"/>
          </w:tcPr>
          <w:p>
            <w:pPr>
              <w:spacing w:after="20"/>
            </w:pPr>
            <w:r/>
            <w:r>
              <w:rPr>
                <w:rFonts w:ascii="Arial" w:hAnsi="Arial"/>
                <w:b w:val="0"/>
                <w:sz w:val="16"/>
              </w:rPr>
              <w:t>KeyRecord</w:t>
            </w:r>
          </w:p>
        </w:tc>
        <w:tc>
          <w:tcPr>
            <w:tcW w:type="dxa" w:w="3312"/>
            <w:vAlign w:val="center"/>
          </w:tcPr>
          <w:p>
            <w:pPr>
              <w:spacing w:after="20"/>
            </w:pPr>
            <w:r/>
            <w:r>
              <w:rPr>
                <w:rFonts w:ascii="Arial" w:hAnsi="Arial"/>
                <w:b w:val="0"/>
                <w:sz w:val="16"/>
              </w:rPr>
              <w:t>key_id, user_id, algorithm, public_key, key_version, status, created_at, revoked_at</w:t>
            </w:r>
          </w:p>
        </w:tc>
        <w:tc>
          <w:tcPr>
            <w:tcW w:type="dxa" w:w="3312"/>
            <w:vAlign w:val="center"/>
          </w:tcPr>
          <w:p>
            <w:pPr>
              <w:spacing w:after="20"/>
            </w:pPr>
            <w:r/>
            <w:r>
              <w:rPr>
                <w:rFonts w:ascii="Arial" w:hAnsi="Arial"/>
                <w:b w:val="0"/>
                <w:sz w:val="16"/>
              </w:rPr>
              <w:t>Public keys only in this table; private-key custody is separate and explicit.</w:t>
            </w:r>
          </w:p>
        </w:tc>
      </w:tr>
      <w:tr>
        <w:tc>
          <w:tcPr>
            <w:tcW w:type="dxa" w:w="3312"/>
            <w:vAlign w:val="center"/>
          </w:tcPr>
          <w:p>
            <w:pPr>
              <w:spacing w:after="20"/>
            </w:pPr>
            <w:r/>
            <w:r>
              <w:rPr>
                <w:rFonts w:ascii="Arial" w:hAnsi="Arial"/>
                <w:b w:val="0"/>
                <w:sz w:val="16"/>
              </w:rPr>
              <w:t>FilePackage</w:t>
            </w:r>
          </w:p>
        </w:tc>
        <w:tc>
          <w:tcPr>
            <w:tcW w:type="dxa" w:w="3312"/>
            <w:vAlign w:val="center"/>
          </w:tcPr>
          <w:p>
            <w:pPr>
              <w:spacing w:after="20"/>
            </w:pPr>
            <w:r/>
            <w:r>
              <w:rPr>
                <w:rFonts w:ascii="Arial" w:hAnsi="Arial"/>
                <w:b w:val="0"/>
                <w:sz w:val="16"/>
              </w:rPr>
              <w:t>file_id, sender_id, name, size, mode, package_version, storage_ref, manifest, signature, created_at, status</w:t>
            </w:r>
          </w:p>
        </w:tc>
        <w:tc>
          <w:tcPr>
            <w:tcW w:type="dxa" w:w="3312"/>
            <w:vAlign w:val="center"/>
          </w:tcPr>
          <w:p>
            <w:pPr>
              <w:spacing w:after="20"/>
            </w:pPr>
            <w:r/>
            <w:r>
              <w:rPr>
                <w:rFonts w:ascii="Arial" w:hAnsi="Arial"/>
                <w:b w:val="0"/>
                <w:sz w:val="16"/>
              </w:rPr>
              <w:t>No plaintext payload stored by the service.</w:t>
            </w:r>
          </w:p>
        </w:tc>
      </w:tr>
      <w:tr>
        <w:tc>
          <w:tcPr>
            <w:tcW w:type="dxa" w:w="3312"/>
            <w:vAlign w:val="center"/>
          </w:tcPr>
          <w:p>
            <w:pPr>
              <w:spacing w:after="20"/>
            </w:pPr>
            <w:r/>
            <w:r>
              <w:rPr>
                <w:rFonts w:ascii="Arial" w:hAnsi="Arial"/>
                <w:b w:val="0"/>
                <w:sz w:val="16"/>
              </w:rPr>
              <w:t>RecipientGrant</w:t>
            </w:r>
          </w:p>
        </w:tc>
        <w:tc>
          <w:tcPr>
            <w:tcW w:type="dxa" w:w="3312"/>
            <w:vAlign w:val="center"/>
          </w:tcPr>
          <w:p>
            <w:pPr>
              <w:spacing w:after="20"/>
            </w:pPr>
            <w:r/>
            <w:r>
              <w:rPr>
                <w:rFonts w:ascii="Arial" w:hAnsi="Arial"/>
                <w:b w:val="0"/>
                <w:sz w:val="16"/>
              </w:rPr>
              <w:t>grant_id, file_id, recipient_id, recipient_key_id, encapsulation, status, created_at, revoked_at</w:t>
            </w:r>
          </w:p>
        </w:tc>
        <w:tc>
          <w:tcPr>
            <w:tcW w:type="dxa" w:w="3312"/>
            <w:vAlign w:val="center"/>
          </w:tcPr>
          <w:p>
            <w:pPr>
              <w:spacing w:after="20"/>
            </w:pPr>
            <w:r/>
            <w:r>
              <w:rPr>
                <w:rFonts w:ascii="Arial" w:hAnsi="Arial"/>
                <w:b w:val="0"/>
                <w:sz w:val="16"/>
              </w:rPr>
              <w:t>One grant per recipient and package.</w:t>
            </w:r>
          </w:p>
        </w:tc>
      </w:tr>
      <w:tr>
        <w:tc>
          <w:tcPr>
            <w:tcW w:type="dxa" w:w="3312"/>
            <w:vAlign w:val="center"/>
          </w:tcPr>
          <w:p>
            <w:pPr>
              <w:spacing w:after="20"/>
            </w:pPr>
            <w:r/>
            <w:r>
              <w:rPr>
                <w:rFonts w:ascii="Arial" w:hAnsi="Arial"/>
                <w:b w:val="0"/>
                <w:sz w:val="16"/>
              </w:rPr>
              <w:t>AuditEvent</w:t>
            </w:r>
          </w:p>
        </w:tc>
        <w:tc>
          <w:tcPr>
            <w:tcW w:type="dxa" w:w="3312"/>
            <w:vAlign w:val="center"/>
          </w:tcPr>
          <w:p>
            <w:pPr>
              <w:spacing w:after="20"/>
            </w:pPr>
            <w:r/>
            <w:r>
              <w:rPr>
                <w:rFonts w:ascii="Arial" w:hAnsi="Arial"/>
                <w:b w:val="0"/>
                <w:sz w:val="16"/>
              </w:rPr>
              <w:t>event_id, actor_id, event_type, target_id, outcome, timestamp, safe_context</w:t>
            </w:r>
          </w:p>
        </w:tc>
        <w:tc>
          <w:tcPr>
            <w:tcW w:type="dxa" w:w="3312"/>
            <w:vAlign w:val="center"/>
          </w:tcPr>
          <w:p>
            <w:pPr>
              <w:spacing w:after="20"/>
            </w:pPr>
            <w:r/>
            <w:r>
              <w:rPr>
                <w:rFonts w:ascii="Arial" w:hAnsi="Arial"/>
                <w:b w:val="0"/>
                <w:sz w:val="16"/>
              </w:rPr>
              <w:t>Must exclude secrets and plaintext.</w:t>
            </w:r>
          </w:p>
        </w:tc>
      </w:tr>
    </w:tbl>
    <w:p/>
    <w:p>
      <w:pPr>
        <w:pStyle w:val="Heading2"/>
        <w:keepNext/>
      </w:pPr>
      <w:r>
        <w:t>6.2 Data Validation</w:t>
      </w:r>
    </w:p>
    <w:p>
      <w:pPr>
        <w:pStyle w:val="ListBullet"/>
        <w:spacing w:after="40"/>
      </w:pPr>
      <w:r>
        <w:t>All IDs shall use collision-resistant identifiers such as UUIDs.</w:t>
      </w:r>
    </w:p>
    <w:p>
      <w:pPr>
        <w:pStyle w:val="ListBullet"/>
        <w:spacing w:after="40"/>
      </w:pPr>
      <w:r>
        <w:t>Email addresses shall be normalized consistently before uniqueness checks.</w:t>
      </w:r>
    </w:p>
    <w:p>
      <w:pPr>
        <w:pStyle w:val="ListBullet"/>
        <w:spacing w:after="40"/>
      </w:pPr>
      <w:r>
        <w:t>Uploaded filenames shall be treated as untrusted display metadata and shall never be used directly as filesystem paths.</w:t>
      </w:r>
    </w:p>
    <w:p>
      <w:pPr>
        <w:pStyle w:val="ListBullet"/>
        <w:spacing w:after="40"/>
      </w:pPr>
      <w:r>
        <w:t>File size shall be checked server-side; client-provided size is informational only.</w:t>
      </w:r>
    </w:p>
    <w:p>
      <w:pPr>
        <w:pStyle w:val="ListBullet"/>
        <w:spacing w:after="40"/>
      </w:pPr>
      <w:r>
        <w:t>Algorithm names and package versions shall be validated against an allowlist.</w:t>
      </w:r>
    </w:p>
    <w:p>
      <w:pPr>
        <w:pStyle w:val="ListBullet"/>
        <w:spacing w:after="40"/>
      </w:pPr>
      <w:r>
        <w:t>Public keys, encapsulation values, nonces, signatures, and manifests shall be validated for encoding, size, and structural correctness before cryptographic processing.</w:t>
      </w:r>
    </w:p>
    <w:p>
      <w:pPr>
        <w:pStyle w:val="Heading2"/>
        <w:keepNext/>
      </w:pPr>
      <w:r>
        <w:t>6.3 Data Retention and Deletion</w:t>
      </w:r>
    </w:p>
    <w:p>
      <w:pPr>
        <w:pStyle w:val="ListBullet"/>
        <w:spacing w:after="40"/>
      </w:pPr>
      <w:r>
        <w:t>The system shall define configurable retention periods for audit records.</w:t>
      </w:r>
    </w:p>
    <w:p>
      <w:pPr>
        <w:pStyle w:val="ListBullet"/>
        <w:spacing w:after="40"/>
      </w:pPr>
      <w:r>
        <w:t>Deletion shall remove or render inaccessible the encrypted payload and associated metadata according to the configured policy.</w:t>
      </w:r>
    </w:p>
    <w:p>
      <w:pPr>
        <w:pStyle w:val="ListBullet"/>
        <w:spacing w:after="40"/>
      </w:pPr>
      <w:r>
        <w:t>Backups may retain deleted data until their defined expiration; this limitation shall be documented.</w:t>
      </w:r>
    </w:p>
    <w:p>
      <w:pPr>
        <w:pStyle w:val="ListBullet"/>
        <w:spacing w:after="40"/>
      </w:pPr>
      <w:r>
        <w:t>Revoking a grant prevents future server-mediated access but cannot revoke plaintext or keys already obtained by a recipient.</w:t>
      </w:r>
    </w:p>
    <w:p>
      <w:pPr>
        <w:pStyle w:val="ListBullet"/>
        <w:spacing w:after="40"/>
      </w:pPr>
      <w:r>
        <w:t>Account deletion shall define how owned packages, received grants, audit events, and shared content are handled.</w:t>
      </w:r>
    </w:p>
    <w:p>
      <w:pPr>
        <w:pStyle w:val="Heading2"/>
        <w:keepNext/>
      </w:pPr>
      <w:r>
        <w:t>6.4 Backup and Recovery</w:t>
      </w:r>
    </w:p>
    <w:p>
      <w:r>
        <w:t>The deployment shall document backup procedures for the database and encrypted object storage. If private keys are stored server-side, backup and recovery of those keys require a separate security design; ordinary database backups shall not silently include unprotected private-key material.</w:t>
      </w:r>
    </w:p>
    <w:p>
      <w:pPr>
        <w:pStyle w:val="Heading1"/>
        <w:keepNext/>
      </w:pPr>
      <w:r>
        <w:t>7.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7365D"/>
          </w:tcPr>
          <w:p>
            <w:pPr>
              <w:spacing w:after="20"/>
            </w:pPr>
            <w:r/>
            <w:r>
              <w:rPr>
                <w:rFonts w:ascii="Arial" w:hAnsi="Arial"/>
                <w:b/>
                <w:color w:val="FFFFFF"/>
                <w:sz w:val="17"/>
              </w:rPr>
              <w:t>ID</w:t>
            </w:r>
          </w:p>
        </w:tc>
        <w:tc>
          <w:tcPr>
            <w:tcW w:type="dxa" w:w="1800"/>
            <w:vAlign w:val="center"/>
            <w:shd w:fill="17365D"/>
          </w:tcPr>
          <w:p>
            <w:pPr>
              <w:spacing w:after="20"/>
            </w:pPr>
            <w:r/>
            <w:r>
              <w:rPr>
                <w:rFonts w:ascii="Arial" w:hAnsi="Arial"/>
                <w:b/>
                <w:color w:val="FFFFFF"/>
                <w:sz w:val="17"/>
              </w:rPr>
              <w:t>Quality attribute</w:t>
            </w:r>
          </w:p>
        </w:tc>
        <w:tc>
          <w:tcPr>
            <w:tcW w:type="dxa" w:w="7200"/>
            <w:vAlign w:val="center"/>
            <w:shd w:fill="17365D"/>
          </w:tcPr>
          <w:p>
            <w:pPr>
              <w:spacing w:after="20"/>
            </w:pPr>
            <w:r/>
            <w:r>
              <w:rPr>
                <w:rFonts w:ascii="Arial" w:hAnsi="Arial"/>
                <w:b/>
                <w:color w:val="FFFFFF"/>
                <w:sz w:val="17"/>
              </w:rPr>
              <w:t>Requirement</w:t>
            </w:r>
          </w:p>
        </w:tc>
        <w:tc>
          <w:tcPr>
            <w:tcW w:type="dxa" w:w="936"/>
            <w:vAlign w:val="center"/>
            <w:shd w:fill="17365D"/>
          </w:tcPr>
          <w:p>
            <w:pPr>
              <w:spacing w:after="20"/>
            </w:pPr>
            <w:r/>
            <w:r>
              <w:rPr>
                <w:rFonts w:ascii="Arial" w:hAnsi="Arial"/>
                <w:b/>
                <w:color w:val="FFFFFF"/>
                <w:sz w:val="17"/>
              </w:rPr>
              <w:t>Priority</w:t>
            </w:r>
          </w:p>
        </w:tc>
      </w:tr>
      <w:tr>
        <w:tc>
          <w:tcPr>
            <w:tcW w:type="dxa" w:w="1008"/>
            <w:vAlign w:val="center"/>
          </w:tcPr>
          <w:p>
            <w:pPr>
              <w:spacing w:after="20"/>
            </w:pPr>
            <w:r/>
            <w:r>
              <w:rPr>
                <w:rFonts w:ascii="Arial" w:hAnsi="Arial"/>
                <w:b w:val="0"/>
                <w:sz w:val="16"/>
              </w:rPr>
              <w:t>NFR-001</w:t>
            </w:r>
          </w:p>
        </w:tc>
        <w:tc>
          <w:tcPr>
            <w:tcW w:type="dxa" w:w="1800"/>
            <w:vAlign w:val="center"/>
          </w:tcPr>
          <w:p>
            <w:pPr>
              <w:spacing w:after="20"/>
            </w:pPr>
            <w:r/>
            <w:r>
              <w:rPr>
                <w:rFonts w:ascii="Arial" w:hAnsi="Arial"/>
                <w:b w:val="0"/>
                <w:sz w:val="16"/>
              </w:rPr>
              <w:t>Performance</w:t>
            </w:r>
          </w:p>
        </w:tc>
        <w:tc>
          <w:tcPr>
            <w:tcW w:type="dxa" w:w="7200"/>
            <w:vAlign w:val="center"/>
          </w:tcPr>
          <w:p>
            <w:pPr>
              <w:spacing w:after="20"/>
            </w:pPr>
            <w:r/>
            <w:r>
              <w:rPr>
                <w:rFonts w:ascii="Arial" w:hAnsi="Arial"/>
                <w:b w:val="0"/>
                <w:sz w:val="16"/>
              </w:rPr>
              <w:t>For the reference demonstration environment, metadata API requests should complete within 1 second at the 95th percentile under the defined test load, excluding cryptographic operations and file transfer.</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NFR-002</w:t>
            </w:r>
          </w:p>
        </w:tc>
        <w:tc>
          <w:tcPr>
            <w:tcW w:type="dxa" w:w="1800"/>
            <w:vAlign w:val="center"/>
          </w:tcPr>
          <w:p>
            <w:pPr>
              <w:spacing w:after="20"/>
            </w:pPr>
            <w:r/>
            <w:r>
              <w:rPr>
                <w:rFonts w:ascii="Arial" w:hAnsi="Arial"/>
                <w:b w:val="0"/>
                <w:sz w:val="16"/>
              </w:rPr>
              <w:t>Upload responsiveness</w:t>
            </w:r>
          </w:p>
        </w:tc>
        <w:tc>
          <w:tcPr>
            <w:tcW w:type="dxa" w:w="7200"/>
            <w:vAlign w:val="center"/>
          </w:tcPr>
          <w:p>
            <w:pPr>
              <w:spacing w:after="20"/>
            </w:pPr>
            <w:r/>
            <w:r>
              <w:rPr>
                <w:rFonts w:ascii="Arial" w:hAnsi="Arial"/>
                <w:b w:val="0"/>
                <w:sz w:val="16"/>
              </w:rPr>
              <w:t>The application should stream uploads and show progress for files larger than 10 MB.</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NFR-004</w:t>
            </w:r>
          </w:p>
        </w:tc>
        <w:tc>
          <w:tcPr>
            <w:tcW w:type="dxa" w:w="1800"/>
            <w:vAlign w:val="center"/>
          </w:tcPr>
          <w:p>
            <w:pPr>
              <w:spacing w:after="20"/>
            </w:pPr>
            <w:r/>
            <w:r>
              <w:rPr>
                <w:rFonts w:ascii="Arial" w:hAnsi="Arial"/>
                <w:b w:val="0"/>
                <w:sz w:val="16"/>
              </w:rPr>
              <w:t>Scalability</w:t>
            </w:r>
          </w:p>
        </w:tc>
        <w:tc>
          <w:tcPr>
            <w:tcW w:type="dxa" w:w="7200"/>
            <w:vAlign w:val="center"/>
          </w:tcPr>
          <w:p>
            <w:pPr>
              <w:spacing w:after="20"/>
            </w:pPr>
            <w:r/>
            <w:r>
              <w:rPr>
                <w:rFonts w:ascii="Arial" w:hAnsi="Arial"/>
                <w:b w:val="0"/>
                <w:sz w:val="16"/>
              </w:rPr>
              <w:t>The backend shall separate API logic, cryptographic operations, database access, and storage adapters to permit independent scaling.</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NFR-005</w:t>
            </w:r>
          </w:p>
        </w:tc>
        <w:tc>
          <w:tcPr>
            <w:tcW w:type="dxa" w:w="1800"/>
            <w:vAlign w:val="center"/>
          </w:tcPr>
          <w:p>
            <w:pPr>
              <w:spacing w:after="20"/>
            </w:pPr>
            <w:r/>
            <w:r>
              <w:rPr>
                <w:rFonts w:ascii="Arial" w:hAnsi="Arial"/>
                <w:b w:val="0"/>
                <w:sz w:val="16"/>
              </w:rPr>
              <w:t>Availability</w:t>
            </w:r>
          </w:p>
        </w:tc>
        <w:tc>
          <w:tcPr>
            <w:tcW w:type="dxa" w:w="7200"/>
            <w:vAlign w:val="center"/>
          </w:tcPr>
          <w:p>
            <w:pPr>
              <w:spacing w:after="20"/>
            </w:pPr>
            <w:r/>
            <w:r>
              <w:rPr>
                <w:rFonts w:ascii="Arial" w:hAnsi="Arial"/>
                <w:b w:val="0"/>
                <w:sz w:val="16"/>
              </w:rPr>
              <w:t>The demo deployment should target 99% availability during the scheduled evaluation window, excluding planned maintenance and external dependency failures.</w:t>
            </w:r>
          </w:p>
        </w:tc>
        <w:tc>
          <w:tcPr>
            <w:tcW w:type="dxa" w:w="936"/>
            <w:vAlign w:val="center"/>
          </w:tcPr>
          <w:p>
            <w:pPr>
              <w:spacing w:after="20"/>
            </w:pPr>
            <w:r/>
            <w:r>
              <w:rPr>
                <w:rFonts w:ascii="Arial" w:hAnsi="Arial"/>
                <w:b w:val="0"/>
                <w:sz w:val="16"/>
              </w:rPr>
              <w:t>P2</w:t>
            </w:r>
          </w:p>
        </w:tc>
      </w:tr>
      <w:tr>
        <w:tc>
          <w:tcPr>
            <w:tcW w:type="dxa" w:w="1008"/>
            <w:vAlign w:val="center"/>
          </w:tcPr>
          <w:p>
            <w:pPr>
              <w:spacing w:after="20"/>
            </w:pPr>
            <w:r/>
            <w:r>
              <w:rPr>
                <w:rFonts w:ascii="Arial" w:hAnsi="Arial"/>
                <w:b w:val="0"/>
                <w:sz w:val="16"/>
              </w:rPr>
              <w:t>NFR-006</w:t>
            </w:r>
          </w:p>
        </w:tc>
        <w:tc>
          <w:tcPr>
            <w:tcW w:type="dxa" w:w="1800"/>
            <w:vAlign w:val="center"/>
          </w:tcPr>
          <w:p>
            <w:pPr>
              <w:spacing w:after="20"/>
            </w:pPr>
            <w:r/>
            <w:r>
              <w:rPr>
                <w:rFonts w:ascii="Arial" w:hAnsi="Arial"/>
                <w:b w:val="0"/>
                <w:sz w:val="16"/>
              </w:rPr>
              <w:t>Reliability</w:t>
            </w:r>
          </w:p>
        </w:tc>
        <w:tc>
          <w:tcPr>
            <w:tcW w:type="dxa" w:w="7200"/>
            <w:vAlign w:val="center"/>
          </w:tcPr>
          <w:p>
            <w:pPr>
              <w:spacing w:after="20"/>
            </w:pPr>
            <w:r/>
            <w:r>
              <w:rPr>
                <w:rFonts w:ascii="Arial" w:hAnsi="Arial"/>
                <w:b w:val="0"/>
                <w:sz w:val="16"/>
              </w:rPr>
              <w:t>Failed encryption, upload, or persistence operations shall not create a package marked as complete or shareable.</w:t>
            </w:r>
          </w:p>
        </w:tc>
        <w:tc>
          <w:tcPr>
            <w:tcW w:type="dxa" w:w="936"/>
            <w:vAlign w:val="center"/>
          </w:tcPr>
          <w:p>
            <w:pPr>
              <w:spacing w:after="20"/>
            </w:pPr>
            <w:r/>
            <w:r>
              <w:rPr>
                <w:rFonts w:ascii="Arial" w:hAnsi="Arial"/>
                <w:b w:val="0"/>
                <w:sz w:val="16"/>
              </w:rPr>
              <w:t>P0</w:t>
            </w:r>
          </w:p>
        </w:tc>
      </w:tr>
      <w:tr>
        <w:tc>
          <w:tcPr>
            <w:tcW w:type="dxa" w:w="1008"/>
            <w:vAlign w:val="center"/>
          </w:tcPr>
          <w:p>
            <w:pPr>
              <w:spacing w:after="20"/>
            </w:pPr>
            <w:r/>
            <w:r>
              <w:rPr>
                <w:rFonts w:ascii="Arial" w:hAnsi="Arial"/>
                <w:b w:val="0"/>
                <w:sz w:val="16"/>
              </w:rPr>
              <w:t>NFR-007</w:t>
            </w:r>
          </w:p>
        </w:tc>
        <w:tc>
          <w:tcPr>
            <w:tcW w:type="dxa" w:w="1800"/>
            <w:vAlign w:val="center"/>
          </w:tcPr>
          <w:p>
            <w:pPr>
              <w:spacing w:after="20"/>
            </w:pPr>
            <w:r/>
            <w:r>
              <w:rPr>
                <w:rFonts w:ascii="Arial" w:hAnsi="Arial"/>
                <w:b w:val="0"/>
                <w:sz w:val="16"/>
              </w:rPr>
              <w:t>Maintainability</w:t>
            </w:r>
          </w:p>
        </w:tc>
        <w:tc>
          <w:tcPr>
            <w:tcW w:type="dxa" w:w="7200"/>
            <w:vAlign w:val="center"/>
          </w:tcPr>
          <w:p>
            <w:pPr>
              <w:spacing w:after="20"/>
            </w:pPr>
            <w:r/>
            <w:r>
              <w:rPr>
                <w:rFonts w:ascii="Arial" w:hAnsi="Arial"/>
                <w:b w:val="0"/>
                <w:sz w:val="16"/>
              </w:rPr>
              <w:t>The codebase shall use modular services, type hints for core interfaces, automated formatting, and documented configuration.</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NFR-008</w:t>
            </w:r>
          </w:p>
        </w:tc>
        <w:tc>
          <w:tcPr>
            <w:tcW w:type="dxa" w:w="1800"/>
            <w:vAlign w:val="center"/>
          </w:tcPr>
          <w:p>
            <w:pPr>
              <w:spacing w:after="20"/>
            </w:pPr>
            <w:r/>
            <w:r>
              <w:rPr>
                <w:rFonts w:ascii="Arial" w:hAnsi="Arial"/>
                <w:b w:val="0"/>
                <w:sz w:val="16"/>
              </w:rPr>
              <w:t>Testability</w:t>
            </w:r>
          </w:p>
        </w:tc>
        <w:tc>
          <w:tcPr>
            <w:tcW w:type="dxa" w:w="7200"/>
            <w:vAlign w:val="center"/>
          </w:tcPr>
          <w:p>
            <w:r>
              <w:t>Cryptographic providers, storage, clock, and measurement components should be replaceable or mockable in automated tests.</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NFR-009</w:t>
            </w:r>
          </w:p>
        </w:tc>
        <w:tc>
          <w:tcPr>
            <w:tcW w:type="dxa" w:w="1800"/>
            <w:vAlign w:val="center"/>
          </w:tcPr>
          <w:p>
            <w:pPr>
              <w:spacing w:after="20"/>
            </w:pPr>
            <w:r/>
            <w:r>
              <w:rPr>
                <w:rFonts w:ascii="Arial" w:hAnsi="Arial"/>
                <w:b w:val="0"/>
                <w:sz w:val="16"/>
              </w:rPr>
              <w:t>Portability</w:t>
            </w:r>
          </w:p>
        </w:tc>
        <w:tc>
          <w:tcPr>
            <w:tcW w:type="dxa" w:w="7200"/>
            <w:vAlign w:val="center"/>
          </w:tcPr>
          <w:p>
            <w:pPr>
              <w:spacing w:after="20"/>
            </w:pPr>
            <w:r/>
            <w:r>
              <w:rPr>
                <w:rFonts w:ascii="Arial" w:hAnsi="Arial"/>
                <w:b w:val="0"/>
                <w:sz w:val="16"/>
              </w:rPr>
              <w:t>The application shall run in a documented local Docker Compose environment.</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NFR-010</w:t>
            </w:r>
          </w:p>
        </w:tc>
        <w:tc>
          <w:tcPr>
            <w:tcW w:type="dxa" w:w="1800"/>
            <w:vAlign w:val="center"/>
          </w:tcPr>
          <w:p>
            <w:pPr>
              <w:spacing w:after="20"/>
            </w:pPr>
            <w:r/>
            <w:r>
              <w:rPr>
                <w:rFonts w:ascii="Arial" w:hAnsi="Arial"/>
                <w:b w:val="0"/>
                <w:sz w:val="16"/>
              </w:rPr>
              <w:t>Usability</w:t>
            </w:r>
          </w:p>
        </w:tc>
        <w:tc>
          <w:tcPr>
            <w:tcW w:type="dxa" w:w="7200"/>
            <w:vAlign w:val="center"/>
          </w:tcPr>
          <w:p>
            <w:pPr>
              <w:spacing w:after="20"/>
            </w:pPr>
            <w:r/>
            <w:r>
              <w:rPr>
                <w:rFonts w:ascii="Arial" w:hAnsi="Arial"/>
                <w:b w:val="0"/>
                <w:sz w:val="16"/>
              </w:rPr>
              <w:t>A first-time user should be able to complete registration, key setup, upload, and recipient download using the user guide without developer intervention.</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NFR-011</w:t>
            </w:r>
          </w:p>
        </w:tc>
        <w:tc>
          <w:tcPr>
            <w:tcW w:type="dxa" w:w="1800"/>
            <w:vAlign w:val="center"/>
          </w:tcPr>
          <w:p>
            <w:pPr>
              <w:spacing w:after="20"/>
            </w:pPr>
            <w:r/>
            <w:r>
              <w:rPr>
                <w:rFonts w:ascii="Arial" w:hAnsi="Arial"/>
                <w:b w:val="0"/>
                <w:sz w:val="16"/>
              </w:rPr>
              <w:t>Accessibility</w:t>
            </w:r>
          </w:p>
        </w:tc>
        <w:tc>
          <w:tcPr>
            <w:tcW w:type="dxa" w:w="7200"/>
            <w:vAlign w:val="center"/>
          </w:tcPr>
          <w:p>
            <w:pPr>
              <w:spacing w:after="20"/>
            </w:pPr>
            <w:r/>
            <w:r>
              <w:rPr>
                <w:rFonts w:ascii="Arial" w:hAnsi="Arial"/>
                <w:b w:val="0"/>
                <w:sz w:val="16"/>
              </w:rPr>
              <w:t>Core workflows should be keyboard operable and provide labels and meaningful status text.</w:t>
            </w:r>
          </w:p>
        </w:tc>
        <w:tc>
          <w:tcPr>
            <w:tcW w:type="dxa" w:w="936"/>
            <w:vAlign w:val="center"/>
          </w:tcPr>
          <w:p>
            <w:pPr>
              <w:spacing w:after="20"/>
            </w:pPr>
            <w:r/>
            <w:r>
              <w:rPr>
                <w:rFonts w:ascii="Arial" w:hAnsi="Arial"/>
                <w:b w:val="0"/>
                <w:sz w:val="16"/>
              </w:rPr>
              <w:t>P1</w:t>
            </w:r>
          </w:p>
        </w:tc>
      </w:tr>
      <w:tr>
        <w:tc>
          <w:tcPr>
            <w:tcW w:type="dxa" w:w="1008"/>
            <w:vAlign w:val="center"/>
          </w:tcPr>
          <w:p>
            <w:pPr>
              <w:spacing w:after="20"/>
            </w:pPr>
            <w:r/>
            <w:r>
              <w:rPr>
                <w:rFonts w:ascii="Arial" w:hAnsi="Arial"/>
                <w:b w:val="0"/>
                <w:sz w:val="16"/>
              </w:rPr>
              <w:t>NFR-012</w:t>
            </w:r>
          </w:p>
        </w:tc>
        <w:tc>
          <w:tcPr>
            <w:tcW w:type="dxa" w:w="1800"/>
            <w:vAlign w:val="center"/>
          </w:tcPr>
          <w:p>
            <w:pPr>
              <w:spacing w:after="20"/>
            </w:pPr>
            <w:r/>
            <w:r>
              <w:rPr>
                <w:rFonts w:ascii="Arial" w:hAnsi="Arial"/>
                <w:b w:val="0"/>
                <w:sz w:val="16"/>
              </w:rPr>
              <w:t>Observability</w:t>
            </w:r>
          </w:p>
        </w:tc>
        <w:tc>
          <w:tcPr>
            <w:tcW w:type="dxa" w:w="7200"/>
            <w:vAlign w:val="center"/>
          </w:tcPr>
          <w:p>
            <w:pPr>
              <w:spacing w:after="20"/>
            </w:pPr>
            <w:r/>
            <w:r>
              <w:rPr>
                <w:rFonts w:ascii="Arial" w:hAnsi="Arial"/>
                <w:b w:val="0"/>
                <w:sz w:val="16"/>
              </w:rPr>
              <w:t>The system shall provide structured logs and operational metrics without recording cryptographic secrets or plaintext.</w:t>
            </w:r>
          </w:p>
        </w:tc>
        <w:tc>
          <w:tcPr>
            <w:tcW w:type="dxa" w:w="936"/>
            <w:vAlign w:val="center"/>
          </w:tcPr>
          <w:p>
            <w:pPr>
              <w:spacing w:after="20"/>
            </w:pPr>
            <w:r/>
            <w:r>
              <w:rPr>
                <w:rFonts w:ascii="Arial" w:hAnsi="Arial"/>
                <w:b w:val="0"/>
                <w:sz w:val="16"/>
              </w:rPr>
              <w:t>P0</w:t>
            </w:r>
          </w:p>
        </w:tc>
      </w:tr>
      <w:tr>
        <w:tc>
          <w:tcPr>
            <w:tcW w:type="dxa" w:w="1008"/>
            <w:vAlign w:val="center"/>
          </w:tcPr>
          <w:p>
            <w:pPr>
              <w:spacing w:after="20"/>
            </w:pPr>
            <w:r/>
            <w:r>
              <w:rPr>
                <w:rFonts w:ascii="Arial" w:hAnsi="Arial"/>
                <w:b w:val="0"/>
                <w:sz w:val="16"/>
              </w:rPr>
              <w:t>NFR-013</w:t>
            </w:r>
          </w:p>
        </w:tc>
        <w:tc>
          <w:tcPr>
            <w:tcW w:type="dxa" w:w="1800"/>
            <w:vAlign w:val="center"/>
          </w:tcPr>
          <w:p>
            <w:pPr>
              <w:spacing w:after="20"/>
            </w:pPr>
            <w:r/>
            <w:r>
              <w:rPr>
                <w:rFonts w:ascii="Arial" w:hAnsi="Arial"/>
                <w:b w:val="0"/>
                <w:sz w:val="16"/>
              </w:rPr>
              <w:t>Interoperability</w:t>
            </w:r>
          </w:p>
        </w:tc>
        <w:tc>
          <w:tcPr>
            <w:tcW w:type="dxa" w:w="7200"/>
            <w:vAlign w:val="center"/>
          </w:tcPr>
          <w:p>
            <w:pPr>
              <w:spacing w:after="20"/>
            </w:pPr>
            <w:r/>
            <w:r>
              <w:rPr>
                <w:rFonts w:ascii="Arial" w:hAnsi="Arial"/>
                <w:b w:val="0"/>
                <w:sz w:val="16"/>
              </w:rPr>
              <w:t>The package format shall explicitly identify algorithms and versions and reject unsupported suites safely.</w:t>
            </w:r>
          </w:p>
        </w:tc>
        <w:tc>
          <w:tcPr>
            <w:tcW w:type="dxa" w:w="936"/>
            <w:vAlign w:val="center"/>
          </w:tcPr>
          <w:p>
            <w:pPr>
              <w:spacing w:after="20"/>
            </w:pPr>
            <w:r/>
            <w:r>
              <w:rPr>
                <w:rFonts w:ascii="Arial" w:hAnsi="Arial"/>
                <w:b w:val="0"/>
                <w:sz w:val="16"/>
              </w:rPr>
              <w:t>P0</w:t>
            </w:r>
          </w:p>
        </w:tc>
      </w:tr>
      <w:tr>
        <w:tc>
          <w:tcPr>
            <w:tcW w:type="dxa" w:w="1008"/>
            <w:vAlign w:val="center"/>
          </w:tcPr>
          <w:p>
            <w:pPr>
              <w:spacing w:after="20"/>
            </w:pPr>
            <w:r/>
            <w:r>
              <w:rPr>
                <w:rFonts w:ascii="Arial" w:hAnsi="Arial"/>
                <w:b w:val="0"/>
                <w:sz w:val="16"/>
              </w:rPr>
              <w:t>NFR-015</w:t>
            </w:r>
          </w:p>
        </w:tc>
        <w:tc>
          <w:tcPr>
            <w:tcW w:type="dxa" w:w="1800"/>
            <w:vAlign w:val="center"/>
          </w:tcPr>
          <w:p>
            <w:pPr>
              <w:spacing w:after="20"/>
            </w:pPr>
            <w:r/>
            <w:r>
              <w:rPr>
                <w:rFonts w:ascii="Arial" w:hAnsi="Arial"/>
                <w:b w:val="0"/>
                <w:sz w:val="16"/>
              </w:rPr>
              <w:t>Recoverability</w:t>
            </w:r>
          </w:p>
        </w:tc>
        <w:tc>
          <w:tcPr>
            <w:tcW w:type="dxa" w:w="7200"/>
            <w:vAlign w:val="center"/>
          </w:tcPr>
          <w:p>
            <w:pPr>
              <w:spacing w:after="20"/>
            </w:pPr>
            <w:r/>
            <w:r>
              <w:rPr>
                <w:rFonts w:ascii="Arial" w:hAnsi="Arial"/>
                <w:b w:val="0"/>
                <w:sz w:val="16"/>
              </w:rPr>
              <w:t>Transient storage or database errors shall produce a recoverable error state and shall not expose partial plaintext output.</w:t>
            </w:r>
          </w:p>
        </w:tc>
        <w:tc>
          <w:tcPr>
            <w:tcW w:type="dxa" w:w="936"/>
            <w:vAlign w:val="center"/>
          </w:tcPr>
          <w:p>
            <w:pPr>
              <w:spacing w:after="20"/>
            </w:pPr>
            <w:r/>
            <w:r>
              <w:rPr>
                <w:rFonts w:ascii="Arial" w:hAnsi="Arial"/>
                <w:b w:val="0"/>
                <w:sz w:val="16"/>
              </w:rPr>
              <w:t>P0</w:t>
            </w:r>
          </w:p>
        </w:tc>
      </w:tr>
      <w:tr>
        <w:tc>
          <w:tcPr>
            <w:tcW w:type="dxa" w:w="1008"/>
            <w:vAlign w:val="center"/>
          </w:tcPr>
          <w:p>
            <w:pPr>
              <w:spacing w:after="20"/>
            </w:pPr>
            <w:r/>
            <w:r>
              <w:rPr>
                <w:rFonts w:ascii="Arial" w:hAnsi="Arial"/>
                <w:b w:val="0"/>
                <w:sz w:val="16"/>
              </w:rPr>
              <w:t>NFR-016</w:t>
            </w:r>
          </w:p>
        </w:tc>
        <w:tc>
          <w:tcPr>
            <w:tcW w:type="dxa" w:w="1800"/>
            <w:vAlign w:val="center"/>
          </w:tcPr>
          <w:p>
            <w:pPr>
              <w:spacing w:after="20"/>
            </w:pPr>
            <w:r/>
            <w:r>
              <w:rPr>
                <w:rFonts w:ascii="Arial" w:hAnsi="Arial"/>
                <w:b w:val="0"/>
                <w:sz w:val="16"/>
              </w:rPr>
              <w:t>Compatibility</w:t>
            </w:r>
          </w:p>
        </w:tc>
        <w:tc>
          <w:tcPr>
            <w:tcW w:type="dxa" w:w="7200"/>
            <w:vAlign w:val="center"/>
          </w:tcPr>
          <w:p>
            <w:pPr>
              <w:spacing w:after="20"/>
            </w:pPr>
            <w:r/>
            <w:r>
              <w:rPr>
                <w:rFonts w:ascii="Arial" w:hAnsi="Arial"/>
                <w:b w:val="0"/>
                <w:sz w:val="16"/>
              </w:rPr>
              <w:t>The frontend shall support the latest stable versions of major desktop browsers at release time.</w:t>
            </w:r>
          </w:p>
        </w:tc>
        <w:tc>
          <w:tcPr>
            <w:tcW w:type="dxa" w:w="936"/>
            <w:vAlign w:val="center"/>
          </w:tcPr>
          <w:p>
            <w:pPr>
              <w:spacing w:after="20"/>
            </w:pPr>
            <w:r/>
            <w:r>
              <w:rPr>
                <w:rFonts w:ascii="Arial" w:hAnsi="Arial"/>
                <w:b w:val="0"/>
                <w:sz w:val="16"/>
              </w:rPr>
              <w:t>P1</w:t>
            </w:r>
          </w:p>
        </w:tc>
      </w:tr>
    </w:tbl>
    <w:p/>
    <w:p>
      <w:pPr>
        <w:pStyle w:val="Heading1"/>
        <w:keepNext/>
      </w:pPr>
      <w:r>
        <w:t>8. Security and Cryptographic Requirements</w:t>
      </w:r>
    </w:p>
    <w:p>
      <w:pPr>
        <w:pStyle w:val="Heading2"/>
        <w:keepNext/>
      </w:pPr>
      <w:r>
        <w:t>8.1 Security Objectives</w:t>
      </w:r>
    </w:p>
    <w:p>
      <w:pPr>
        <w:pStyle w:val="ListBullet"/>
        <w:spacing w:after="40"/>
      </w:pPr>
      <w:r>
        <w:t>Confidentiality: only authorized recipients with appropriate key material can recover plaintext files.</w:t>
      </w:r>
    </w:p>
    <w:p>
      <w:pPr>
        <w:pStyle w:val="ListBullet"/>
        <w:spacing w:after="40"/>
      </w:pPr>
      <w:r>
        <w:t>Integrity: tampering with encrypted content or authenticated package data is detected.</w:t>
      </w:r>
    </w:p>
    <w:p>
      <w:pPr>
        <w:pStyle w:val="ListBullet"/>
        <w:spacing w:after="40"/>
      </w:pPr>
      <w:r>
        <w:t>Authenticity: recipients can verify that package metadata was signed by a trusted sender key.</w:t>
      </w:r>
    </w:p>
    <w:p>
      <w:pPr>
        <w:pStyle w:val="ListBullet"/>
        <w:spacing w:after="40"/>
      </w:pPr>
      <w:r>
        <w:t>Authorization: users can access only packages and actions permitted by their grants and role.</w:t>
      </w:r>
    </w:p>
    <w:p>
      <w:pPr>
        <w:pStyle w:val="ListBullet"/>
        <w:spacing w:after="40"/>
      </w:pPr>
      <w:r>
        <w:t>Accountability: security-relevant actions are recorded without logging secrets.</w:t>
      </w:r>
    </w:p>
    <w:p>
      <w:pPr>
        <w:pStyle w:val="ListBullet"/>
        <w:spacing w:after="40"/>
      </w:pPr>
      <w:r>
        <w:t>Crypto-agility: algorithm suites and package versions are explicit and replaceable.</w:t>
      </w:r>
    </w:p>
    <w:p>
      <w:pPr>
        <w:pStyle w:val="Heading2"/>
        <w:keepNext/>
      </w:pPr>
      <w:r>
        <w:t>8.2 Cryptographic Profile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rial" w:hAnsi="Arial"/>
                <w:b/>
                <w:color w:val="FFFFFF"/>
                <w:sz w:val="17"/>
              </w:rPr>
              <w:t>Purpose</w:t>
            </w:r>
          </w:p>
        </w:tc>
        <w:tc>
          <w:tcPr>
            <w:tcW w:type="dxa" w:w="2484"/>
            <w:vAlign w:val="center"/>
            <w:shd w:fill="17365D"/>
          </w:tcPr>
          <w:p>
            <w:pPr>
              <w:spacing w:after="20"/>
            </w:pPr>
            <w:r/>
            <w:r>
              <w:rPr>
                <w:rFonts w:ascii="Arial" w:hAnsi="Arial"/>
                <w:b/>
                <w:color w:val="FFFFFF"/>
                <w:sz w:val="17"/>
              </w:rPr>
              <w:t>PQC profile</w:t>
            </w:r>
          </w:p>
        </w:tc>
        <w:tc>
          <w:tcPr>
            <w:tcW w:type="dxa" w:w="2484"/>
            <w:vAlign w:val="center"/>
            <w:shd w:fill="17365D"/>
          </w:tcPr>
          <w:p>
            <w:pPr>
              <w:spacing w:after="20"/>
            </w:pPr>
            <w:r/>
            <w:r>
              <w:rPr>
                <w:rFonts w:ascii="Arial" w:hAnsi="Arial"/>
                <w:b/>
                <w:color w:val="FFFFFF"/>
                <w:sz w:val="17"/>
              </w:rPr>
              <w:t>Classical comparison profile</w:t>
            </w:r>
          </w:p>
        </w:tc>
        <w:tc>
          <w:tcPr>
            <w:tcW w:type="dxa" w:w="2484"/>
            <w:vAlign w:val="center"/>
            <w:shd w:fill="17365D"/>
          </w:tcPr>
          <w:p>
            <w:pPr>
              <w:spacing w:after="20"/>
            </w:pPr>
            <w:r/>
            <w:r>
              <w:rPr>
                <w:rFonts w:ascii="Arial" w:hAnsi="Arial"/>
                <w:b/>
                <w:color w:val="FFFFFF"/>
                <w:sz w:val="17"/>
              </w:rPr>
              <w:t>Requirement</w:t>
            </w:r>
          </w:p>
        </w:tc>
      </w:tr>
      <w:tr>
        <w:tc>
          <w:tcPr>
            <w:tcW w:type="dxa" w:w="2484"/>
            <w:vAlign w:val="center"/>
          </w:tcPr>
          <w:p>
            <w:pPr>
              <w:spacing w:after="20"/>
            </w:pPr>
            <w:r/>
            <w:r>
              <w:rPr>
                <w:rFonts w:ascii="Arial" w:hAnsi="Arial"/>
                <w:b w:val="0"/>
                <w:sz w:val="16"/>
              </w:rPr>
              <w:t>Key establishment</w:t>
            </w:r>
          </w:p>
        </w:tc>
        <w:tc>
          <w:tcPr>
            <w:tcW w:type="dxa" w:w="2484"/>
            <w:vAlign w:val="center"/>
          </w:tcPr>
          <w:p>
            <w:pPr>
              <w:spacing w:after="20"/>
            </w:pPr>
            <w:r/>
            <w:r>
              <w:rPr>
                <w:rFonts w:ascii="Arial" w:hAnsi="Arial"/>
                <w:b w:val="0"/>
                <w:sz w:val="16"/>
              </w:rPr>
              <w:t>ML-KEM-768</w:t>
            </w:r>
          </w:p>
        </w:tc>
        <w:tc>
          <w:tcPr>
            <w:tcW w:type="dxa" w:w="2484"/>
            <w:vAlign w:val="center"/>
          </w:tcPr>
          <w:p>
            <w:pPr>
              <w:spacing w:after="20"/>
            </w:pPr>
            <w:r/>
            <w:r>
              <w:rPr>
                <w:rFonts w:ascii="Arial" w:hAnsi="Arial"/>
                <w:b w:val="0"/>
                <w:sz w:val="16"/>
              </w:rPr>
              <w:t>X25519-based key agreement</w:t>
            </w:r>
          </w:p>
        </w:tc>
        <w:tc>
          <w:tcPr>
            <w:tcW w:type="dxa" w:w="2484"/>
            <w:vAlign w:val="center"/>
          </w:tcPr>
          <w:p>
            <w:pPr>
              <w:spacing w:after="20"/>
            </w:pPr>
            <w:r/>
            <w:r>
              <w:rPr>
                <w:rFonts w:ascii="Arial" w:hAnsi="Arial"/>
                <w:b w:val="0"/>
                <w:sz w:val="16"/>
              </w:rPr>
              <w:t>Use standardized provider implementations; bind all context into key derivation.</w:t>
            </w:r>
          </w:p>
        </w:tc>
      </w:tr>
      <w:tr>
        <w:tc>
          <w:tcPr>
            <w:tcW w:type="dxa" w:w="2484"/>
            <w:vAlign w:val="center"/>
          </w:tcPr>
          <w:p>
            <w:pPr>
              <w:spacing w:after="20"/>
            </w:pPr>
            <w:r/>
            <w:r>
              <w:rPr>
                <w:rFonts w:ascii="Arial" w:hAnsi="Arial"/>
                <w:b w:val="0"/>
                <w:sz w:val="16"/>
              </w:rPr>
              <w:t>Digital signature</w:t>
            </w:r>
          </w:p>
        </w:tc>
        <w:tc>
          <w:tcPr>
            <w:tcW w:type="dxa" w:w="2484"/>
            <w:vAlign w:val="center"/>
          </w:tcPr>
          <w:p>
            <w:pPr>
              <w:spacing w:after="20"/>
            </w:pPr>
            <w:r/>
            <w:r>
              <w:rPr>
                <w:rFonts w:ascii="Arial" w:hAnsi="Arial"/>
                <w:b w:val="0"/>
                <w:sz w:val="16"/>
              </w:rPr>
              <w:t>ML-DSA-65</w:t>
            </w:r>
          </w:p>
        </w:tc>
        <w:tc>
          <w:tcPr>
            <w:tcW w:type="dxa" w:w="2484"/>
            <w:vAlign w:val="center"/>
          </w:tcPr>
          <w:p>
            <w:pPr>
              <w:spacing w:after="20"/>
            </w:pPr>
            <w:r/>
            <w:r>
              <w:rPr>
                <w:rFonts w:ascii="Arial" w:hAnsi="Arial"/>
                <w:b w:val="0"/>
                <w:sz w:val="16"/>
              </w:rPr>
              <w:t>Ed25519</w:t>
            </w:r>
          </w:p>
        </w:tc>
        <w:tc>
          <w:tcPr>
            <w:tcW w:type="dxa" w:w="2484"/>
            <w:vAlign w:val="center"/>
          </w:tcPr>
          <w:p>
            <w:pPr>
              <w:spacing w:after="20"/>
            </w:pPr>
            <w:r/>
            <w:r>
              <w:rPr>
                <w:rFonts w:ascii="Arial" w:hAnsi="Arial"/>
                <w:b w:val="0"/>
                <w:sz w:val="16"/>
              </w:rPr>
              <w:t>Sign canonical manifests and verify before accepting package content.</w:t>
            </w:r>
          </w:p>
        </w:tc>
      </w:tr>
      <w:tr>
        <w:tc>
          <w:tcPr>
            <w:tcW w:type="dxa" w:w="2484"/>
            <w:vAlign w:val="center"/>
          </w:tcPr>
          <w:p>
            <w:pPr>
              <w:spacing w:after="20"/>
            </w:pPr>
            <w:r/>
            <w:r>
              <w:rPr>
                <w:rFonts w:ascii="Arial" w:hAnsi="Arial"/>
                <w:b w:val="0"/>
                <w:sz w:val="16"/>
              </w:rPr>
              <w:t>Content encryption</w:t>
            </w:r>
          </w:p>
        </w:tc>
        <w:tc>
          <w:tcPr>
            <w:tcW w:type="dxa" w:w="2484"/>
            <w:vAlign w:val="center"/>
          </w:tcPr>
          <w:p>
            <w:pPr>
              <w:spacing w:after="20"/>
            </w:pPr>
            <w:r/>
            <w:r>
              <w:rPr>
                <w:rFonts w:ascii="Arial" w:hAnsi="Arial"/>
                <w:b w:val="0"/>
                <w:sz w:val="16"/>
              </w:rPr>
              <w:t>AES-256-GCM</w:t>
            </w:r>
          </w:p>
        </w:tc>
        <w:tc>
          <w:tcPr>
            <w:tcW w:type="dxa" w:w="2484"/>
            <w:vAlign w:val="center"/>
          </w:tcPr>
          <w:p>
            <w:pPr>
              <w:spacing w:after="20"/>
            </w:pPr>
            <w:r/>
            <w:r>
              <w:rPr>
                <w:rFonts w:ascii="Arial" w:hAnsi="Arial"/>
                <w:b w:val="0"/>
                <w:sz w:val="16"/>
              </w:rPr>
              <w:t>AES-256-GCM</w:t>
            </w:r>
          </w:p>
        </w:tc>
        <w:tc>
          <w:tcPr>
            <w:tcW w:type="dxa" w:w="2484"/>
            <w:vAlign w:val="center"/>
          </w:tcPr>
          <w:p>
            <w:pPr>
              <w:spacing w:after="20"/>
            </w:pPr>
            <w:r/>
            <w:r>
              <w:rPr>
                <w:rFonts w:ascii="Arial" w:hAnsi="Arial"/>
                <w:b w:val="0"/>
                <w:sz w:val="16"/>
              </w:rPr>
              <w:t>Use unique nonce per key and authenticated decryption.</w:t>
            </w:r>
          </w:p>
        </w:tc>
      </w:tr>
      <w:tr>
        <w:tc>
          <w:tcPr>
            <w:tcW w:type="dxa" w:w="2484"/>
            <w:vAlign w:val="center"/>
          </w:tcPr>
          <w:p>
            <w:pPr>
              <w:spacing w:after="20"/>
            </w:pPr>
            <w:r/>
            <w:r>
              <w:rPr>
                <w:rFonts w:ascii="Arial" w:hAnsi="Arial"/>
                <w:b w:val="0"/>
                <w:sz w:val="16"/>
              </w:rPr>
              <w:t>Key derivation</w:t>
            </w:r>
          </w:p>
        </w:tc>
        <w:tc>
          <w:tcPr>
            <w:tcW w:type="dxa" w:w="2484"/>
            <w:vAlign w:val="center"/>
          </w:tcPr>
          <w:p>
            <w:pPr>
              <w:spacing w:after="20"/>
            </w:pPr>
            <w:r/>
            <w:r>
              <w:rPr>
                <w:rFonts w:ascii="Arial" w:hAnsi="Arial"/>
                <w:b w:val="0"/>
                <w:sz w:val="16"/>
              </w:rPr>
              <w:t>HKDF-SHA-256</w:t>
            </w:r>
          </w:p>
        </w:tc>
        <w:tc>
          <w:tcPr>
            <w:tcW w:type="dxa" w:w="2484"/>
            <w:vAlign w:val="center"/>
          </w:tcPr>
          <w:p>
            <w:pPr>
              <w:spacing w:after="20"/>
            </w:pPr>
            <w:r/>
            <w:r>
              <w:rPr>
                <w:rFonts w:ascii="Arial" w:hAnsi="Arial"/>
                <w:b w:val="0"/>
                <w:sz w:val="16"/>
              </w:rPr>
              <w:t>HKDF-SHA-256</w:t>
            </w:r>
          </w:p>
        </w:tc>
        <w:tc>
          <w:tcPr>
            <w:tcW w:type="dxa" w:w="2484"/>
            <w:vAlign w:val="center"/>
          </w:tcPr>
          <w:p>
            <w:pPr>
              <w:spacing w:after="20"/>
            </w:pPr>
            <w:r/>
            <w:r>
              <w:rPr>
                <w:rFonts w:ascii="Arial" w:hAnsi="Arial"/>
                <w:b w:val="0"/>
                <w:sz w:val="16"/>
              </w:rPr>
              <w:t>Use fresh salt and domain-separated context information.</w:t>
            </w:r>
          </w:p>
        </w:tc>
      </w:tr>
      <w:tr>
        <w:tc>
          <w:tcPr>
            <w:tcW w:type="dxa" w:w="2484"/>
            <w:vAlign w:val="center"/>
          </w:tcPr>
          <w:p>
            <w:pPr>
              <w:spacing w:after="20"/>
            </w:pPr>
            <w:r/>
            <w:r>
              <w:rPr>
                <w:rFonts w:ascii="Arial" w:hAnsi="Arial"/>
                <w:b w:val="0"/>
                <w:sz w:val="16"/>
              </w:rPr>
              <w:t>Hashing</w:t>
            </w:r>
          </w:p>
        </w:tc>
        <w:tc>
          <w:tcPr>
            <w:tcW w:type="dxa" w:w="2484"/>
            <w:vAlign w:val="center"/>
          </w:tcPr>
          <w:p>
            <w:pPr>
              <w:spacing w:after="20"/>
            </w:pPr>
            <w:r/>
            <w:r>
              <w:rPr>
                <w:rFonts w:ascii="Arial" w:hAnsi="Arial"/>
                <w:b w:val="0"/>
                <w:sz w:val="16"/>
              </w:rPr>
              <w:t>SHA-256 or provider-approved hash as specified by profile</w:t>
            </w:r>
          </w:p>
        </w:tc>
        <w:tc>
          <w:tcPr>
            <w:tcW w:type="dxa" w:w="2484"/>
            <w:vAlign w:val="center"/>
          </w:tcPr>
          <w:p>
            <w:pPr>
              <w:spacing w:after="20"/>
            </w:pPr>
            <w:r/>
            <w:r>
              <w:rPr>
                <w:rFonts w:ascii="Arial" w:hAnsi="Arial"/>
                <w:b w:val="0"/>
                <w:sz w:val="16"/>
              </w:rPr>
              <w:t>SHA-256</w:t>
            </w:r>
          </w:p>
        </w:tc>
        <w:tc>
          <w:tcPr>
            <w:tcW w:type="dxa" w:w="2484"/>
            <w:vAlign w:val="center"/>
          </w:tcPr>
          <w:p>
            <w:pPr>
              <w:spacing w:after="20"/>
            </w:pPr>
            <w:r/>
            <w:r>
              <w:rPr>
                <w:rFonts w:ascii="Arial" w:hAnsi="Arial"/>
                <w:b w:val="0"/>
                <w:sz w:val="16"/>
              </w:rPr>
              <w:t>Use for digests and transcript binding as specified.</w:t>
            </w:r>
          </w:p>
        </w:tc>
      </w:tr>
    </w:tbl>
    <w:p/>
    <w:p>
      <w:r>
        <w:t>ML-KEM and ML-DSA are specified in NIST FIPS 203 and FIPS 204 respectively. The implementation shall use a library that implements the standardized versions and shall document the library and version used. [1][2]</w:t>
      </w:r>
    </w:p>
    <w:p>
      <w:pPr>
        <w:pStyle w:val="Heading2"/>
        <w:keepNext/>
      </w:pPr>
      <w:r>
        <w:t>8.3 Key Management</w:t>
      </w:r>
    </w:p>
    <w:p>
      <w:pPr>
        <w:pStyle w:val="ListBullet"/>
        <w:spacing w:after="40"/>
      </w:pPr>
      <w:r>
        <w:t>Each key record shall have an owner, algorithm identifier, key identifier, version, creation time, and status.</w:t>
      </w:r>
    </w:p>
    <w:p>
      <w:pPr>
        <w:pStyle w:val="ListBullet"/>
        <w:spacing w:after="40"/>
      </w:pPr>
      <w:r>
        <w:t>Private-key storage shall be encrypted at rest if server-managed; access shall be restricted to the minimum required service component.</w:t>
      </w:r>
    </w:p>
    <w:p>
      <w:pPr>
        <w:pStyle w:val="ListBullet"/>
        <w:spacing w:after="40"/>
      </w:pPr>
      <w:r>
        <w:t>The MVP shall clearly choose one custody model: (a) user-held private keys, (b) browser-held keys, or (c) server-managed encrypted keys. Mixing models without clear key lifecycle rules is prohibited.</w:t>
      </w:r>
    </w:p>
    <w:p>
      <w:pPr>
        <w:pStyle w:val="ListBullet"/>
        <w:spacing w:after="40"/>
      </w:pPr>
      <w:r>
        <w:t>Key rotation shall create a new key version without silently changing the key reference in existing packages.</w:t>
      </w:r>
    </w:p>
    <w:p>
      <w:pPr>
        <w:pStyle w:val="ListBullet"/>
        <w:spacing w:after="40"/>
      </w:pPr>
      <w:r>
        <w:t>Revoked keys shall not be selected for new shares. Existing package access behavior after revocation shall be documented.</w:t>
      </w:r>
    </w:p>
    <w:p>
      <w:pPr>
        <w:pStyle w:val="ListBullet"/>
        <w:spacing w:after="40"/>
      </w:pPr>
      <w:r>
        <w:t>Recovery and loss scenarios shall be explained. If the system cannot recover a lost private key, users shall be warned before relying on the system for important files.</w:t>
      </w:r>
    </w:p>
    <w:p>
      <w:pPr>
        <w:pStyle w:val="ListBullet"/>
        <w:spacing w:after="40"/>
      </w:pPr>
      <w:r>
        <w:t>Keys and secrets shall be cleared from application memory where practical after use; limitations of memory zeroization in managed runtimes shall be documented.</w:t>
      </w:r>
    </w:p>
    <w:p>
      <w:pPr>
        <w:pStyle w:val="Heading2"/>
        <w:keepNext/>
      </w:pPr>
      <w:r>
        <w:t>8.4 Authentication and Authorization</w:t>
      </w:r>
    </w:p>
    <w:p>
      <w:pPr>
        <w:pStyle w:val="ListBullet"/>
        <w:spacing w:after="40"/>
      </w:pPr>
      <w:r>
        <w:t>Passwords shall be stored using a modern adaptive password hashing function such as Argon2id or bcrypt with appropriately configured parameters.</w:t>
      </w:r>
    </w:p>
    <w:p>
      <w:pPr>
        <w:pStyle w:val="ListBullet"/>
        <w:spacing w:after="40"/>
      </w:pPr>
      <w:r>
        <w:t>Authentication endpoints shall be rate-limited and shall avoid revealing whether an email address is registered.</w:t>
      </w:r>
    </w:p>
    <w:p>
      <w:pPr>
        <w:pStyle w:val="ListBullet"/>
        <w:spacing w:after="40"/>
      </w:pPr>
      <w:r>
        <w:t>Sessions shall expire and be invalidated on logout. Cookie-based sessions shall use Secure, HttpOnly, and appropriate SameSite settings.</w:t>
      </w:r>
    </w:p>
    <w:p>
      <w:pPr>
        <w:pStyle w:val="ListBullet"/>
        <w:spacing w:after="40"/>
      </w:pPr>
      <w:r>
        <w:t>Every file metadata, download, revoke, and delete operation shall perform object-level authorization on the server.</w:t>
      </w:r>
    </w:p>
    <w:p>
      <w:pPr>
        <w:pStyle w:val="ListBullet"/>
        <w:spacing w:after="40"/>
      </w:pPr>
      <w:r>
        <w:t>Administrative privileges shall not automatically bypass file cryptographic protections.</w:t>
      </w:r>
    </w:p>
    <w:p>
      <w:pPr>
        <w:pStyle w:val="ListBullet"/>
        <w:spacing w:after="40"/>
      </w:pPr>
      <w:r>
        <w:t>The system should support multi-factor authentication as a future enhancement.</w:t>
      </w:r>
    </w:p>
    <w:p>
      <w:pPr>
        <w:pStyle w:val="Heading2"/>
        <w:keepNext/>
      </w:pPr>
      <w:r>
        <w:t>8.5 File Upload Security</w:t>
      </w:r>
    </w:p>
    <w:p>
      <w:pPr>
        <w:pStyle w:val="ListBullet"/>
        <w:spacing w:after="40"/>
      </w:pPr>
      <w:r>
        <w:t>The server shall enforce maximum upload size and allowed file policy.</w:t>
      </w:r>
    </w:p>
    <w:p>
      <w:pPr>
        <w:pStyle w:val="ListBullet"/>
        <w:spacing w:after="40"/>
      </w:pPr>
      <w:r>
        <w:t>The system shall generate storage identifiers rather than trusting user-supplied filenames.</w:t>
      </w:r>
    </w:p>
    <w:p>
      <w:pPr>
        <w:pStyle w:val="ListBullet"/>
        <w:spacing w:after="40"/>
      </w:pPr>
      <w:r>
        <w:t>Uploads shall be streamed to controlled temporary storage and atomically committed only after validation and encryption complete.</w:t>
      </w:r>
    </w:p>
    <w:p>
      <w:pPr>
        <w:pStyle w:val="ListBullet"/>
        <w:spacing w:after="40"/>
      </w:pPr>
      <w:r>
        <w:t>The system shall prevent path traversal, unsafe archive extraction, and executable content serving.</w:t>
      </w:r>
    </w:p>
    <w:p>
      <w:pPr>
        <w:pStyle w:val="ListBullet"/>
        <w:spacing w:after="40"/>
      </w:pPr>
      <w:r>
        <w:t>Downloads shall use safe content-disposition headers and shall not execute uploaded content in the application origin.</w:t>
      </w:r>
    </w:p>
    <w:p>
      <w:pPr>
        <w:pStyle w:val="ListBullet"/>
        <w:spacing w:after="40"/>
      </w:pPr>
      <w:r>
        <w:t>The system shall avoid returning decrypted content after any signature, authentication-tag, or integrity check fails.</w:t>
      </w:r>
    </w:p>
    <w:p>
      <w:pPr>
        <w:pStyle w:val="Heading2"/>
        <w:keepNext/>
      </w:pPr>
      <w:r>
        <w:t>8.6 Threat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Threat / misuse case</w:t>
            </w:r>
          </w:p>
        </w:tc>
        <w:tc>
          <w:tcPr>
            <w:tcW w:type="dxa" w:w="3312"/>
            <w:vAlign w:val="center"/>
            <w:shd w:fill="17365D"/>
          </w:tcPr>
          <w:p>
            <w:pPr>
              <w:spacing w:after="20"/>
            </w:pPr>
            <w:r/>
            <w:r>
              <w:rPr>
                <w:rFonts w:ascii="Arial" w:hAnsi="Arial"/>
                <w:b/>
                <w:color w:val="FFFFFF"/>
                <w:sz w:val="17"/>
              </w:rPr>
              <w:t>Potential impact</w:t>
            </w:r>
          </w:p>
        </w:tc>
        <w:tc>
          <w:tcPr>
            <w:tcW w:type="dxa" w:w="3312"/>
            <w:vAlign w:val="center"/>
            <w:shd w:fill="17365D"/>
          </w:tcPr>
          <w:p>
            <w:pPr>
              <w:spacing w:after="20"/>
            </w:pPr>
            <w:r/>
            <w:r>
              <w:rPr>
                <w:rFonts w:ascii="Arial" w:hAnsi="Arial"/>
                <w:b/>
                <w:color w:val="FFFFFF"/>
                <w:sz w:val="17"/>
              </w:rPr>
              <w:t>Mitigation / requirement</w:t>
            </w:r>
          </w:p>
        </w:tc>
      </w:tr>
      <w:tr>
        <w:tc>
          <w:tcPr>
            <w:tcW w:type="dxa" w:w="3312"/>
            <w:vAlign w:val="center"/>
          </w:tcPr>
          <w:p>
            <w:pPr>
              <w:spacing w:after="20"/>
            </w:pPr>
            <w:r/>
            <w:r>
              <w:rPr>
                <w:rFonts w:ascii="Arial" w:hAnsi="Arial"/>
                <w:b w:val="0"/>
                <w:sz w:val="16"/>
              </w:rPr>
              <w:t>Unauthorized account access</w:t>
            </w:r>
          </w:p>
        </w:tc>
        <w:tc>
          <w:tcPr>
            <w:tcW w:type="dxa" w:w="3312"/>
            <w:vAlign w:val="center"/>
          </w:tcPr>
          <w:p>
            <w:pPr>
              <w:spacing w:after="20"/>
            </w:pPr>
            <w:r/>
            <w:r>
              <w:rPr>
                <w:rFonts w:ascii="Arial" w:hAnsi="Arial"/>
                <w:b w:val="0"/>
                <w:sz w:val="16"/>
              </w:rPr>
              <w:t>Exposure of metadata or ability to share/download</w:t>
            </w:r>
          </w:p>
        </w:tc>
        <w:tc>
          <w:tcPr>
            <w:tcW w:type="dxa" w:w="3312"/>
            <w:vAlign w:val="center"/>
          </w:tcPr>
          <w:p>
            <w:pPr>
              <w:spacing w:after="20"/>
            </w:pPr>
            <w:r/>
            <w:r>
              <w:rPr>
                <w:rFonts w:ascii="Arial" w:hAnsi="Arial"/>
                <w:b w:val="0"/>
                <w:sz w:val="16"/>
              </w:rPr>
              <w:t>Strong password hashing, rate limiting, secure sessions, optional MFA.</w:t>
            </w:r>
          </w:p>
        </w:tc>
      </w:tr>
      <w:tr>
        <w:tc>
          <w:tcPr>
            <w:tcW w:type="dxa" w:w="3312"/>
            <w:vAlign w:val="center"/>
          </w:tcPr>
          <w:p>
            <w:pPr>
              <w:spacing w:after="20"/>
            </w:pPr>
            <w:r/>
            <w:r>
              <w:rPr>
                <w:rFonts w:ascii="Arial" w:hAnsi="Arial"/>
                <w:b w:val="0"/>
                <w:sz w:val="16"/>
              </w:rPr>
              <w:t>Key substitution / MITM</w:t>
            </w:r>
          </w:p>
        </w:tc>
        <w:tc>
          <w:tcPr>
            <w:tcW w:type="dxa" w:w="3312"/>
            <w:vAlign w:val="center"/>
          </w:tcPr>
          <w:p>
            <w:pPr>
              <w:spacing w:after="20"/>
            </w:pPr>
            <w:r/>
            <w:r>
              <w:rPr>
                <w:rFonts w:ascii="Arial" w:hAnsi="Arial"/>
                <w:b w:val="0"/>
                <w:sz w:val="16"/>
              </w:rPr>
              <w:t>Sender encrypts to attacker-controlled public key</w:t>
            </w:r>
          </w:p>
        </w:tc>
        <w:tc>
          <w:tcPr>
            <w:tcW w:type="dxa" w:w="3312"/>
            <w:vAlign w:val="center"/>
          </w:tcPr>
          <w:p>
            <w:pPr>
              <w:spacing w:after="20"/>
            </w:pPr>
            <w:r/>
            <w:r>
              <w:rPr>
                <w:rFonts w:ascii="Arial" w:hAnsi="Arial"/>
                <w:b w:val="0"/>
                <w:sz w:val="16"/>
              </w:rPr>
              <w:t>Authenticated key-to-user binding, key fingerprints, key change warnings, signed key records where feasible.</w:t>
            </w:r>
          </w:p>
        </w:tc>
      </w:tr>
      <w:tr>
        <w:tc>
          <w:tcPr>
            <w:tcW w:type="dxa" w:w="3312"/>
            <w:vAlign w:val="center"/>
          </w:tcPr>
          <w:p>
            <w:pPr>
              <w:spacing w:after="20"/>
            </w:pPr>
            <w:r/>
            <w:r>
              <w:rPr>
                <w:rFonts w:ascii="Arial" w:hAnsi="Arial"/>
                <w:b w:val="0"/>
                <w:sz w:val="16"/>
              </w:rPr>
              <w:t>Ciphertext or manifest tampering</w:t>
            </w:r>
          </w:p>
        </w:tc>
        <w:tc>
          <w:tcPr>
            <w:tcW w:type="dxa" w:w="3312"/>
            <w:vAlign w:val="center"/>
          </w:tcPr>
          <w:p>
            <w:pPr>
              <w:spacing w:after="20"/>
            </w:pPr>
            <w:r/>
            <w:r>
              <w:rPr>
                <w:rFonts w:ascii="Arial" w:hAnsi="Arial"/>
                <w:b w:val="0"/>
                <w:sz w:val="16"/>
              </w:rPr>
              <w:t>Corruption or malicious package modification</w:t>
            </w:r>
          </w:p>
        </w:tc>
        <w:tc>
          <w:tcPr>
            <w:tcW w:type="dxa" w:w="3312"/>
            <w:vAlign w:val="center"/>
          </w:tcPr>
          <w:p>
            <w:pPr>
              <w:spacing w:after="20"/>
            </w:pPr>
            <w:r/>
            <w:r>
              <w:rPr>
                <w:rFonts w:ascii="Arial" w:hAnsi="Arial"/>
                <w:b w:val="0"/>
                <w:sz w:val="16"/>
              </w:rPr>
              <w:t>AEAD authentication, signed canonical manifest, strict validation.</w:t>
            </w:r>
          </w:p>
        </w:tc>
      </w:tr>
      <w:tr>
        <w:tc>
          <w:tcPr>
            <w:tcW w:type="dxa" w:w="3312"/>
            <w:vAlign w:val="center"/>
          </w:tcPr>
          <w:p>
            <w:pPr>
              <w:spacing w:after="20"/>
            </w:pPr>
            <w:r/>
            <w:r>
              <w:rPr>
                <w:rFonts w:ascii="Arial" w:hAnsi="Arial"/>
                <w:b w:val="0"/>
                <w:sz w:val="16"/>
              </w:rPr>
              <w:t>Replay or package confusion</w:t>
            </w:r>
          </w:p>
        </w:tc>
        <w:tc>
          <w:tcPr>
            <w:tcW w:type="dxa" w:w="3312"/>
            <w:vAlign w:val="center"/>
          </w:tcPr>
          <w:p>
            <w:pPr>
              <w:spacing w:after="20"/>
            </w:pPr>
            <w:r/>
            <w:r>
              <w:rPr>
                <w:rFonts w:ascii="Arial" w:hAnsi="Arial"/>
                <w:b w:val="0"/>
                <w:sz w:val="16"/>
              </w:rPr>
              <w:t>Old or mismatched package accepted in wrong context</w:t>
            </w:r>
          </w:p>
        </w:tc>
        <w:tc>
          <w:tcPr>
            <w:tcW w:type="dxa" w:w="3312"/>
            <w:vAlign w:val="center"/>
          </w:tcPr>
          <w:p>
            <w:pPr>
              <w:spacing w:after="20"/>
            </w:pPr>
            <w:r/>
            <w:r>
              <w:rPr>
                <w:rFonts w:ascii="Arial" w:hAnsi="Arial"/>
                <w:b w:val="0"/>
                <w:sz w:val="16"/>
              </w:rPr>
              <w:t>Unique package IDs, versioning, recipient/sender binding, context-bound KDF info.</w:t>
            </w:r>
          </w:p>
        </w:tc>
      </w:tr>
      <w:tr>
        <w:tc>
          <w:tcPr>
            <w:tcW w:type="dxa" w:w="3312"/>
            <w:vAlign w:val="center"/>
          </w:tcPr>
          <w:p>
            <w:pPr>
              <w:spacing w:after="20"/>
            </w:pPr>
            <w:r/>
            <w:r>
              <w:rPr>
                <w:rFonts w:ascii="Arial" w:hAnsi="Arial"/>
                <w:b w:val="0"/>
                <w:sz w:val="16"/>
              </w:rPr>
              <w:t>Nonce reuse</w:t>
            </w:r>
          </w:p>
        </w:tc>
        <w:tc>
          <w:tcPr>
            <w:tcW w:type="dxa" w:w="3312"/>
            <w:vAlign w:val="center"/>
          </w:tcPr>
          <w:p>
            <w:pPr>
              <w:spacing w:after="20"/>
            </w:pPr>
            <w:r/>
            <w:r>
              <w:rPr>
                <w:rFonts w:ascii="Arial" w:hAnsi="Arial"/>
                <w:b w:val="0"/>
                <w:sz w:val="16"/>
              </w:rPr>
              <w:t>Loss of AEAD security</w:t>
            </w:r>
          </w:p>
        </w:tc>
        <w:tc>
          <w:tcPr>
            <w:tcW w:type="dxa" w:w="3312"/>
            <w:vAlign w:val="center"/>
          </w:tcPr>
          <w:p>
            <w:pPr>
              <w:spacing w:after="20"/>
            </w:pPr>
            <w:r/>
            <w:r>
              <w:rPr>
                <w:rFonts w:ascii="Arial" w:hAnsi="Arial"/>
                <w:b w:val="0"/>
                <w:sz w:val="16"/>
              </w:rPr>
              <w:t>Fresh nonce generation and uniqueness controls; per-file keys reduce reuse risk.</w:t>
            </w:r>
          </w:p>
        </w:tc>
      </w:tr>
      <w:tr>
        <w:tc>
          <w:tcPr>
            <w:tcW w:type="dxa" w:w="3312"/>
            <w:vAlign w:val="center"/>
          </w:tcPr>
          <w:p>
            <w:pPr>
              <w:spacing w:after="20"/>
            </w:pPr>
            <w:r/>
            <w:r>
              <w:rPr>
                <w:rFonts w:ascii="Arial" w:hAnsi="Arial"/>
                <w:b w:val="0"/>
                <w:sz w:val="16"/>
              </w:rPr>
              <w:t>Private-key theft</w:t>
            </w:r>
          </w:p>
        </w:tc>
        <w:tc>
          <w:tcPr>
            <w:tcW w:type="dxa" w:w="3312"/>
            <w:vAlign w:val="center"/>
          </w:tcPr>
          <w:p>
            <w:pPr>
              <w:spacing w:after="20"/>
            </w:pPr>
            <w:r/>
            <w:r>
              <w:rPr>
                <w:rFonts w:ascii="Arial" w:hAnsi="Arial"/>
                <w:b w:val="0"/>
                <w:sz w:val="16"/>
              </w:rPr>
              <w:t>Unauthorized decryption or impersonation</w:t>
            </w:r>
          </w:p>
        </w:tc>
        <w:tc>
          <w:tcPr>
            <w:tcW w:type="dxa" w:w="3312"/>
            <w:vAlign w:val="center"/>
          </w:tcPr>
          <w:p>
            <w:pPr>
              <w:spacing w:after="20"/>
            </w:pPr>
            <w:r/>
            <w:r>
              <w:rPr>
                <w:rFonts w:ascii="Arial" w:hAnsi="Arial"/>
                <w:b w:val="0"/>
                <w:sz w:val="16"/>
              </w:rPr>
              <w:t>Least privilege, encryption at rest, limited retention, user-held key option.</w:t>
            </w:r>
          </w:p>
        </w:tc>
      </w:tr>
      <w:tr>
        <w:tc>
          <w:tcPr>
            <w:tcW w:type="dxa" w:w="3312"/>
            <w:vAlign w:val="center"/>
          </w:tcPr>
          <w:p>
            <w:pPr>
              <w:spacing w:after="20"/>
            </w:pPr>
            <w:r/>
            <w:r>
              <w:rPr>
                <w:rFonts w:ascii="Arial" w:hAnsi="Arial"/>
                <w:b w:val="0"/>
                <w:sz w:val="16"/>
              </w:rPr>
              <w:t>Malicious upload</w:t>
            </w:r>
          </w:p>
        </w:tc>
        <w:tc>
          <w:tcPr>
            <w:tcW w:type="dxa" w:w="3312"/>
            <w:vAlign w:val="center"/>
          </w:tcPr>
          <w:p>
            <w:pPr>
              <w:spacing w:after="20"/>
            </w:pPr>
            <w:r/>
            <w:r>
              <w:rPr>
                <w:rFonts w:ascii="Arial" w:hAnsi="Arial"/>
                <w:b w:val="0"/>
                <w:sz w:val="16"/>
              </w:rPr>
              <w:t>Storage exhaustion or unsafe content handling</w:t>
            </w:r>
          </w:p>
        </w:tc>
        <w:tc>
          <w:tcPr>
            <w:tcW w:type="dxa" w:w="3312"/>
            <w:vAlign w:val="center"/>
          </w:tcPr>
          <w:p>
            <w:pPr>
              <w:spacing w:after="20"/>
            </w:pPr>
            <w:r/>
            <w:r>
              <w:rPr>
                <w:rFonts w:ascii="Arial" w:hAnsi="Arial"/>
                <w:b w:val="0"/>
                <w:sz w:val="16"/>
              </w:rPr>
              <w:t>Size/type limits, generated storage names, quotas, streaming, safe download headers.</w:t>
            </w:r>
          </w:p>
        </w:tc>
      </w:tr>
      <w:tr>
        <w:tc>
          <w:tcPr>
            <w:tcW w:type="dxa" w:w="3312"/>
            <w:vAlign w:val="center"/>
          </w:tcPr>
          <w:p>
            <w:pPr>
              <w:spacing w:after="20"/>
            </w:pPr>
            <w:r/>
            <w:r>
              <w:rPr>
                <w:rFonts w:ascii="Arial" w:hAnsi="Arial"/>
                <w:b w:val="0"/>
                <w:sz w:val="16"/>
              </w:rPr>
              <w:t>Insider access</w:t>
            </w:r>
          </w:p>
        </w:tc>
        <w:tc>
          <w:tcPr>
            <w:tcW w:type="dxa" w:w="3312"/>
            <w:vAlign w:val="center"/>
          </w:tcPr>
          <w:p>
            <w:pPr>
              <w:spacing w:after="20"/>
            </w:pPr>
            <w:r/>
            <w:r>
              <w:rPr>
                <w:rFonts w:ascii="Arial" w:hAnsi="Arial"/>
                <w:b w:val="0"/>
                <w:sz w:val="16"/>
              </w:rPr>
              <w:t>Metadata or ciphertext exposure</w:t>
            </w:r>
          </w:p>
        </w:tc>
        <w:tc>
          <w:tcPr>
            <w:tcW w:type="dxa" w:w="3312"/>
            <w:vAlign w:val="center"/>
          </w:tcPr>
          <w:p>
            <w:pPr>
              <w:spacing w:after="20"/>
            </w:pPr>
            <w:r/>
            <w:r>
              <w:rPr>
                <w:rFonts w:ascii="Arial" w:hAnsi="Arial"/>
                <w:b w:val="0"/>
                <w:sz w:val="16"/>
              </w:rPr>
              <w:t>Role separation, audit, least privilege; encryption does not prevent metadata access.</w:t>
            </w:r>
          </w:p>
        </w:tc>
      </w:tr>
      <w:tr>
        <w:tc>
          <w:tcPr>
            <w:tcW w:type="dxa" w:w="3312"/>
            <w:vAlign w:val="center"/>
          </w:tcPr>
          <w:p>
            <w:pPr>
              <w:spacing w:after="20"/>
            </w:pPr>
            <w:r/>
            <w:r>
              <w:rPr>
                <w:rFonts w:ascii="Arial" w:hAnsi="Arial"/>
                <w:b w:val="0"/>
                <w:sz w:val="16"/>
              </w:rPr>
              <w:t>Harvest-now-decrypt-later</w:t>
            </w:r>
          </w:p>
        </w:tc>
        <w:tc>
          <w:tcPr>
            <w:tcW w:type="dxa" w:w="3312"/>
            <w:vAlign w:val="center"/>
          </w:tcPr>
          <w:p>
            <w:pPr>
              <w:spacing w:after="20"/>
            </w:pPr>
            <w:r/>
            <w:r>
              <w:rPr>
                <w:rFonts w:ascii="Arial" w:hAnsi="Arial"/>
                <w:b w:val="0"/>
                <w:sz w:val="16"/>
              </w:rPr>
              <w:t>Future decryption of stored traffic/data protected by vulnerable public-key algorithms</w:t>
            </w:r>
          </w:p>
        </w:tc>
        <w:tc>
          <w:tcPr>
            <w:tcW w:type="dxa" w:w="3312"/>
            <w:vAlign w:val="center"/>
          </w:tcPr>
          <w:p>
            <w:pPr>
              <w:spacing w:after="20"/>
            </w:pPr>
            <w:r/>
            <w:r>
              <w:rPr>
                <w:rFonts w:ascii="Arial" w:hAnsi="Arial"/>
                <w:b w:val="0"/>
                <w:sz w:val="16"/>
              </w:rPr>
              <w:t>Use standardized PQC mode for relevant key establishment and document limitations.</w:t>
            </w:r>
          </w:p>
        </w:tc>
      </w:tr>
      <w:tr>
        <w:tc>
          <w:tcPr>
            <w:tcW w:type="dxa" w:w="3312"/>
            <w:vAlign w:val="center"/>
          </w:tcPr>
          <w:p>
            <w:pPr>
              <w:spacing w:after="20"/>
            </w:pPr>
            <w:r/>
            <w:r>
              <w:rPr>
                <w:rFonts w:ascii="Arial" w:hAnsi="Arial"/>
                <w:b w:val="0"/>
                <w:sz w:val="16"/>
              </w:rPr>
              <w:t>Endpoint compromise</w:t>
            </w:r>
          </w:p>
        </w:tc>
        <w:tc>
          <w:tcPr>
            <w:tcW w:type="dxa" w:w="3312"/>
            <w:vAlign w:val="center"/>
          </w:tcPr>
          <w:p>
            <w:pPr>
              <w:spacing w:after="20"/>
            </w:pPr>
            <w:r/>
            <w:r>
              <w:rPr>
                <w:rFonts w:ascii="Arial" w:hAnsi="Arial"/>
                <w:b w:val="0"/>
                <w:sz w:val="16"/>
              </w:rPr>
              <w:t>Attacker accesses plaintext or private keys on compromised device</w:t>
            </w:r>
          </w:p>
        </w:tc>
        <w:tc>
          <w:tcPr>
            <w:tcW w:type="dxa" w:w="3312"/>
            <w:vAlign w:val="center"/>
          </w:tcPr>
          <w:p>
            <w:pPr>
              <w:spacing w:after="20"/>
            </w:pPr>
            <w:r/>
            <w:r>
              <w:rPr>
                <w:rFonts w:ascii="Arial" w:hAnsi="Arial"/>
                <w:b w:val="0"/>
                <w:sz w:val="16"/>
              </w:rPr>
              <w:t>Out of scope for prevention; minimize exposure and disclose limitation.</w:t>
            </w:r>
          </w:p>
        </w:tc>
      </w:tr>
      <w:tr>
        <w:tc>
          <w:tcPr>
            <w:tcW w:type="dxa" w:w="3312"/>
            <w:vAlign w:val="center"/>
          </w:tcPr>
          <w:p>
            <w:pPr>
              <w:spacing w:after="20"/>
            </w:pPr>
            <w:r/>
            <w:r>
              <w:rPr>
                <w:rFonts w:ascii="Arial" w:hAnsi="Arial"/>
                <w:b w:val="0"/>
                <w:sz w:val="16"/>
              </w:rPr>
              <w:t>Denial of service</w:t>
            </w:r>
          </w:p>
        </w:tc>
        <w:tc>
          <w:tcPr>
            <w:tcW w:type="dxa" w:w="3312"/>
            <w:vAlign w:val="center"/>
          </w:tcPr>
          <w:p>
            <w:pPr>
              <w:spacing w:after="20"/>
            </w:pPr>
            <w:r/>
            <w:r>
              <w:rPr>
                <w:rFonts w:ascii="Arial" w:hAnsi="Arial"/>
                <w:b w:val="0"/>
                <w:sz w:val="16"/>
              </w:rPr>
              <w:t>Service degradation from expensive crypto or uploads</w:t>
            </w:r>
          </w:p>
        </w:tc>
        <w:tc>
          <w:tcPr>
            <w:tcW w:type="dxa" w:w="3312"/>
            <w:vAlign w:val="center"/>
          </w:tcPr>
          <w:p>
            <w:pPr>
              <w:spacing w:after="20"/>
            </w:pPr>
            <w:r/>
            <w:r>
              <w:rPr>
                <w:rFonts w:ascii="Arial" w:hAnsi="Arial"/>
                <w:b w:val="0"/>
                <w:sz w:val="16"/>
              </w:rPr>
              <w:t>Rate limits, quotas, concurrency caps, timeouts, resource monitoring.</w:t>
            </w:r>
          </w:p>
        </w:tc>
      </w:tr>
    </w:tbl>
    <w:p/>
    <w:p>
      <w:pPr>
        <w:pStyle w:val="Heading2"/>
        <w:keepNext/>
      </w:pPr>
      <w:r>
        <w:t>8.7 Security Limitations</w:t>
      </w:r>
    </w:p>
    <w:p>
      <w:r>
        <w:t>The application cannot guarantee security solely because it uses PQC algorithms. Correct key binding, key custody, implementation quality, authentication, endpoint security, randomness, package encoding, and deployment practices are also critical. The prototype shall not claim immunity to all quantum attacks or certify compliance with any regulatory framework.</w:t>
      </w:r>
    </w:p>
    <w:p>
      <w:pPr>
        <w:pStyle w:val="Heading1"/>
        <w:keepNext/>
      </w:pPr>
      <w:r>
        <w:t>9. Use Cases</w:t>
      </w:r>
    </w:p>
    <w:p>
      <w:pPr>
        <w:pStyle w:val="Heading2"/>
        <w:keepNext/>
      </w:pPr>
      <w:r>
        <w:t>UC-01 — Register and authenticate</w:t>
      </w:r>
    </w:p>
    <w:p>
      <w:r>
        <w:t>Primary actor: Guest / Registered user</w:t>
      </w:r>
    </w:p>
    <w:p>
      <w:r>
        <w:t>Goal: Create account or access an existing account.</w:t>
      </w:r>
    </w:p>
    <w:p>
      <w:r>
        <w:t>Main success flow / outcome: User enters valid details; system validates and creates session. Invalid credentials produce a safe error.</w:t>
      </w:r>
    </w:p>
    <w:p>
      <w:pPr>
        <w:pStyle w:val="Heading2"/>
        <w:keepNext/>
      </w:pPr>
      <w:r>
        <w:t>UC-02 — Register cryptographic key</w:t>
      </w:r>
    </w:p>
    <w:p>
      <w:r>
        <w:t>Primary actor: Registered user</w:t>
      </w:r>
    </w:p>
    <w:p>
      <w:r>
        <w:t>Goal: Make a public key available for secure sharing.</w:t>
      </w:r>
    </w:p>
    <w:p>
      <w:r>
        <w:t>Main success flow / outcome: User generates or imports supported key material; system validates public key and stores key metadata. Private-key handling follows the selected custody model.</w:t>
      </w:r>
    </w:p>
    <w:p>
      <w:pPr>
        <w:pStyle w:val="Heading2"/>
        <w:keepNext/>
      </w:pPr>
      <w:r>
        <w:t>UC-03 — Share encrypted file</w:t>
      </w:r>
    </w:p>
    <w:p>
      <w:r>
        <w:t>Primary actor: Registered user</w:t>
      </w:r>
    </w:p>
    <w:p>
      <w:r>
        <w:t>Goal: Send a protected file to one or more recipients.</w:t>
      </w:r>
    </w:p>
    <w:p>
      <w:r>
        <w:t>Main success flow / outcome: Sender selects file, recipients, and mode; system validates, encrypts, signs, stores, and creates grants. Failure leaves no completed share.</w:t>
      </w:r>
    </w:p>
    <w:p>
      <w:pPr>
        <w:pStyle w:val="Heading2"/>
        <w:keepNext/>
      </w:pPr>
      <w:r>
        <w:t>UC-04 — Receive and decrypt file</w:t>
      </w:r>
    </w:p>
    <w:p>
      <w:r>
        <w:t>Primary actor: Registered user</w:t>
      </w:r>
    </w:p>
    <w:p>
      <w:r>
        <w:t>Goal: Retrieve a file shared with the user.</w:t>
      </w:r>
    </w:p>
    <w:p>
      <w:r>
        <w:t>Main success flow / outcome: Recipient opens received item; system checks grant, verifies signature, performs decapsulation/key derivation, authenticates/decrypts, and returns file.</w:t>
      </w:r>
    </w:p>
    <w:p>
      <w:pPr>
        <w:pStyle w:val="Heading2"/>
        <w:keepNext/>
      </w:pPr>
      <w:r>
        <w:t>UC-05 — Detect tampering</w:t>
      </w:r>
    </w:p>
    <w:p>
      <w:r>
        <w:t>Primary actor: Recipient / tester</w:t>
      </w:r>
    </w:p>
    <w:p>
      <w:r>
        <w:t>Goal: Demonstrate package integrity protection.</w:t>
      </w:r>
    </w:p>
    <w:p>
      <w:r>
        <w:t>Main success flow / outcome: Tester modifies a package field or ciphertext; verification/decryption fails and no plaintext is released.</w:t>
      </w:r>
    </w:p>
    <w:p>
      <w:pPr>
        <w:pStyle w:val="Heading2"/>
        <w:keepNext/>
      </w:pPr>
      <w:r>
        <w:t>UC-06 — Revoke a share</w:t>
      </w:r>
    </w:p>
    <w:p>
      <w:r>
        <w:t>Primary actor: Sender</w:t>
      </w:r>
    </w:p>
    <w:p>
      <w:r>
        <w:t>Goal: Prevent future server-mediated access.</w:t>
      </w:r>
    </w:p>
    <w:p>
      <w:r>
        <w:t>Main success flow / outcome: Sender revokes a grant; future retrieval is denied. UI explains that downloaded copies cannot be recalled.</w:t>
      </w:r>
    </w:p>
    <w:p>
      <w:r>
        <w:t>Goal: Compare algorithm profiles.</w:t>
      </w:r>
    </w:p>
    <w:p>
      <w:r>
        <w:t>Main success flow / outcome: User selects profile, operations, file sizes, and repetitions; system records and displays measurements with environment metadata.</w:t>
      </w:r>
    </w:p>
    <w:p>
      <w:pPr>
        <w:pStyle w:val="Heading2"/>
        <w:keepNext/>
      </w:pPr>
      <w:r>
        <w:t>UC-08 — Manage keys</w:t>
      </w:r>
    </w:p>
    <w:p>
      <w:r>
        <w:t>Primary actor: Registered user</w:t>
      </w:r>
    </w:p>
    <w:p>
      <w:r>
        <w:t>Goal: Review, rotate, or revoke keys.</w:t>
      </w:r>
    </w:p>
    <w:p>
      <w:r>
        <w:t>Main success flow / outcome: User views key status and performs allowed lifecycle action; old package references remain intact.</w:t>
      </w:r>
    </w:p>
    <w:p>
      <w:pPr>
        <w:pStyle w:val="Heading2"/>
        <w:keepNext/>
      </w:pPr>
      <w:r>
        <w:t>UC-09 — Administer account status</w:t>
      </w:r>
    </w:p>
    <w:p>
      <w:r>
        <w:t>Primary actor: Administrator</w:t>
      </w:r>
    </w:p>
    <w:p>
      <w:r>
        <w:t>Goal: Disable a user or review operational events.</w:t>
      </w:r>
    </w:p>
    <w:p>
      <w:r>
        <w:t>Main success flow / outcome: Admin performs permitted action; event is audited; admin does not receive plaintext access by virtue of role.</w:t>
      </w:r>
    </w:p>
    <w:p>
      <w:pPr>
        <w:pStyle w:val="Heading1"/>
        <w:keepNext/>
      </w:pPr>
      <w:r>
        <w:t>10. Business Rules and Constraints</w:t>
      </w:r>
    </w:p>
    <w:p>
      <w:pPr>
        <w:pStyle w:val="ListBullet"/>
        <w:spacing w:after="40"/>
      </w:pPr>
      <w:r>
        <w:t>BR-001: A file package shall not be marked available until encryption, signature creation, and persistence have completed successfully.</w:t>
      </w:r>
    </w:p>
    <w:p>
      <w:pPr>
        <w:pStyle w:val="ListBullet"/>
        <w:spacing w:after="40"/>
      </w:pPr>
      <w:r>
        <w:t>BR-002: A recipient must have an eligible public key for the selected cryptographic profile.</w:t>
      </w:r>
    </w:p>
    <w:p>
      <w:pPr>
        <w:pStyle w:val="ListBullet"/>
        <w:spacing w:after="40"/>
      </w:pPr>
      <w:r>
        <w:t>BR-003: Every package must identify the algorithm suite and package version used.</w:t>
      </w:r>
    </w:p>
    <w:p>
      <w:pPr>
        <w:pStyle w:val="ListBullet"/>
        <w:spacing w:after="40"/>
      </w:pPr>
      <w:r>
        <w:t>BR-004: A recipient grant is bound to a specific recipient key version.</w:t>
      </w:r>
    </w:p>
    <w:p>
      <w:pPr>
        <w:pStyle w:val="ListBullet"/>
        <w:spacing w:after="40"/>
      </w:pPr>
      <w:r>
        <w:t>BR-005: Signature verification and authenticated decryption must succeed before plaintext is released.</w:t>
      </w:r>
    </w:p>
    <w:p>
      <w:pPr>
        <w:pStyle w:val="ListBullet"/>
        <w:spacing w:after="40"/>
      </w:pPr>
      <w:r>
        <w:t>BR-006: Revocation prevents future server-mediated access but cannot erase copies already downloaded.</w:t>
      </w:r>
    </w:p>
    <w:p>
      <w:pPr>
        <w:pStyle w:val="ListBullet"/>
        <w:spacing w:after="40"/>
      </w:pPr>
      <w:r>
        <w:t>BR-008: Comparison results must state that they are environment-dependent and must include relevant configuration.</w:t>
      </w:r>
    </w:p>
    <w:p>
      <w:pPr>
        <w:pStyle w:val="ListBullet"/>
        <w:spacing w:after="40"/>
      </w:pPr>
      <w:r>
        <w:t>BR-009: The service shall reject unknown or deprecated algorithm identifiers unless an explicitly configured compatibility policy allows them.</w:t>
      </w:r>
    </w:p>
    <w:p>
      <w:pPr>
        <w:pStyle w:val="ListBullet"/>
        <w:spacing w:after="40"/>
      </w:pPr>
      <w:r>
        <w:t>BR-010: Administrators may manage service state but shall not be given implicit access to user private keys or plaintext.</w:t>
      </w:r>
    </w:p>
    <w:p>
      <w:pPr>
        <w:pStyle w:val="Heading1"/>
        <w:keepNext/>
      </w:pPr>
      <w:r>
        <w:t>11. Acceptance Criteria and Verification</w:t>
      </w:r>
    </w:p>
    <w:p>
      <w:r>
        <w:t>Each mandatory requirement shall be verified through inspection, analysis, demonstration, or test. The following acceptance criteria define the minimum MVP completion gate.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rial" w:hAnsi="Arial"/>
                <w:b/>
                <w:color w:val="FFFFFF"/>
                <w:sz w:val="17"/>
              </w:rPr>
              <w:t>Test ID</w:t>
            </w:r>
          </w:p>
        </w:tc>
        <w:tc>
          <w:tcPr>
            <w:tcW w:type="dxa" w:w="2484"/>
            <w:vAlign w:val="center"/>
            <w:shd w:fill="17365D"/>
          </w:tcPr>
          <w:p>
            <w:pPr>
              <w:spacing w:after="20"/>
            </w:pPr>
            <w:r/>
            <w:r>
              <w:rPr>
                <w:rFonts w:ascii="Arial" w:hAnsi="Arial"/>
                <w:b/>
                <w:color w:val="FFFFFF"/>
                <w:sz w:val="17"/>
              </w:rPr>
              <w:t>Acceptance criterion</w:t>
            </w:r>
          </w:p>
        </w:tc>
        <w:tc>
          <w:tcPr>
            <w:tcW w:type="dxa" w:w="2484"/>
            <w:vAlign w:val="center"/>
            <w:shd w:fill="17365D"/>
          </w:tcPr>
          <w:p>
            <w:pPr>
              <w:spacing w:after="20"/>
            </w:pPr>
            <w:r/>
            <w:r>
              <w:rPr>
                <w:rFonts w:ascii="Arial" w:hAnsi="Arial"/>
                <w:b/>
                <w:color w:val="FFFFFF"/>
                <w:sz w:val="17"/>
              </w:rPr>
              <w:t>Verification method</w:t>
            </w:r>
          </w:p>
        </w:tc>
        <w:tc>
          <w:tcPr>
            <w:tcW w:type="dxa" w:w="2484"/>
            <w:vAlign w:val="center"/>
            <w:shd w:fill="17365D"/>
          </w:tcPr>
          <w:p>
            <w:pPr>
              <w:spacing w:after="20"/>
            </w:pPr>
            <w:r/>
            <w:r>
              <w:rPr>
                <w:rFonts w:ascii="Arial" w:hAnsi="Arial"/>
                <w:b/>
                <w:color w:val="FFFFFF"/>
                <w:sz w:val="17"/>
              </w:rPr>
              <w:t>Pass condition</w:t>
            </w:r>
          </w:p>
        </w:tc>
      </w:tr>
      <w:tr>
        <w:tc>
          <w:tcPr>
            <w:tcW w:type="dxa" w:w="2484"/>
            <w:vAlign w:val="center"/>
          </w:tcPr>
          <w:p>
            <w:pPr>
              <w:spacing w:after="20"/>
            </w:pPr>
            <w:r/>
            <w:r>
              <w:rPr>
                <w:rFonts w:ascii="Arial" w:hAnsi="Arial"/>
                <w:b w:val="0"/>
                <w:sz w:val="16"/>
              </w:rPr>
              <w:t>AT-001</w:t>
            </w:r>
          </w:p>
        </w:tc>
        <w:tc>
          <w:tcPr>
            <w:tcW w:type="dxa" w:w="2484"/>
            <w:vAlign w:val="center"/>
          </w:tcPr>
          <w:p>
            <w:pPr>
              <w:spacing w:after="20"/>
            </w:pPr>
            <w:r/>
            <w:r>
              <w:rPr>
                <w:rFonts w:ascii="Arial" w:hAnsi="Arial"/>
                <w:b w:val="0"/>
                <w:sz w:val="16"/>
              </w:rPr>
              <w:t>User can register, log in, and log out.</w:t>
            </w:r>
          </w:p>
        </w:tc>
        <w:tc>
          <w:tcPr>
            <w:tcW w:type="dxa" w:w="2484"/>
            <w:vAlign w:val="center"/>
          </w:tcPr>
          <w:p>
            <w:pPr>
              <w:spacing w:after="20"/>
            </w:pPr>
            <w:r/>
            <w:r>
              <w:rPr>
                <w:rFonts w:ascii="Arial" w:hAnsi="Arial"/>
                <w:b w:val="0"/>
                <w:sz w:val="16"/>
              </w:rPr>
              <w:t>Functional test</w:t>
            </w:r>
          </w:p>
        </w:tc>
        <w:tc>
          <w:tcPr>
            <w:tcW w:type="dxa" w:w="2484"/>
            <w:vAlign w:val="center"/>
          </w:tcPr>
          <w:p>
            <w:pPr>
              <w:spacing w:after="20"/>
            </w:pPr>
            <w:r/>
            <w:r>
              <w:rPr>
                <w:rFonts w:ascii="Arial" w:hAnsi="Arial"/>
                <w:b w:val="0"/>
                <w:sz w:val="16"/>
              </w:rPr>
              <w:t>Valid workflow succeeds; invalid credentials are rejected.</w:t>
            </w:r>
          </w:p>
        </w:tc>
      </w:tr>
      <w:tr>
        <w:tc>
          <w:tcPr>
            <w:tcW w:type="dxa" w:w="2484"/>
            <w:vAlign w:val="center"/>
          </w:tcPr>
          <w:p>
            <w:pPr>
              <w:spacing w:after="20"/>
            </w:pPr>
            <w:r/>
            <w:r>
              <w:rPr>
                <w:rFonts w:ascii="Arial" w:hAnsi="Arial"/>
                <w:b w:val="0"/>
                <w:sz w:val="16"/>
              </w:rPr>
              <w:t>AT-002</w:t>
            </w:r>
          </w:p>
        </w:tc>
        <w:tc>
          <w:tcPr>
            <w:tcW w:type="dxa" w:w="2484"/>
            <w:vAlign w:val="center"/>
          </w:tcPr>
          <w:p>
            <w:pPr>
              <w:spacing w:after="20"/>
            </w:pPr>
            <w:r/>
            <w:r>
              <w:rPr>
                <w:rFonts w:ascii="Arial" w:hAnsi="Arial"/>
                <w:b w:val="0"/>
                <w:sz w:val="16"/>
              </w:rPr>
              <w:t>Public keys can be registered and listed without exposing private keys.</w:t>
            </w:r>
          </w:p>
        </w:tc>
        <w:tc>
          <w:tcPr>
            <w:tcW w:type="dxa" w:w="2484"/>
            <w:vAlign w:val="center"/>
          </w:tcPr>
          <w:p>
            <w:pPr>
              <w:spacing w:after="20"/>
            </w:pPr>
            <w:r/>
            <w:r>
              <w:rPr>
                <w:rFonts w:ascii="Arial" w:hAnsi="Arial"/>
                <w:b w:val="0"/>
                <w:sz w:val="16"/>
              </w:rPr>
              <w:t>API/security test</w:t>
            </w:r>
          </w:p>
        </w:tc>
        <w:tc>
          <w:tcPr>
            <w:tcW w:type="dxa" w:w="2484"/>
            <w:vAlign w:val="center"/>
          </w:tcPr>
          <w:p>
            <w:pPr>
              <w:spacing w:after="20"/>
            </w:pPr>
            <w:r/>
            <w:r>
              <w:rPr>
                <w:rFonts w:ascii="Arial" w:hAnsi="Arial"/>
                <w:b w:val="0"/>
                <w:sz w:val="16"/>
              </w:rPr>
              <w:t>Only public-key metadata is returned.</w:t>
            </w:r>
          </w:p>
        </w:tc>
      </w:tr>
      <w:tr>
        <w:tc>
          <w:tcPr>
            <w:tcW w:type="dxa" w:w="2484"/>
            <w:vAlign w:val="center"/>
          </w:tcPr>
          <w:p>
            <w:pPr>
              <w:spacing w:after="20"/>
            </w:pPr>
            <w:r/>
            <w:r>
              <w:rPr>
                <w:rFonts w:ascii="Arial" w:hAnsi="Arial"/>
                <w:b w:val="0"/>
                <w:sz w:val="16"/>
              </w:rPr>
              <w:t>AT-003</w:t>
            </w:r>
          </w:p>
        </w:tc>
        <w:tc>
          <w:tcPr>
            <w:tcW w:type="dxa" w:w="2484"/>
            <w:vAlign w:val="center"/>
          </w:tcPr>
          <w:p>
            <w:pPr>
              <w:spacing w:after="20"/>
            </w:pPr>
            <w:r/>
            <w:r>
              <w:rPr>
                <w:rFonts w:ascii="Arial" w:hAnsi="Arial"/>
                <w:b w:val="0"/>
                <w:sz w:val="16"/>
              </w:rPr>
              <w:t>A sender can share a test file with an eligible recipient in PQC mode.</w:t>
            </w:r>
          </w:p>
        </w:tc>
        <w:tc>
          <w:tcPr>
            <w:tcW w:type="dxa" w:w="2484"/>
            <w:vAlign w:val="center"/>
          </w:tcPr>
          <w:p>
            <w:pPr>
              <w:spacing w:after="20"/>
            </w:pPr>
            <w:r/>
            <w:r>
              <w:rPr>
                <w:rFonts w:ascii="Arial" w:hAnsi="Arial"/>
                <w:b w:val="0"/>
                <w:sz w:val="16"/>
              </w:rPr>
              <w:t>End-to-end test</w:t>
            </w:r>
          </w:p>
        </w:tc>
        <w:tc>
          <w:tcPr>
            <w:tcW w:type="dxa" w:w="2484"/>
            <w:vAlign w:val="center"/>
          </w:tcPr>
          <w:p>
            <w:pPr>
              <w:spacing w:after="20"/>
            </w:pPr>
            <w:r/>
            <w:r>
              <w:rPr>
                <w:rFonts w:ascii="Arial" w:hAnsi="Arial"/>
                <w:b w:val="0"/>
                <w:sz w:val="16"/>
              </w:rPr>
              <w:t>Recipient receives a valid package and can recover the original file.</w:t>
            </w:r>
          </w:p>
        </w:tc>
      </w:tr>
      <w:tr>
        <w:tc>
          <w:tcPr>
            <w:tcW w:type="dxa" w:w="2484"/>
            <w:vAlign w:val="center"/>
          </w:tcPr>
          <w:p>
            <w:pPr>
              <w:spacing w:after="20"/>
            </w:pPr>
            <w:r/>
            <w:r>
              <w:rPr>
                <w:rFonts w:ascii="Arial" w:hAnsi="Arial"/>
                <w:b w:val="0"/>
                <w:sz w:val="16"/>
              </w:rPr>
              <w:t>AT-004</w:t>
            </w:r>
          </w:p>
        </w:tc>
        <w:tc>
          <w:tcPr>
            <w:tcW w:type="dxa" w:w="2484"/>
            <w:vAlign w:val="center"/>
          </w:tcPr>
          <w:p>
            <w:pPr>
              <w:spacing w:after="20"/>
            </w:pPr>
            <w:r/>
            <w:r>
              <w:rPr>
                <w:rFonts w:ascii="Arial" w:hAnsi="Arial"/>
                <w:b w:val="0"/>
                <w:sz w:val="16"/>
              </w:rPr>
              <w:t>Classical comparison mode works for the same supported workflow.</w:t>
            </w:r>
          </w:p>
        </w:tc>
        <w:tc>
          <w:tcPr>
            <w:tcW w:type="dxa" w:w="2484"/>
            <w:vAlign w:val="center"/>
          </w:tcPr>
          <w:p>
            <w:pPr>
              <w:spacing w:after="20"/>
            </w:pPr>
            <w:r/>
            <w:r>
              <w:rPr>
                <w:rFonts w:ascii="Arial" w:hAnsi="Arial"/>
                <w:b w:val="0"/>
                <w:sz w:val="16"/>
              </w:rPr>
              <w:t>End-to-end test</w:t>
            </w:r>
          </w:p>
        </w:tc>
        <w:tc>
          <w:tcPr>
            <w:tcW w:type="dxa" w:w="2484"/>
            <w:vAlign w:val="center"/>
          </w:tcPr>
          <w:p>
            <w:pPr>
              <w:spacing w:after="20"/>
            </w:pPr>
            <w:r/>
            <w:r>
              <w:rPr>
                <w:rFonts w:ascii="Arial" w:hAnsi="Arial"/>
                <w:b w:val="0"/>
                <w:sz w:val="16"/>
              </w:rPr>
              <w:t>Classical-mode package can be verified and decrypted by intended recipient.</w:t>
            </w:r>
          </w:p>
        </w:tc>
      </w:tr>
      <w:tr>
        <w:tc>
          <w:tcPr>
            <w:tcW w:type="dxa" w:w="2484"/>
            <w:vAlign w:val="center"/>
          </w:tcPr>
          <w:p>
            <w:pPr>
              <w:spacing w:after="20"/>
            </w:pPr>
            <w:r/>
            <w:r>
              <w:rPr>
                <w:rFonts w:ascii="Arial" w:hAnsi="Arial"/>
                <w:b w:val="0"/>
                <w:sz w:val="16"/>
              </w:rPr>
              <w:t>AT-005</w:t>
            </w:r>
          </w:p>
        </w:tc>
        <w:tc>
          <w:tcPr>
            <w:tcW w:type="dxa" w:w="2484"/>
            <w:vAlign w:val="center"/>
          </w:tcPr>
          <w:p>
            <w:pPr>
              <w:spacing w:after="20"/>
            </w:pPr>
            <w:r/>
            <w:r>
              <w:rPr>
                <w:rFonts w:ascii="Arial" w:hAnsi="Arial"/>
                <w:b w:val="0"/>
                <w:sz w:val="16"/>
              </w:rPr>
              <w:t>Unauthorized user cannot retrieve another user's package.</w:t>
            </w:r>
          </w:p>
        </w:tc>
        <w:tc>
          <w:tcPr>
            <w:tcW w:type="dxa" w:w="2484"/>
            <w:vAlign w:val="center"/>
          </w:tcPr>
          <w:p>
            <w:pPr>
              <w:spacing w:after="20"/>
            </w:pPr>
            <w:r/>
            <w:r>
              <w:rPr>
                <w:rFonts w:ascii="Arial" w:hAnsi="Arial"/>
                <w:b w:val="0"/>
                <w:sz w:val="16"/>
              </w:rPr>
              <w:t>Authorization test</w:t>
            </w:r>
          </w:p>
        </w:tc>
        <w:tc>
          <w:tcPr>
            <w:tcW w:type="dxa" w:w="2484"/>
            <w:vAlign w:val="center"/>
          </w:tcPr>
          <w:p>
            <w:pPr>
              <w:spacing w:after="20"/>
            </w:pPr>
            <w:r/>
            <w:r>
              <w:rPr>
                <w:rFonts w:ascii="Arial" w:hAnsi="Arial"/>
                <w:b w:val="0"/>
                <w:sz w:val="16"/>
              </w:rPr>
              <w:t>Request is denied without leaking protected package data.</w:t>
            </w:r>
          </w:p>
        </w:tc>
      </w:tr>
      <w:tr>
        <w:tc>
          <w:tcPr>
            <w:tcW w:type="dxa" w:w="2484"/>
            <w:vAlign w:val="center"/>
          </w:tcPr>
          <w:p>
            <w:pPr>
              <w:spacing w:after="20"/>
            </w:pPr>
            <w:r/>
            <w:r>
              <w:rPr>
                <w:rFonts w:ascii="Arial" w:hAnsi="Arial"/>
                <w:b w:val="0"/>
                <w:sz w:val="16"/>
              </w:rPr>
              <w:t>AT-006</w:t>
            </w:r>
          </w:p>
        </w:tc>
        <w:tc>
          <w:tcPr>
            <w:tcW w:type="dxa" w:w="2484"/>
            <w:vAlign w:val="center"/>
          </w:tcPr>
          <w:p>
            <w:pPr>
              <w:spacing w:after="20"/>
            </w:pPr>
            <w:r/>
            <w:r>
              <w:rPr>
                <w:rFonts w:ascii="Arial" w:hAnsi="Arial"/>
                <w:b w:val="0"/>
                <w:sz w:val="16"/>
              </w:rPr>
              <w:t>Tampered ciphertext fails authentication.</w:t>
            </w:r>
          </w:p>
        </w:tc>
        <w:tc>
          <w:tcPr>
            <w:tcW w:type="dxa" w:w="2484"/>
            <w:vAlign w:val="center"/>
          </w:tcPr>
          <w:p>
            <w:pPr>
              <w:spacing w:after="20"/>
            </w:pPr>
            <w:r/>
            <w:r>
              <w:rPr>
                <w:rFonts w:ascii="Arial" w:hAnsi="Arial"/>
                <w:b w:val="0"/>
                <w:sz w:val="16"/>
              </w:rPr>
              <w:t>Negative test</w:t>
            </w:r>
          </w:p>
        </w:tc>
        <w:tc>
          <w:tcPr>
            <w:tcW w:type="dxa" w:w="2484"/>
            <w:vAlign w:val="center"/>
          </w:tcPr>
          <w:p>
            <w:pPr>
              <w:spacing w:after="20"/>
            </w:pPr>
            <w:r/>
            <w:r>
              <w:rPr>
                <w:rFonts w:ascii="Arial" w:hAnsi="Arial"/>
                <w:b w:val="0"/>
                <w:sz w:val="16"/>
              </w:rPr>
              <w:t>Decryption fails and no plaintext is returned.</w:t>
            </w:r>
          </w:p>
        </w:tc>
      </w:tr>
      <w:tr>
        <w:tc>
          <w:tcPr>
            <w:tcW w:type="dxa" w:w="2484"/>
            <w:vAlign w:val="center"/>
          </w:tcPr>
          <w:p>
            <w:pPr>
              <w:spacing w:after="20"/>
            </w:pPr>
            <w:r/>
            <w:r>
              <w:rPr>
                <w:rFonts w:ascii="Arial" w:hAnsi="Arial"/>
                <w:b w:val="0"/>
                <w:sz w:val="16"/>
              </w:rPr>
              <w:t>AT-007</w:t>
            </w:r>
          </w:p>
        </w:tc>
        <w:tc>
          <w:tcPr>
            <w:tcW w:type="dxa" w:w="2484"/>
            <w:vAlign w:val="center"/>
          </w:tcPr>
          <w:p>
            <w:pPr>
              <w:spacing w:after="20"/>
            </w:pPr>
            <w:r/>
            <w:r>
              <w:rPr>
                <w:rFonts w:ascii="Arial" w:hAnsi="Arial"/>
                <w:b w:val="0"/>
                <w:sz w:val="16"/>
              </w:rPr>
              <w:t>Tampered manifest or signature fails verification.</w:t>
            </w:r>
          </w:p>
        </w:tc>
        <w:tc>
          <w:tcPr>
            <w:tcW w:type="dxa" w:w="2484"/>
            <w:vAlign w:val="center"/>
          </w:tcPr>
          <w:p>
            <w:pPr>
              <w:spacing w:after="20"/>
            </w:pPr>
            <w:r/>
            <w:r>
              <w:rPr>
                <w:rFonts w:ascii="Arial" w:hAnsi="Arial"/>
                <w:b w:val="0"/>
                <w:sz w:val="16"/>
              </w:rPr>
              <w:t>Negative test</w:t>
            </w:r>
          </w:p>
        </w:tc>
        <w:tc>
          <w:tcPr>
            <w:tcW w:type="dxa" w:w="2484"/>
            <w:vAlign w:val="center"/>
          </w:tcPr>
          <w:p>
            <w:pPr>
              <w:spacing w:after="20"/>
            </w:pPr>
            <w:r/>
            <w:r>
              <w:rPr>
                <w:rFonts w:ascii="Arial" w:hAnsi="Arial"/>
                <w:b w:val="0"/>
                <w:sz w:val="16"/>
              </w:rPr>
              <w:t>Package is rejected with a safe error.</w:t>
            </w:r>
          </w:p>
        </w:tc>
      </w:tr>
      <w:tr>
        <w:tc>
          <w:tcPr>
            <w:tcW w:type="dxa" w:w="2484"/>
            <w:vAlign w:val="center"/>
          </w:tcPr>
          <w:p>
            <w:pPr>
              <w:spacing w:after="20"/>
            </w:pPr>
            <w:r/>
            <w:r>
              <w:rPr>
                <w:rFonts w:ascii="Arial" w:hAnsi="Arial"/>
                <w:b w:val="0"/>
                <w:sz w:val="16"/>
              </w:rPr>
              <w:t>AT-008</w:t>
            </w:r>
          </w:p>
        </w:tc>
        <w:tc>
          <w:tcPr>
            <w:tcW w:type="dxa" w:w="2484"/>
            <w:vAlign w:val="center"/>
          </w:tcPr>
          <w:p>
            <w:pPr>
              <w:spacing w:after="20"/>
            </w:pPr>
            <w:r/>
            <w:r>
              <w:rPr>
                <w:rFonts w:ascii="Arial" w:hAnsi="Arial"/>
                <w:b w:val="0"/>
                <w:sz w:val="16"/>
              </w:rPr>
              <w:t>Revoked grant blocks future retrieval.</w:t>
            </w:r>
          </w:p>
        </w:tc>
        <w:tc>
          <w:tcPr>
            <w:tcW w:type="dxa" w:w="2484"/>
            <w:vAlign w:val="center"/>
          </w:tcPr>
          <w:p>
            <w:pPr>
              <w:spacing w:after="20"/>
            </w:pPr>
            <w:r/>
            <w:r>
              <w:rPr>
                <w:rFonts w:ascii="Arial" w:hAnsi="Arial"/>
                <w:b w:val="0"/>
                <w:sz w:val="16"/>
              </w:rPr>
              <w:t>Functional/security test</w:t>
            </w:r>
          </w:p>
        </w:tc>
        <w:tc>
          <w:tcPr>
            <w:tcW w:type="dxa" w:w="2484"/>
            <w:vAlign w:val="center"/>
          </w:tcPr>
          <w:p>
            <w:pPr>
              <w:spacing w:after="20"/>
            </w:pPr>
            <w:r/>
            <w:r>
              <w:rPr>
                <w:rFonts w:ascii="Arial" w:hAnsi="Arial"/>
                <w:b w:val="0"/>
                <w:sz w:val="16"/>
              </w:rPr>
              <w:t>Recipient cannot retrieve package after revocation.</w:t>
            </w:r>
          </w:p>
        </w:tc>
      </w:tr>
      <w:tr>
        <w:tc>
          <w:tcPr>
            <w:tcW w:type="dxa" w:w="2484"/>
            <w:vAlign w:val="center"/>
          </w:tcPr>
          <w:p>
            <w:pPr>
              <w:spacing w:after="20"/>
            </w:pPr>
            <w:r/>
            <w:r>
              <w:rPr>
                <w:rFonts w:ascii="Arial" w:hAnsi="Arial"/>
                <w:b w:val="0"/>
                <w:sz w:val="16"/>
              </w:rPr>
              <w:t>AT-011</w:t>
            </w:r>
          </w:p>
        </w:tc>
        <w:tc>
          <w:tcPr>
            <w:tcW w:type="dxa" w:w="2484"/>
            <w:vAlign w:val="center"/>
          </w:tcPr>
          <w:p>
            <w:pPr>
              <w:spacing w:after="20"/>
            </w:pPr>
            <w:r/>
            <w:r>
              <w:rPr>
                <w:rFonts w:ascii="Arial" w:hAnsi="Arial"/>
                <w:b w:val="0"/>
                <w:sz w:val="16"/>
              </w:rPr>
              <w:t>Upload size and type limits are enforced server-side.</w:t>
            </w:r>
          </w:p>
        </w:tc>
        <w:tc>
          <w:tcPr>
            <w:tcW w:type="dxa" w:w="2484"/>
            <w:vAlign w:val="center"/>
          </w:tcPr>
          <w:p>
            <w:pPr>
              <w:spacing w:after="20"/>
            </w:pPr>
            <w:r/>
            <w:r>
              <w:rPr>
                <w:rFonts w:ascii="Arial" w:hAnsi="Arial"/>
                <w:b w:val="0"/>
                <w:sz w:val="16"/>
              </w:rPr>
              <w:t>Boundary test</w:t>
            </w:r>
          </w:p>
        </w:tc>
        <w:tc>
          <w:tcPr>
            <w:tcW w:type="dxa" w:w="2484"/>
            <w:vAlign w:val="center"/>
          </w:tcPr>
          <w:p>
            <w:pPr>
              <w:spacing w:after="20"/>
            </w:pPr>
            <w:r/>
            <w:r>
              <w:rPr>
                <w:rFonts w:ascii="Arial" w:hAnsi="Arial"/>
                <w:b w:val="0"/>
                <w:sz w:val="16"/>
              </w:rPr>
              <w:t>Oversized or disallowed uploads are rejected.</w:t>
            </w:r>
          </w:p>
        </w:tc>
      </w:tr>
      <w:tr>
        <w:tc>
          <w:tcPr>
            <w:tcW w:type="dxa" w:w="2484"/>
            <w:vAlign w:val="center"/>
          </w:tcPr>
          <w:p>
            <w:pPr>
              <w:spacing w:after="20"/>
            </w:pPr>
            <w:r/>
            <w:r>
              <w:rPr>
                <w:rFonts w:ascii="Arial" w:hAnsi="Arial"/>
                <w:b w:val="0"/>
                <w:sz w:val="16"/>
              </w:rPr>
              <w:t>AT-012</w:t>
            </w:r>
          </w:p>
        </w:tc>
        <w:tc>
          <w:tcPr>
            <w:tcW w:type="dxa" w:w="2484"/>
            <w:vAlign w:val="center"/>
          </w:tcPr>
          <w:p>
            <w:pPr>
              <w:spacing w:after="20"/>
            </w:pPr>
            <w:r/>
            <w:r>
              <w:rPr>
                <w:rFonts w:ascii="Arial" w:hAnsi="Arial"/>
                <w:b w:val="0"/>
                <w:sz w:val="16"/>
              </w:rPr>
              <w:t>Secrets do not appear in logs.</w:t>
            </w:r>
          </w:p>
        </w:tc>
        <w:tc>
          <w:tcPr>
            <w:tcW w:type="dxa" w:w="2484"/>
            <w:vAlign w:val="center"/>
          </w:tcPr>
          <w:p>
            <w:pPr>
              <w:spacing w:after="20"/>
            </w:pPr>
            <w:r/>
            <w:r>
              <w:rPr>
                <w:rFonts w:ascii="Arial" w:hAnsi="Arial"/>
                <w:b w:val="0"/>
                <w:sz w:val="16"/>
              </w:rPr>
              <w:t>Log inspection/security test</w:t>
            </w:r>
          </w:p>
        </w:tc>
        <w:tc>
          <w:tcPr>
            <w:tcW w:type="dxa" w:w="2484"/>
            <w:vAlign w:val="center"/>
          </w:tcPr>
          <w:p>
            <w:pPr>
              <w:spacing w:after="20"/>
            </w:pPr>
            <w:r/>
            <w:r>
              <w:rPr>
                <w:rFonts w:ascii="Arial" w:hAnsi="Arial"/>
                <w:b w:val="0"/>
                <w:sz w:val="16"/>
              </w:rPr>
              <w:t>No passwords, private keys, shared secrets, tokens, or plaintext appear in logs.</w:t>
            </w:r>
          </w:p>
        </w:tc>
      </w:tr>
      <w:tr>
        <w:tc>
          <w:tcPr>
            <w:tcW w:type="dxa" w:w="2484"/>
            <w:vAlign w:val="center"/>
          </w:tcPr>
          <w:p>
            <w:pPr>
              <w:spacing w:after="20"/>
            </w:pPr>
            <w:r/>
            <w:r>
              <w:rPr>
                <w:rFonts w:ascii="Arial" w:hAnsi="Arial"/>
                <w:b w:val="0"/>
                <w:sz w:val="16"/>
              </w:rPr>
              <w:t>AT-013</w:t>
            </w:r>
          </w:p>
        </w:tc>
        <w:tc>
          <w:tcPr>
            <w:tcW w:type="dxa" w:w="2484"/>
            <w:vAlign w:val="center"/>
          </w:tcPr>
          <w:p>
            <w:pPr>
              <w:spacing w:after="20"/>
            </w:pPr>
            <w:r/>
            <w:r>
              <w:rPr>
                <w:rFonts w:ascii="Arial" w:hAnsi="Arial"/>
                <w:b w:val="0"/>
                <w:sz w:val="16"/>
              </w:rPr>
              <w:t>Core application runs using documented setup.</w:t>
            </w:r>
          </w:p>
        </w:tc>
        <w:tc>
          <w:tcPr>
            <w:tcW w:type="dxa" w:w="2484"/>
            <w:vAlign w:val="center"/>
          </w:tcPr>
          <w:p>
            <w:pPr>
              <w:spacing w:after="20"/>
            </w:pPr>
            <w:r/>
            <w:r>
              <w:rPr>
                <w:rFonts w:ascii="Arial" w:hAnsi="Arial"/>
                <w:b w:val="0"/>
                <w:sz w:val="16"/>
              </w:rPr>
              <w:t>Deployment test</w:t>
            </w:r>
          </w:p>
        </w:tc>
        <w:tc>
          <w:tcPr>
            <w:tcW w:type="dxa" w:w="2484"/>
            <w:vAlign w:val="center"/>
          </w:tcPr>
          <w:p>
            <w:pPr>
              <w:spacing w:after="20"/>
            </w:pPr>
            <w:r/>
            <w:r>
              <w:rPr>
                <w:rFonts w:ascii="Arial" w:hAnsi="Arial"/>
                <w:b w:val="0"/>
                <w:sz w:val="16"/>
              </w:rPr>
              <w:t>A clean environment can start the app and run smoke tests following the guide.</w:t>
            </w:r>
          </w:p>
        </w:tc>
      </w:tr>
      <w:tr>
        <w:tc>
          <w:tcPr>
            <w:tcW w:type="dxa" w:w="2484"/>
            <w:vAlign w:val="center"/>
          </w:tcPr>
          <w:p>
            <w:pPr>
              <w:spacing w:after="20"/>
            </w:pPr>
            <w:r/>
            <w:r>
              <w:rPr>
                <w:rFonts w:ascii="Arial" w:hAnsi="Arial"/>
                <w:b w:val="0"/>
                <w:sz w:val="16"/>
              </w:rPr>
              <w:t>AT-014</w:t>
            </w:r>
          </w:p>
        </w:tc>
        <w:tc>
          <w:tcPr>
            <w:tcW w:type="dxa" w:w="2484"/>
            <w:vAlign w:val="center"/>
          </w:tcPr>
          <w:p>
            <w:pPr>
              <w:spacing w:after="20"/>
            </w:pPr>
            <w:r/>
            <w:r>
              <w:rPr>
                <w:rFonts w:ascii="Arial" w:hAnsi="Arial"/>
                <w:b w:val="0"/>
                <w:sz w:val="16"/>
              </w:rPr>
              <w:t>API errors are consistent and do not expose stack traces.</w:t>
            </w:r>
          </w:p>
        </w:tc>
        <w:tc>
          <w:tcPr>
            <w:tcW w:type="dxa" w:w="2484"/>
            <w:vAlign w:val="center"/>
          </w:tcPr>
          <w:p>
            <w:pPr>
              <w:spacing w:after="20"/>
            </w:pPr>
            <w:r/>
            <w:r>
              <w:rPr>
                <w:rFonts w:ascii="Arial" w:hAnsi="Arial"/>
                <w:b w:val="0"/>
                <w:sz w:val="16"/>
              </w:rPr>
              <w:t>API negative tests</w:t>
            </w:r>
          </w:p>
        </w:tc>
        <w:tc>
          <w:tcPr>
            <w:tcW w:type="dxa" w:w="2484"/>
            <w:vAlign w:val="center"/>
          </w:tcPr>
          <w:p>
            <w:pPr>
              <w:spacing w:after="20"/>
            </w:pPr>
            <w:r/>
            <w:r>
              <w:rPr>
                <w:rFonts w:ascii="Arial" w:hAnsi="Arial"/>
                <w:b w:val="0"/>
                <w:sz w:val="16"/>
              </w:rPr>
              <w:t>Expected status and safe error schema are returned.</w:t>
            </w:r>
          </w:p>
        </w:tc>
      </w:tr>
    </w:tbl>
    <w:p/>
    <w:p>
      <w:pPr>
        <w:pStyle w:val="Heading2"/>
        <w:keepNext/>
      </w:pPr>
      <w:r>
        <w:t>11.1 Test Categories</w:t>
      </w:r>
    </w:p>
    <w:p>
      <w:pPr>
        <w:pStyle w:val="ListBullet"/>
        <w:spacing w:after="40"/>
      </w:pPr>
      <w:r>
        <w:t>Unit tests: key derivation context, manifest serialization, permission checks, validation, and error mapping.</w:t>
      </w:r>
    </w:p>
    <w:p>
      <w:pPr>
        <w:pStyle w:val="ListBullet"/>
        <w:spacing w:after="40"/>
      </w:pPr>
      <w:r>
        <w:t>Cryptographic integration tests: key generation, encapsulation/decapsulation, signing/verification, encryption/decryption, and invalid-input handling.</w:t>
      </w:r>
    </w:p>
    <w:p>
      <w:pPr>
        <w:pStyle w:val="ListBullet"/>
        <w:spacing w:after="40"/>
      </w:pPr>
      <w:r>
        <w:t>End-to-end tests: registration through successful file receipt and decryption.</w:t>
      </w:r>
    </w:p>
    <w:p>
      <w:pPr>
        <w:pStyle w:val="ListBullet"/>
        <w:spacing w:after="40"/>
      </w:pPr>
      <w:r>
        <w:t>Negative security tests: unauthorized access, altered ciphertext, altered metadata, invalid signatures, revoked keys, malformed encodings, oversized files, and rate limiting.</w:t>
      </w:r>
    </w:p>
    <w:p>
      <w:pPr>
        <w:pStyle w:val="ListBullet"/>
        <w:spacing w:after="40"/>
      </w:pPr>
      <w:r>
        <w:t>Performance tests: operation latency, file throughput, memory use, and package overhead across selected file sizes.</w:t>
      </w:r>
    </w:p>
    <w:p>
      <w:pPr>
        <w:pStyle w:val="ListBullet"/>
        <w:spacing w:after="40"/>
      </w:pPr>
      <w:r>
        <w:t>Deployment tests: migrations, storage permissions, TLS configuration, health checks, backup/restore procedure, and startup configuration.</w:t>
      </w:r>
    </w:p>
    <w:p>
      <w:pPr>
        <w:pStyle w:val="ListBullet"/>
        <w:spacing w:after="40"/>
      </w:pPr>
      <w:r>
        <w:t>Record CPU, memory, operating system, Python version, cryptographic provider version, and relevant configuration.</w:t>
      </w:r>
    </w:p>
    <w:p>
      <w:pPr>
        <w:pStyle w:val="ListBullet"/>
        <w:spacing w:after="40"/>
      </w:pPr>
      <w:r>
        <w:t>Separate key generation, encapsulation/decapsulation, signing/verification, file encryption/decryption, and end-to-end timing.</w:t>
      </w:r>
    </w:p>
    <w:p>
      <w:pPr>
        <w:pStyle w:val="ListBullet"/>
        <w:spacing w:after="40"/>
      </w:pPr>
      <w:r>
        <w:t>Use warm-up iterations followed by a configurable number of measured repetitions.</w:t>
      </w:r>
    </w:p>
    <w:p>
      <w:pPr>
        <w:pStyle w:val="ListBullet"/>
        <w:spacing w:after="40"/>
      </w:pPr>
      <w:r>
        <w:t>Report median and percentile values, plus mean and standard deviation where useful; avoid reporting only a single best run.</w:t>
      </w:r>
    </w:p>
    <w:p>
      <w:pPr>
        <w:pStyle w:val="ListBullet"/>
        <w:spacing w:after="40"/>
      </w:pPr>
      <w:r>
        <w:t>Measure public-key, ciphertext/encapsulation, and signature sizes separately from operation time.</w:t>
      </w:r>
    </w:p>
    <w:p>
      <w:pPr>
        <w:pStyle w:val="ListBullet"/>
        <w:spacing w:after="40"/>
      </w:pPr>
      <w:r>
        <w:t>Use synthetic test payloads and document whether measurements include disk I/O, API overhead, and network transfer.</w:t>
      </w:r>
    </w:p>
    <w:p>
      <w:pPr>
        <w:pStyle w:val="Heading1"/>
        <w:keepNext/>
      </w:pPr>
      <w:r>
        <w:t>12. Risks, Assumptions, and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Risk</w:t>
            </w:r>
          </w:p>
        </w:tc>
        <w:tc>
          <w:tcPr>
            <w:tcW w:type="dxa" w:w="3312"/>
            <w:vAlign w:val="center"/>
            <w:shd w:fill="17365D"/>
          </w:tcPr>
          <w:p>
            <w:pPr>
              <w:spacing w:after="20"/>
            </w:pPr>
            <w:r/>
            <w:r>
              <w:rPr>
                <w:rFonts w:ascii="Arial" w:hAnsi="Arial"/>
                <w:b/>
                <w:color w:val="FFFFFF"/>
                <w:sz w:val="17"/>
              </w:rPr>
              <w:t>Likelihood / impact</w:t>
            </w:r>
          </w:p>
        </w:tc>
        <w:tc>
          <w:tcPr>
            <w:tcW w:type="dxa" w:w="3312"/>
            <w:vAlign w:val="center"/>
            <w:shd w:fill="17365D"/>
          </w:tcPr>
          <w:p>
            <w:pPr>
              <w:spacing w:after="20"/>
            </w:pPr>
            <w:r/>
            <w:r>
              <w:rPr>
                <w:rFonts w:ascii="Arial" w:hAnsi="Arial"/>
                <w:b/>
                <w:color w:val="FFFFFF"/>
                <w:sz w:val="17"/>
              </w:rPr>
              <w:t>Mitigation</w:t>
            </w:r>
          </w:p>
        </w:tc>
      </w:tr>
      <w:tr>
        <w:tc>
          <w:tcPr>
            <w:tcW w:type="dxa" w:w="3312"/>
            <w:vAlign w:val="center"/>
          </w:tcPr>
          <w:p>
            <w:pPr>
              <w:spacing w:after="20"/>
            </w:pPr>
            <w:r/>
            <w:r>
              <w:rPr>
                <w:rFonts w:ascii="Arial" w:hAnsi="Arial"/>
                <w:b w:val="0"/>
                <w:sz w:val="16"/>
              </w:rPr>
              <w:t>PQC Python library incompatibility or unstable bindings</w:t>
            </w:r>
          </w:p>
        </w:tc>
        <w:tc>
          <w:tcPr>
            <w:tcW w:type="dxa" w:w="3312"/>
            <w:vAlign w:val="center"/>
          </w:tcPr>
          <w:p>
            <w:pPr>
              <w:spacing w:after="20"/>
            </w:pPr>
            <w:r/>
            <w:r>
              <w:rPr>
                <w:rFonts w:ascii="Arial" w:hAnsi="Arial"/>
                <w:b w:val="0"/>
                <w:sz w:val="16"/>
              </w:rPr>
              <w:t>Medium / High</w:t>
            </w:r>
          </w:p>
        </w:tc>
        <w:tc>
          <w:tcPr>
            <w:tcW w:type="dxa" w:w="3312"/>
            <w:vAlign w:val="center"/>
          </w:tcPr>
          <w:p>
            <w:pPr>
              <w:spacing w:after="20"/>
            </w:pPr>
            <w:r/>
            <w:r>
              <w:rPr>
                <w:rFonts w:ascii="Arial" w:hAnsi="Arial"/>
                <w:b w:val="0"/>
                <w:sz w:val="16"/>
              </w:rPr>
              <w:t>Validate library support early; pin versions; isolate provider behind interface; maintain fallback provider.</w:t>
            </w:r>
          </w:p>
        </w:tc>
      </w:tr>
      <w:tr>
        <w:tc>
          <w:tcPr>
            <w:tcW w:type="dxa" w:w="3312"/>
            <w:vAlign w:val="center"/>
          </w:tcPr>
          <w:p>
            <w:pPr>
              <w:spacing w:after="20"/>
            </w:pPr>
            <w:r/>
            <w:r>
              <w:rPr>
                <w:rFonts w:ascii="Arial" w:hAnsi="Arial"/>
                <w:b w:val="0"/>
                <w:sz w:val="16"/>
              </w:rPr>
              <w:t>Incorrect key custody design</w:t>
            </w:r>
          </w:p>
        </w:tc>
        <w:tc>
          <w:tcPr>
            <w:tcW w:type="dxa" w:w="3312"/>
            <w:vAlign w:val="center"/>
          </w:tcPr>
          <w:p>
            <w:pPr>
              <w:spacing w:after="20"/>
            </w:pPr>
            <w:r/>
            <w:r>
              <w:rPr>
                <w:rFonts w:ascii="Arial" w:hAnsi="Arial"/>
                <w:b w:val="0"/>
                <w:sz w:val="16"/>
              </w:rPr>
              <w:t>Medium / Critical</w:t>
            </w:r>
          </w:p>
        </w:tc>
        <w:tc>
          <w:tcPr>
            <w:tcW w:type="dxa" w:w="3312"/>
            <w:vAlign w:val="center"/>
          </w:tcPr>
          <w:p>
            <w:pPr>
              <w:spacing w:after="20"/>
            </w:pPr>
            <w:r/>
            <w:r>
              <w:rPr>
                <w:rFonts w:ascii="Arial" w:hAnsi="Arial"/>
                <w:b w:val="0"/>
                <w:sz w:val="16"/>
              </w:rPr>
              <w:t>Decide custody model before implementation; document threat trade-offs; avoid claiming end-to-end encryption if server handles private keys.</w:t>
            </w:r>
          </w:p>
        </w:tc>
      </w:tr>
      <w:tr>
        <w:tc>
          <w:tcPr>
            <w:tcW w:type="dxa" w:w="3312"/>
            <w:vAlign w:val="center"/>
          </w:tcPr>
          <w:p>
            <w:pPr>
              <w:spacing w:after="20"/>
            </w:pPr>
            <w:r/>
            <w:r>
              <w:rPr>
                <w:rFonts w:ascii="Arial" w:hAnsi="Arial"/>
                <w:b w:val="0"/>
                <w:sz w:val="16"/>
              </w:rPr>
              <w:t>Key substitution undermines recipient identity</w:t>
            </w:r>
          </w:p>
        </w:tc>
        <w:tc>
          <w:tcPr>
            <w:tcW w:type="dxa" w:w="3312"/>
            <w:vAlign w:val="center"/>
          </w:tcPr>
          <w:p>
            <w:pPr>
              <w:spacing w:after="20"/>
            </w:pPr>
            <w:r/>
            <w:r>
              <w:rPr>
                <w:rFonts w:ascii="Arial" w:hAnsi="Arial"/>
                <w:b w:val="0"/>
                <w:sz w:val="16"/>
              </w:rPr>
              <w:t>Medium / High</w:t>
            </w:r>
          </w:p>
        </w:tc>
        <w:tc>
          <w:tcPr>
            <w:tcW w:type="dxa" w:w="3312"/>
            <w:vAlign w:val="center"/>
          </w:tcPr>
          <w:p>
            <w:pPr>
              <w:spacing w:after="20"/>
            </w:pPr>
            <w:r/>
            <w:r>
              <w:rPr>
                <w:rFonts w:ascii="Arial" w:hAnsi="Arial"/>
                <w:b w:val="0"/>
                <w:sz w:val="16"/>
              </w:rPr>
              <w:t>Bind public keys to authenticated accounts; show key fingerprints and key-change warnings; define trust model.</w:t>
            </w:r>
          </w:p>
        </w:tc>
      </w:tr>
      <w:tr>
        <w:tc>
          <w:tcPr>
            <w:tcW w:type="dxa" w:w="3312"/>
            <w:vAlign w:val="center"/>
          </w:tcPr>
          <w:p>
            <w:pPr>
              <w:spacing w:after="20"/>
            </w:pPr>
            <w:r/>
            <w:r>
              <w:rPr>
                <w:rFonts w:ascii="Arial" w:hAnsi="Arial"/>
                <w:b w:val="0"/>
                <w:sz w:val="16"/>
              </w:rPr>
              <w:t>Scope too large for hackathon</w:t>
            </w:r>
          </w:p>
        </w:tc>
        <w:tc>
          <w:tcPr>
            <w:tcW w:type="dxa" w:w="3312"/>
            <w:vAlign w:val="center"/>
          </w:tcPr>
          <w:p>
            <w:pPr>
              <w:spacing w:after="20"/>
            </w:pPr>
            <w:r/>
            <w:r>
              <w:rPr>
                <w:rFonts w:ascii="Arial" w:hAnsi="Arial"/>
                <w:b w:val="0"/>
                <w:sz w:val="16"/>
              </w:rPr>
              <w:t>High / Medium</w:t>
            </w:r>
          </w:p>
        </w:tc>
        <w:tc>
          <w:tcPr>
            <w:tcW w:type="dxa" w:w="3312"/>
            <w:vAlign w:val="center"/>
          </w:tcPr>
          <w:p>
            <w:r>
              <w:t>Prioritize one-recipient PQC sharing, file integrity verification, and essential access-control features.</w:t>
            </w:r>
          </w:p>
        </w:tc>
      </w:tr>
      <w:tr>
        <w:tc>
          <w:tcPr>
            <w:tcW w:type="dxa" w:w="3312"/>
            <w:vAlign w:val="center"/>
          </w:tcPr>
          <w:p>
            <w:pPr>
              <w:spacing w:after="20"/>
            </w:pPr>
            <w:r/>
            <w:r>
              <w:rPr>
                <w:rFonts w:ascii="Arial" w:hAnsi="Arial"/>
                <w:b w:val="0"/>
                <w:sz w:val="16"/>
              </w:rPr>
              <w:t>Large files cause memory or timeout problems</w:t>
            </w:r>
          </w:p>
        </w:tc>
        <w:tc>
          <w:tcPr>
            <w:tcW w:type="dxa" w:w="3312"/>
            <w:vAlign w:val="center"/>
          </w:tcPr>
          <w:p>
            <w:pPr>
              <w:spacing w:after="20"/>
            </w:pPr>
            <w:r/>
            <w:r>
              <w:rPr>
                <w:rFonts w:ascii="Arial" w:hAnsi="Arial"/>
                <w:b w:val="0"/>
                <w:sz w:val="16"/>
              </w:rPr>
              <w:t>Medium / High</w:t>
            </w:r>
          </w:p>
        </w:tc>
        <w:tc>
          <w:tcPr>
            <w:tcW w:type="dxa" w:w="3312"/>
            <w:vAlign w:val="center"/>
          </w:tcPr>
          <w:p>
            <w:pPr>
              <w:spacing w:after="20"/>
            </w:pPr>
            <w:r/>
            <w:r>
              <w:rPr>
                <w:rFonts w:ascii="Arial" w:hAnsi="Arial"/>
                <w:b w:val="0"/>
                <w:sz w:val="16"/>
              </w:rPr>
              <w:t>Stream I/O, enforce limits, and test representative file sizes.</w:t>
            </w:r>
          </w:p>
        </w:tc>
      </w:tr>
      <w:tr>
        <w:tc>
          <w:tcPr>
            <w:tcW w:type="dxa" w:w="3312"/>
            <w:vAlign w:val="center"/>
          </w:tcPr>
          <w:p>
            <w:pPr>
              <w:spacing w:after="20"/>
            </w:pPr>
            <w:r/>
            <w:r>
              <w:rPr>
                <w:rFonts w:ascii="Arial" w:hAnsi="Arial"/>
                <w:b w:val="0"/>
                <w:sz w:val="16"/>
              </w:rPr>
              <w:t>Private key loss prevents decryption</w:t>
            </w:r>
          </w:p>
        </w:tc>
        <w:tc>
          <w:tcPr>
            <w:tcW w:type="dxa" w:w="3312"/>
            <w:vAlign w:val="center"/>
          </w:tcPr>
          <w:p>
            <w:pPr>
              <w:spacing w:after="20"/>
            </w:pPr>
            <w:r/>
            <w:r>
              <w:rPr>
                <w:rFonts w:ascii="Arial" w:hAnsi="Arial"/>
                <w:b w:val="0"/>
                <w:sz w:val="16"/>
              </w:rPr>
              <w:t>Medium / High</w:t>
            </w:r>
          </w:p>
        </w:tc>
        <w:tc>
          <w:tcPr>
            <w:tcW w:type="dxa" w:w="3312"/>
            <w:vAlign w:val="center"/>
          </w:tcPr>
          <w:p>
            <w:pPr>
              <w:spacing w:after="20"/>
            </w:pPr>
            <w:r/>
            <w:r>
              <w:rPr>
                <w:rFonts w:ascii="Arial" w:hAnsi="Arial"/>
                <w:b w:val="0"/>
                <w:sz w:val="16"/>
              </w:rPr>
              <w:t>Warn users; define backup/recovery approach or explicitly state unrecoverability.</w:t>
            </w:r>
          </w:p>
        </w:tc>
      </w:tr>
      <w:tr>
        <w:tc>
          <w:tcPr>
            <w:tcW w:type="dxa" w:w="3312"/>
            <w:vAlign w:val="center"/>
          </w:tcPr>
          <w:p>
            <w:pPr>
              <w:spacing w:after="20"/>
            </w:pPr>
            <w:r/>
            <w:r>
              <w:rPr>
                <w:rFonts w:ascii="Arial" w:hAnsi="Arial"/>
                <w:b w:val="0"/>
                <w:sz w:val="16"/>
              </w:rPr>
              <w:t>Security defect in custom integration</w:t>
            </w:r>
          </w:p>
        </w:tc>
        <w:tc>
          <w:tcPr>
            <w:tcW w:type="dxa" w:w="3312"/>
            <w:vAlign w:val="center"/>
          </w:tcPr>
          <w:p>
            <w:pPr>
              <w:spacing w:after="20"/>
            </w:pPr>
            <w:r/>
            <w:r>
              <w:rPr>
                <w:rFonts w:ascii="Arial" w:hAnsi="Arial"/>
                <w:b w:val="0"/>
                <w:sz w:val="16"/>
              </w:rPr>
              <w:t>Medium / Critical</w:t>
            </w:r>
          </w:p>
        </w:tc>
        <w:tc>
          <w:tcPr>
            <w:tcW w:type="dxa" w:w="3312"/>
            <w:vAlign w:val="center"/>
          </w:tcPr>
          <w:p>
            <w:pPr>
              <w:spacing w:after="20"/>
            </w:pPr>
            <w:r/>
            <w:r>
              <w:rPr>
                <w:rFonts w:ascii="Arial" w:hAnsi="Arial"/>
                <w:b w:val="0"/>
                <w:sz w:val="16"/>
              </w:rPr>
              <w:t>Use vetted libraries; avoid custom primitives; conduct code review and negative tests.</w:t>
            </w:r>
          </w:p>
        </w:tc>
      </w:tr>
      <w:tr>
        <w:tc>
          <w:tcPr>
            <w:tcW w:type="dxa" w:w="3312"/>
            <w:vAlign w:val="center"/>
          </w:tcPr>
          <w:p>
            <w:pPr>
              <w:spacing w:after="20"/>
            </w:pPr>
            <w:r/>
            <w:r>
              <w:rPr>
                <w:rFonts w:ascii="Arial" w:hAnsi="Arial"/>
                <w:b w:val="0"/>
                <w:sz w:val="16"/>
              </w:rPr>
              <w:t>Storage/database outage</w:t>
            </w:r>
          </w:p>
        </w:tc>
        <w:tc>
          <w:tcPr>
            <w:tcW w:type="dxa" w:w="3312"/>
            <w:vAlign w:val="center"/>
          </w:tcPr>
          <w:p>
            <w:pPr>
              <w:spacing w:after="20"/>
            </w:pPr>
            <w:r/>
            <w:r>
              <w:rPr>
                <w:rFonts w:ascii="Arial" w:hAnsi="Arial"/>
                <w:b w:val="0"/>
                <w:sz w:val="16"/>
              </w:rPr>
              <w:t>Low-Medium / High</w:t>
            </w:r>
          </w:p>
        </w:tc>
        <w:tc>
          <w:tcPr>
            <w:tcW w:type="dxa" w:w="3312"/>
            <w:vAlign w:val="center"/>
          </w:tcPr>
          <w:p>
            <w:pPr>
              <w:spacing w:after="20"/>
            </w:pPr>
            <w:r/>
            <w:r>
              <w:rPr>
                <w:rFonts w:ascii="Arial" w:hAnsi="Arial"/>
                <w:b w:val="0"/>
                <w:sz w:val="16"/>
              </w:rPr>
              <w:t>Use transaction boundaries, retries where safe, health checks, and documented backup/recovery.</w:t>
            </w:r>
          </w:p>
        </w:tc>
      </w:tr>
    </w:tbl>
    <w:p/>
    <w:p>
      <w:pPr>
        <w:pStyle w:val="Heading2"/>
        <w:keepNext/>
      </w:pPr>
      <w:r>
        <w:t>12.1 Assumptions</w:t>
      </w:r>
    </w:p>
    <w:p>
      <w:pPr>
        <w:pStyle w:val="ListBullet"/>
        <w:spacing w:after="40"/>
      </w:pPr>
      <w:r>
        <w:t>The project is primarily an academic or hackathon prototype.</w:t>
      </w:r>
    </w:p>
    <w:p>
      <w:pPr>
        <w:pStyle w:val="ListBullet"/>
        <w:spacing w:after="40"/>
      </w:pPr>
      <w:r>
        <w:t>The first release is intended for controlled demonstrations and test files.</w:t>
      </w:r>
    </w:p>
    <w:p>
      <w:pPr>
        <w:pStyle w:val="ListBullet"/>
        <w:spacing w:after="40"/>
      </w:pPr>
      <w:r>
        <w:t>The team can install and run the selected cryptographic provider in its development and deployment environments.</w:t>
      </w:r>
    </w:p>
    <w:p>
      <w:pPr>
        <w:pStyle w:val="ListBullet"/>
        <w:spacing w:after="40"/>
      </w:pPr>
      <w:r>
        <w:t>The application will initially support a limited set of file types and sizes.</w:t>
      </w:r>
    </w:p>
    <w:p>
      <w:pPr>
        <w:pStyle w:val="ListBullet"/>
        <w:spacing w:after="40"/>
      </w:pPr>
      <w:r>
        <w:t>A trust model for public keys and private-key custody will be agreed before implementation.</w:t>
      </w:r>
    </w:p>
    <w:p>
      <w:pPr>
        <w:pStyle w:val="Heading2"/>
        <w:keepNext/>
      </w:pPr>
      <w:r>
        <w:t>12.2 Dependencies</w:t>
      </w:r>
    </w:p>
    <w:p>
      <w:pPr>
        <w:pStyle w:val="ListBullet"/>
        <w:spacing w:after="40"/>
      </w:pPr>
      <w:r>
        <w:t>Python runtime and package ecosystem.</w:t>
      </w:r>
    </w:p>
    <w:p>
      <w:pPr>
        <w:pStyle w:val="ListBullet"/>
        <w:spacing w:after="40"/>
      </w:pPr>
      <w:r>
        <w:t>FastAPI and ASGI server.</w:t>
      </w:r>
    </w:p>
    <w:p>
      <w:pPr>
        <w:pStyle w:val="ListBullet"/>
        <w:spacing w:after="40"/>
      </w:pPr>
      <w:r>
        <w:t>Supported cryptographic library implementing standardized ML-KEM and ML-DSA.</w:t>
      </w:r>
    </w:p>
    <w:p>
      <w:pPr>
        <w:pStyle w:val="ListBullet"/>
        <w:spacing w:after="40"/>
      </w:pPr>
      <w:r>
        <w:t>Classical cryptography provider for X25519 and Ed25519 comparison.</w:t>
      </w:r>
    </w:p>
    <w:p>
      <w:pPr>
        <w:pStyle w:val="ListBullet"/>
        <w:spacing w:after="40"/>
      </w:pPr>
      <w:r>
        <w:t>PostgreSQL and storage backend.</w:t>
      </w:r>
    </w:p>
    <w:p>
      <w:pPr>
        <w:pStyle w:val="ListBullet"/>
        <w:spacing w:after="40"/>
      </w:pPr>
      <w:r>
        <w:t>Browser support for the selected frontend features.</w:t>
      </w:r>
    </w:p>
    <w:p>
      <w:pPr>
        <w:pStyle w:val="ListBullet"/>
        <w:spacing w:after="40"/>
      </w:pPr>
      <w:r>
        <w:t>Deployment infrastructure, DNS, and TLS certificate for hosted demo.</w:t>
      </w:r>
    </w:p>
    <w:p>
      <w:pPr>
        <w:pStyle w:val="Heading1"/>
        <w:keepNext/>
      </w:pPr>
      <w:r>
        <w:t>13. Deployment and Operations</w:t>
      </w:r>
    </w:p>
    <w:p>
      <w:pPr>
        <w:pStyle w:val="Heading2"/>
        <w:keepNext/>
      </w:pPr>
      <w:r>
        <w:t>13.1 Environment Configuration</w:t>
      </w:r>
    </w:p>
    <w:p>
      <w:pPr>
        <w:pStyle w:val="ListBullet"/>
        <w:spacing w:after="40"/>
      </w:pPr>
      <w:r>
        <w:t>Secrets shall be supplied through environment variables or a secrets manager, not committed to source control.</w:t>
      </w:r>
    </w:p>
    <w:p>
      <w:pPr>
        <w:pStyle w:val="ListBullet"/>
        <w:spacing w:after="40"/>
      </w:pPr>
      <w:r>
        <w:t>Separate development, testing, and demonstration configurations shall be maintained.</w:t>
      </w:r>
    </w:p>
    <w:p>
      <w:pPr>
        <w:pStyle w:val="ListBullet"/>
        <w:spacing w:after="40"/>
      </w:pPr>
      <w:r>
        <w:t>Production-like deployments shall disable debug mode and restrict interactive API documentation if appropriate.</w:t>
      </w:r>
    </w:p>
    <w:p>
      <w:pPr>
        <w:pStyle w:val="ListBullet"/>
        <w:spacing w:after="40"/>
      </w:pPr>
      <w:r>
        <w:t>Database migrations shall be version-controlled and tested.</w:t>
      </w:r>
    </w:p>
    <w:p>
      <w:pPr>
        <w:pStyle w:val="ListBullet"/>
        <w:spacing w:after="40"/>
      </w:pPr>
      <w:r>
        <w:t>Allowed origins, maximum upload size, storage paths, token/session expiry, and rate limits shall be configurable.</w:t>
      </w:r>
    </w:p>
    <w:p>
      <w:pPr>
        <w:pStyle w:val="Heading2"/>
        <w:keepNext/>
      </w:pPr>
      <w:r>
        <w:t>13.2 Suggested Service Layout</w:t>
      </w:r>
    </w:p>
    <w:p>
      <w:r>
        <w:t>A practical repository layout may be organized as follows:</w:t>
      </w:r>
    </w:p>
    <w:p>
      <w:pPr>
        <w:pStyle w:val="Heading2"/>
        <w:keepNext/>
      </w:pPr>
      <w:r>
        <w:t>13.3 Monitoring and Logging</w:t>
      </w:r>
    </w:p>
    <w:p>
      <w:pPr>
        <w:pStyle w:val="ListBullet"/>
        <w:spacing w:after="40"/>
      </w:pPr>
      <w:r>
        <w:t>Use structured logs with correlation/request IDs.</w:t>
      </w:r>
    </w:p>
    <w:p>
      <w:pPr>
        <w:pStyle w:val="ListBullet"/>
        <w:spacing w:after="40"/>
      </w:pPr>
      <w:r>
        <w:t>Record authentication failures, permission denials, cryptographic verification failures, upload outcomes, and service errors.</w:t>
      </w:r>
    </w:p>
    <w:p>
      <w:pPr>
        <w:pStyle w:val="ListBullet"/>
        <w:spacing w:after="40"/>
      </w:pPr>
      <w:r>
        <w:t>Do not log raw uploaded file data, cryptographic secrets, access tokens, or sensitive personal data.</w:t>
      </w:r>
    </w:p>
    <w:p>
      <w:pPr>
        <w:pStyle w:val="ListBullet"/>
        <w:spacing w:after="40"/>
      </w:pPr>
      <w:r>
        <w:t>Track request latency, upload sizes, failure counts, and storage utilization.</w:t>
      </w:r>
    </w:p>
    <w:p>
      <w:pPr>
        <w:pStyle w:val="ListBullet"/>
        <w:spacing w:after="40"/>
      </w:pPr>
      <w:r>
        <w:t>Alert or surface operational warnings when storage is unavailable, database connectivity fails, or resource limits are repeatedly reached.</w:t>
      </w:r>
    </w:p>
    <w:p>
      <w:pPr>
        <w:pStyle w:val="Heading2"/>
        <w:keepNext/>
      </w:pPr>
      <w:r>
        <w:t>13.4 Backup and Restore</w:t>
      </w:r>
    </w:p>
    <w:p>
      <w:r>
        <w:t>The deployment guide shall specify database backup frequency, encrypted storage backup strategy, retention, restore testing, and handling of key material. Restore tests shall verify that metadata and encrypted payload references remain consistent. Backup files containing sensitive key material require separate encryption and access controls.</w:t>
      </w:r>
    </w:p>
    <w:p>
      <w:pPr>
        <w:pStyle w:val="Heading1"/>
        <w:keepNext/>
      </w:pPr>
      <w:r>
        <w:t>14. Future Enhancements</w:t>
      </w:r>
    </w:p>
    <w:p>
      <w:pPr>
        <w:pStyle w:val="ListBullet"/>
        <w:spacing w:after="40"/>
      </w:pPr>
      <w:r>
        <w:t>Client-side encryption and user-held private keys to reduce server trust.</w:t>
      </w:r>
    </w:p>
    <w:p>
      <w:pPr>
        <w:pStyle w:val="ListBullet"/>
        <w:spacing w:after="40"/>
      </w:pPr>
      <w:r>
        <w:t>Hybrid key establishment combining classical and PQC mechanisms, with a formally defined combiner and threat rationale.</w:t>
      </w:r>
    </w:p>
    <w:p>
      <w:pPr>
        <w:pStyle w:val="ListBullet"/>
        <w:spacing w:after="40"/>
      </w:pPr>
      <w:r>
        <w:t>Multiple recipients with a shared encrypted payload and recipient-specific key envelopes.</w:t>
      </w:r>
    </w:p>
    <w:p>
      <w:pPr>
        <w:pStyle w:val="ListBullet"/>
        <w:spacing w:after="40"/>
      </w:pPr>
      <w:r>
        <w:t>Key transparency or verifiable public-key directory to reduce key-substitution risk.</w:t>
      </w:r>
    </w:p>
    <w:p>
      <w:pPr>
        <w:pStyle w:val="ListBullet"/>
        <w:spacing w:after="40"/>
      </w:pPr>
      <w:r>
        <w:t>Optional SLH-DSA profile for comparative study of a hash-based signature standard.</w:t>
      </w:r>
    </w:p>
    <w:p>
      <w:pPr>
        <w:pStyle w:val="ListBullet"/>
        <w:spacing w:after="40"/>
      </w:pPr>
      <w:r>
        <w:t>Resumable chunked uploads and large-file streaming encryption.</w:t>
      </w:r>
    </w:p>
    <w:p>
      <w:pPr>
        <w:pStyle w:val="ListBullet"/>
        <w:spacing w:after="40"/>
      </w:pPr>
      <w:r>
        <w:t>Organization workspaces, groups, and policy-based sharing.</w:t>
      </w:r>
    </w:p>
    <w:p>
      <w:pPr>
        <w:pStyle w:val="ListBullet"/>
        <w:spacing w:after="40"/>
      </w:pPr>
      <w:r>
        <w:t>MFA, passkeys, and enterprise identity integration.</w:t>
      </w:r>
    </w:p>
    <w:p>
      <w:pPr>
        <w:pStyle w:val="ListBullet"/>
        <w:spacing w:after="40"/>
      </w:pPr>
      <w:r>
        <w:t>Hardware-backed key protection.</w:t>
      </w:r>
    </w:p>
    <w:p>
      <w:pPr>
        <w:pStyle w:val="ListBullet"/>
        <w:spacing w:after="40"/>
      </w:pPr>
      <w:r>
        <w:t>Automated security testing, dependency scanning, and formal protocol analysis.</w:t>
      </w:r>
    </w:p>
    <w:p>
      <w:pPr>
        <w:pStyle w:val="Heading1"/>
        <w:keepNext/>
      </w:pPr>
      <w:r>
        <w:t>15.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rial" w:hAnsi="Arial"/>
                <w:b/>
                <w:color w:val="FFFFFF"/>
                <w:sz w:val="17"/>
              </w:rPr>
              <w:t>Term</w:t>
            </w:r>
          </w:p>
        </w:tc>
        <w:tc>
          <w:tcPr>
            <w:tcW w:type="dxa" w:w="4968"/>
            <w:vAlign w:val="center"/>
            <w:shd w:fill="17365D"/>
          </w:tcPr>
          <w:p>
            <w:pPr>
              <w:spacing w:after="20"/>
            </w:pPr>
            <w:r/>
            <w:r>
              <w:rPr>
                <w:rFonts w:ascii="Arial" w:hAnsi="Arial"/>
                <w:b/>
                <w:color w:val="FFFFFF"/>
                <w:sz w:val="17"/>
              </w:rPr>
              <w:t>Meaning</w:t>
            </w:r>
          </w:p>
        </w:tc>
      </w:tr>
      <w:tr>
        <w:tc>
          <w:tcPr>
            <w:tcW w:type="dxa" w:w="4968"/>
            <w:vAlign w:val="center"/>
          </w:tcPr>
          <w:p>
            <w:pPr>
              <w:spacing w:after="20"/>
            </w:pPr>
            <w:r/>
            <w:r>
              <w:rPr>
                <w:rFonts w:ascii="Arial" w:hAnsi="Arial"/>
                <w:b w:val="0"/>
                <w:sz w:val="16"/>
              </w:rPr>
              <w:t>Authenticated decryption</w:t>
            </w:r>
          </w:p>
        </w:tc>
        <w:tc>
          <w:tcPr>
            <w:tcW w:type="dxa" w:w="4968"/>
            <w:vAlign w:val="center"/>
          </w:tcPr>
          <w:p>
            <w:pPr>
              <w:spacing w:after="20"/>
            </w:pPr>
            <w:r/>
            <w:r>
              <w:rPr>
                <w:rFonts w:ascii="Arial" w:hAnsi="Arial"/>
                <w:b w:val="0"/>
                <w:sz w:val="16"/>
              </w:rPr>
              <w:t>Decryption that verifies an authentication tag and fails if ciphertext or associated data is invalid.</w:t>
            </w:r>
          </w:p>
        </w:tc>
      </w:tr>
      <w:tr>
        <w:tc>
          <w:tcPr>
            <w:tcW w:type="dxa" w:w="4968"/>
            <w:vAlign w:val="center"/>
          </w:tcPr>
          <w:p>
            <w:pPr>
              <w:spacing w:after="20"/>
            </w:pPr>
            <w:r/>
            <w:r>
              <w:rPr>
                <w:rFonts w:ascii="Arial" w:hAnsi="Arial"/>
                <w:b w:val="0"/>
                <w:sz w:val="16"/>
              </w:rPr>
              <w:t>Canonical serialization</w:t>
            </w:r>
          </w:p>
        </w:tc>
        <w:tc>
          <w:tcPr>
            <w:tcW w:type="dxa" w:w="4968"/>
            <w:vAlign w:val="center"/>
          </w:tcPr>
          <w:p>
            <w:pPr>
              <w:spacing w:after="20"/>
            </w:pPr>
            <w:r/>
            <w:r>
              <w:rPr>
                <w:rFonts w:ascii="Arial" w:hAnsi="Arial"/>
                <w:b w:val="0"/>
                <w:sz w:val="16"/>
              </w:rPr>
              <w:t>A deterministic encoding that ensures the same logical data produces identical bytes for signing and verification.</w:t>
            </w:r>
          </w:p>
        </w:tc>
      </w:tr>
      <w:tr>
        <w:tc>
          <w:tcPr>
            <w:tcW w:type="dxa" w:w="4968"/>
            <w:vAlign w:val="center"/>
          </w:tcPr>
          <w:p>
            <w:pPr>
              <w:spacing w:after="20"/>
            </w:pPr>
            <w:r/>
            <w:r>
              <w:rPr>
                <w:rFonts w:ascii="Arial" w:hAnsi="Arial"/>
                <w:b w:val="0"/>
                <w:sz w:val="16"/>
              </w:rPr>
              <w:t>Ciphertext</w:t>
            </w:r>
          </w:p>
        </w:tc>
        <w:tc>
          <w:tcPr>
            <w:tcW w:type="dxa" w:w="4968"/>
            <w:vAlign w:val="center"/>
          </w:tcPr>
          <w:p>
            <w:pPr>
              <w:spacing w:after="20"/>
            </w:pPr>
            <w:r/>
            <w:r>
              <w:rPr>
                <w:rFonts w:ascii="Arial" w:hAnsi="Arial"/>
                <w:b w:val="0"/>
                <w:sz w:val="16"/>
              </w:rPr>
              <w:t>Encrypted data that should not reveal the original plaintext under the security assumptions of the scheme.</w:t>
            </w:r>
          </w:p>
        </w:tc>
      </w:tr>
      <w:tr>
        <w:tc>
          <w:tcPr>
            <w:tcW w:type="dxa" w:w="4968"/>
            <w:vAlign w:val="center"/>
          </w:tcPr>
          <w:p>
            <w:pPr>
              <w:spacing w:after="20"/>
            </w:pPr>
            <w:r/>
            <w:r>
              <w:rPr>
                <w:rFonts w:ascii="Arial" w:hAnsi="Arial"/>
                <w:b w:val="0"/>
                <w:sz w:val="16"/>
              </w:rPr>
              <w:t>Encapsulation</w:t>
            </w:r>
          </w:p>
        </w:tc>
        <w:tc>
          <w:tcPr>
            <w:tcW w:type="dxa" w:w="4968"/>
            <w:vAlign w:val="center"/>
          </w:tcPr>
          <w:p>
            <w:pPr>
              <w:spacing w:after="20"/>
            </w:pPr>
            <w:r/>
            <w:r>
              <w:rPr>
                <w:rFonts w:ascii="Arial" w:hAnsi="Arial"/>
                <w:b w:val="0"/>
                <w:sz w:val="16"/>
              </w:rPr>
              <w:t>KEM operation that uses a recipient public key to produce ciphertext and a shared secret.</w:t>
            </w:r>
          </w:p>
        </w:tc>
      </w:tr>
      <w:tr>
        <w:tc>
          <w:tcPr>
            <w:tcW w:type="dxa" w:w="4968"/>
            <w:vAlign w:val="center"/>
          </w:tcPr>
          <w:p>
            <w:pPr>
              <w:spacing w:after="20"/>
            </w:pPr>
            <w:r/>
            <w:r>
              <w:rPr>
                <w:rFonts w:ascii="Arial" w:hAnsi="Arial"/>
                <w:b w:val="0"/>
                <w:sz w:val="16"/>
              </w:rPr>
              <w:t>Decapsulation</w:t>
            </w:r>
          </w:p>
        </w:tc>
        <w:tc>
          <w:tcPr>
            <w:tcW w:type="dxa" w:w="4968"/>
            <w:vAlign w:val="center"/>
          </w:tcPr>
          <w:p>
            <w:pPr>
              <w:spacing w:after="20"/>
            </w:pPr>
            <w:r/>
            <w:r>
              <w:rPr>
                <w:rFonts w:ascii="Arial" w:hAnsi="Arial"/>
                <w:b w:val="0"/>
                <w:sz w:val="16"/>
              </w:rPr>
              <w:t>KEM operation that uses the corresponding private key and KEM ciphertext to recover the shared secret.</w:t>
            </w:r>
          </w:p>
        </w:tc>
      </w:tr>
      <w:tr>
        <w:tc>
          <w:tcPr>
            <w:tcW w:type="dxa" w:w="4968"/>
            <w:vAlign w:val="center"/>
          </w:tcPr>
          <w:p>
            <w:pPr>
              <w:spacing w:after="20"/>
            </w:pPr>
            <w:r/>
            <w:r>
              <w:rPr>
                <w:rFonts w:ascii="Arial" w:hAnsi="Arial"/>
                <w:b w:val="0"/>
                <w:sz w:val="16"/>
              </w:rPr>
              <w:t>Hybrid cryptography</w:t>
            </w:r>
          </w:p>
        </w:tc>
        <w:tc>
          <w:tcPr>
            <w:tcW w:type="dxa" w:w="4968"/>
            <w:vAlign w:val="center"/>
          </w:tcPr>
          <w:p>
            <w:pPr>
              <w:spacing w:after="20"/>
            </w:pPr>
            <w:r/>
            <w:r>
              <w:rPr>
                <w:rFonts w:ascii="Arial" w:hAnsi="Arial"/>
                <w:b w:val="0"/>
                <w:sz w:val="16"/>
              </w:rPr>
              <w:t>Use of more than one cryptographic mechanism in a combined design; security depends on the exact composition.</w:t>
            </w:r>
          </w:p>
        </w:tc>
      </w:tr>
      <w:tr>
        <w:tc>
          <w:tcPr>
            <w:tcW w:type="dxa" w:w="4968"/>
            <w:vAlign w:val="center"/>
          </w:tcPr>
          <w:p>
            <w:pPr>
              <w:spacing w:after="20"/>
            </w:pPr>
            <w:r/>
            <w:r>
              <w:rPr>
                <w:rFonts w:ascii="Arial" w:hAnsi="Arial"/>
                <w:b w:val="0"/>
                <w:sz w:val="16"/>
              </w:rPr>
              <w:t>Key fingerprint</w:t>
            </w:r>
          </w:p>
        </w:tc>
        <w:tc>
          <w:tcPr>
            <w:tcW w:type="dxa" w:w="4968"/>
            <w:vAlign w:val="center"/>
          </w:tcPr>
          <w:p>
            <w:pPr>
              <w:spacing w:after="20"/>
            </w:pPr>
            <w:r/>
            <w:r>
              <w:rPr>
                <w:rFonts w:ascii="Arial" w:hAnsi="Arial"/>
                <w:b w:val="0"/>
                <w:sz w:val="16"/>
              </w:rPr>
              <w:t>A short representation derived from a public key to help users compare key identity.</w:t>
            </w:r>
          </w:p>
        </w:tc>
      </w:tr>
      <w:tr>
        <w:tc>
          <w:tcPr>
            <w:tcW w:type="dxa" w:w="4968"/>
            <w:vAlign w:val="center"/>
          </w:tcPr>
          <w:p>
            <w:pPr>
              <w:spacing w:after="20"/>
            </w:pPr>
            <w:r/>
            <w:r>
              <w:rPr>
                <w:rFonts w:ascii="Arial" w:hAnsi="Arial"/>
                <w:b w:val="0"/>
                <w:sz w:val="16"/>
              </w:rPr>
              <w:t>Manifest</w:t>
            </w:r>
          </w:p>
        </w:tc>
        <w:tc>
          <w:tcPr>
            <w:tcW w:type="dxa" w:w="4968"/>
            <w:vAlign w:val="center"/>
          </w:tcPr>
          <w:p>
            <w:pPr>
              <w:spacing w:after="20"/>
            </w:pPr>
            <w:r/>
            <w:r>
              <w:rPr>
                <w:rFonts w:ascii="Arial" w:hAnsi="Arial"/>
                <w:b w:val="0"/>
                <w:sz w:val="16"/>
              </w:rPr>
              <w:t>Structured metadata describing a file package and its cryptographic parameters.</w:t>
            </w:r>
          </w:p>
        </w:tc>
      </w:tr>
      <w:tr>
        <w:tc>
          <w:tcPr>
            <w:tcW w:type="dxa" w:w="4968"/>
            <w:vAlign w:val="center"/>
          </w:tcPr>
          <w:p>
            <w:pPr>
              <w:spacing w:after="20"/>
            </w:pPr>
            <w:r/>
            <w:r>
              <w:rPr>
                <w:rFonts w:ascii="Arial" w:hAnsi="Arial"/>
                <w:b w:val="0"/>
                <w:sz w:val="16"/>
              </w:rPr>
              <w:t>Plaintext</w:t>
            </w:r>
          </w:p>
        </w:tc>
        <w:tc>
          <w:tcPr>
            <w:tcW w:type="dxa" w:w="4968"/>
            <w:vAlign w:val="center"/>
          </w:tcPr>
          <w:p>
            <w:pPr>
              <w:spacing w:after="20"/>
            </w:pPr>
            <w:r/>
            <w:r>
              <w:rPr>
                <w:rFonts w:ascii="Arial" w:hAnsi="Arial"/>
                <w:b w:val="0"/>
                <w:sz w:val="16"/>
              </w:rPr>
              <w:t>Original, unencrypted file data.</w:t>
            </w:r>
          </w:p>
        </w:tc>
      </w:tr>
      <w:tr>
        <w:tc>
          <w:tcPr>
            <w:tcW w:type="dxa" w:w="4968"/>
            <w:vAlign w:val="center"/>
          </w:tcPr>
          <w:p>
            <w:pPr>
              <w:spacing w:after="20"/>
            </w:pPr>
            <w:r/>
            <w:r>
              <w:rPr>
                <w:rFonts w:ascii="Arial" w:hAnsi="Arial"/>
                <w:b w:val="0"/>
                <w:sz w:val="16"/>
              </w:rPr>
              <w:t>Recipient grant</w:t>
            </w:r>
          </w:p>
        </w:tc>
        <w:tc>
          <w:tcPr>
            <w:tcW w:type="dxa" w:w="4968"/>
            <w:vAlign w:val="center"/>
          </w:tcPr>
          <w:p>
            <w:pPr>
              <w:spacing w:after="20"/>
            </w:pPr>
            <w:r/>
            <w:r>
              <w:rPr>
                <w:rFonts w:ascii="Arial" w:hAnsi="Arial"/>
                <w:b w:val="0"/>
                <w:sz w:val="16"/>
              </w:rPr>
              <w:t>Authorization record permitting a particular recipient to access a package.</w:t>
            </w:r>
          </w:p>
        </w:tc>
      </w:tr>
      <w:tr>
        <w:tc>
          <w:tcPr>
            <w:tcW w:type="dxa" w:w="4968"/>
            <w:vAlign w:val="center"/>
          </w:tcPr>
          <w:p>
            <w:pPr>
              <w:spacing w:after="20"/>
            </w:pPr>
            <w:r/>
            <w:r>
              <w:rPr>
                <w:rFonts w:ascii="Arial" w:hAnsi="Arial"/>
                <w:b w:val="0"/>
                <w:sz w:val="16"/>
              </w:rPr>
              <w:t>Threat model</w:t>
            </w:r>
          </w:p>
        </w:tc>
        <w:tc>
          <w:tcPr>
            <w:tcW w:type="dxa" w:w="4968"/>
            <w:vAlign w:val="center"/>
          </w:tcPr>
          <w:p>
            <w:pPr>
              <w:spacing w:after="20"/>
            </w:pPr>
            <w:r/>
            <w:r>
              <w:rPr>
                <w:rFonts w:ascii="Arial" w:hAnsi="Arial"/>
                <w:b w:val="0"/>
                <w:sz w:val="16"/>
              </w:rPr>
              <w:t>A structured description of assets, trust boundaries, adversaries, attack paths, and mitigations.</w:t>
            </w:r>
          </w:p>
        </w:tc>
      </w:tr>
    </w:tbl>
    <w:p/>
    <w:p>
      <w:pPr>
        <w:pStyle w:val="Heading1"/>
        <w:keepNext/>
      </w:pPr>
      <w:r>
        <w:t>16. References</w:t>
      </w:r>
    </w:p>
    <w:p>
      <w:pPr>
        <w:pStyle w:val="ListNumber"/>
        <w:spacing w:after="80"/>
      </w:pPr>
      <w:r>
        <w:t>[1] National Institute of Standards and Technology (NIST), FIPS 203: Module-Lattice-Based Key-Encapsulation Mechanism Standard (ML-KEM), final, 13 August 2024. https://doi.org/10.6028/NIST.FIPS.203</w:t>
      </w:r>
    </w:p>
    <w:p>
      <w:pPr>
        <w:pStyle w:val="ListNumber"/>
        <w:spacing w:after="80"/>
      </w:pPr>
      <w:r>
        <w:t>[2] National Institute of Standards and Technology (NIST), FIPS 204: Module-Lattice-Based Digital Signature Standard (ML-DSA), final, 13 August 2024. https://doi.org/10.6028/NIST.FIPS.204</w:t>
      </w:r>
    </w:p>
    <w:p>
      <w:pPr>
        <w:pStyle w:val="ListNumber"/>
        <w:spacing w:after="80"/>
      </w:pPr>
      <w:r>
        <w:t>[3] National Institute of Standards and Technology (NIST), FIPS 205: Stateless Hash-Based Digital Signature Standard (SLH-DSA), final, 13 August 2024. https://doi.org/10.6028/NIST.FIPS.205</w:t>
      </w:r>
    </w:p>
    <w:p>
      <w:pPr>
        <w:pStyle w:val="ListNumber"/>
        <w:spacing w:after="80"/>
      </w:pPr>
      <w:r>
        <w:t>[4] NIST Computer Security Resource Center, Post-Quantum Cryptography Standardization Project. https://csrc.nist.gov/Projects/Post-Quantum-Cryptography</w:t>
      </w:r>
    </w:p>
    <w:p>
      <w:pPr>
        <w:pStyle w:val="ListNumber"/>
        <w:spacing w:after="80"/>
      </w:pPr>
      <w:r>
        <w:t>[5] Krawczyk, H. and Eronen, P., RFC 5869: HMAC-based Extract-and-Expand Key Derivation Function (HKDF), IETF, May 2010. https://www.rfc-editor.org/rfc/rfc5869</w:t>
      </w:r>
    </w:p>
    <w:p>
      <w:pPr>
        <w:pStyle w:val="ListNumber"/>
        <w:spacing w:after="80"/>
      </w:pPr>
      <w:r>
        <w:t>[6] Dworkin, M., NIST SP 800-38D: Recommendation for Block Cipher Modes of Operation: Galois/Counter Mode (GCM) and GMAC, NIST, 2007. https://doi.org/10.6028/NIST.SP.800-38D</w:t>
      </w:r>
    </w:p>
    <w:p>
      <w:pPr>
        <w:pStyle w:val="ListNumber"/>
        <w:spacing w:after="80"/>
      </w:pPr>
      <w:r>
        <w:t>[7] OWASP Foundation, File Upload Cheat Sheet. https://cheatsheetseries.owasp.org/cheatsheets/File_Upload_Cheat_Sheet.html</w:t>
      </w:r>
    </w:p>
    <w:p>
      <w:pPr>
        <w:pStyle w:val="ListNumber"/>
        <w:spacing w:after="80"/>
      </w:pPr>
      <w:r>
        <w:t>[8] OWASP Foundation, Authentication Cheat Sheet. https://cheatsheetseries.owasp.org/cheatsheets/Authentication_Cheat_Sheet.html</w:t>
      </w:r>
    </w:p>
    <w:p>
      <w:pPr>
        <w:pStyle w:val="Heading1"/>
        <w:keepNext/>
      </w:pPr>
      <w:r>
        <w:t>Appendix A. MVP Scope Recommendation</w:t>
      </w:r>
    </w:p>
    <w:p>
      <w:r>
        <w:t>For a time-constrained hackathon, the recommended MVP consists of the following vertical slice:</w:t>
      </w:r>
    </w:p>
    <w:p>
      <w:pPr>
        <w:pStyle w:val="ListNumber"/>
        <w:spacing w:after="40"/>
      </w:pPr>
      <w:r>
        <w:t>Register two demo users and create or register their public keys.</w:t>
      </w:r>
    </w:p>
    <w:p>
      <w:pPr>
        <w:pStyle w:val="ListNumber"/>
        <w:spacing w:after="40"/>
      </w:pPr>
      <w:r>
        <w:t>Share one test file from sender to recipient using ML-KEM-768, HKDF-SHA-256, AES-256-GCM, and ML-DSA-65.</w:t>
      </w:r>
    </w:p>
    <w:p>
      <w:pPr>
        <w:pStyle w:val="ListNumber"/>
        <w:spacing w:after="40"/>
      </w:pPr>
      <w:r>
        <w:t>Verify the signed manifest and decrypt the file as the recipient.</w:t>
      </w:r>
    </w:p>
    <w:p>
      <w:pPr>
        <w:pStyle w:val="ListNumber"/>
        <w:spacing w:after="40"/>
      </w:pPr>
      <w:r>
        <w:t>Demonstrate that ciphertext or manifest tampering causes a safe failure.</w:t>
      </w:r>
    </w:p>
    <w:p>
      <w:pPr>
        <w:pStyle w:val="ListNumber"/>
        <w:spacing w:after="40"/>
      </w:pPr>
      <w:r>
        <w:t>Run a comparable classical workflow using X25519 and Ed25519.</w:t>
      </w:r>
    </w:p>
    <w:p>
      <w:pPr>
        <w:pStyle w:val="ListNumber"/>
        <w:spacing w:after="40"/>
      </w:pPr>
      <w:r>
        <w:t>Display measured timings and key/ciphertext/signature sizes, with the test environment and repetitions shown.</w:t>
      </w:r>
    </w:p>
    <w:p>
      <w:r>
        <w:t>Defer complex account recovery, multi-device synchronization, large-scale group sharing, and production-grade key transparency unless the core workflow is already complete.</w:t>
      </w:r>
    </w:p>
    <w:p>
      <w:pPr>
        <w:pStyle w:val="Heading1"/>
        <w:keepNext/>
      </w:pPr>
      <w:r>
        <w:t>Appendix B. Requirement Traceability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rial" w:hAnsi="Arial"/>
                <w:b/>
                <w:color w:val="FFFFFF"/>
                <w:sz w:val="17"/>
              </w:rPr>
              <w:t>Objective</w:t>
            </w:r>
          </w:p>
        </w:tc>
        <w:tc>
          <w:tcPr>
            <w:tcW w:type="dxa" w:w="3312"/>
            <w:vAlign w:val="center"/>
            <w:shd w:fill="17365D"/>
          </w:tcPr>
          <w:p>
            <w:pPr>
              <w:spacing w:after="20"/>
            </w:pPr>
            <w:r/>
            <w:r>
              <w:rPr>
                <w:rFonts w:ascii="Arial" w:hAnsi="Arial"/>
                <w:b/>
                <w:color w:val="FFFFFF"/>
                <w:sz w:val="17"/>
              </w:rPr>
              <w:t>Related requirements</w:t>
            </w:r>
          </w:p>
        </w:tc>
        <w:tc>
          <w:tcPr>
            <w:tcW w:type="dxa" w:w="3312"/>
            <w:vAlign w:val="center"/>
            <w:shd w:fill="17365D"/>
          </w:tcPr>
          <w:p>
            <w:pPr>
              <w:spacing w:after="20"/>
            </w:pPr>
            <w:r/>
            <w:r>
              <w:rPr>
                <w:rFonts w:ascii="Arial" w:hAnsi="Arial"/>
                <w:b/>
                <w:color w:val="FFFFFF"/>
                <w:sz w:val="17"/>
              </w:rPr>
              <w:t>Acceptance tests</w:t>
            </w:r>
          </w:p>
        </w:tc>
      </w:tr>
      <w:tr>
        <w:tc>
          <w:tcPr>
            <w:tcW w:type="dxa" w:w="3312"/>
            <w:vAlign w:val="center"/>
          </w:tcPr>
          <w:p>
            <w:pPr>
              <w:spacing w:after="20"/>
            </w:pPr>
            <w:r/>
            <w:r>
              <w:rPr>
                <w:rFonts w:ascii="Arial" w:hAnsi="Arial"/>
                <w:b w:val="0"/>
                <w:sz w:val="16"/>
              </w:rPr>
              <w:t>Secure account access</w:t>
            </w:r>
          </w:p>
        </w:tc>
        <w:tc>
          <w:tcPr>
            <w:tcW w:type="dxa" w:w="3312"/>
            <w:vAlign w:val="center"/>
          </w:tcPr>
          <w:p>
            <w:pPr>
              <w:spacing w:after="20"/>
            </w:pPr>
            <w:r/>
            <w:r>
              <w:rPr>
                <w:rFonts w:ascii="Arial" w:hAnsi="Arial"/>
                <w:b w:val="0"/>
                <w:sz w:val="16"/>
              </w:rPr>
              <w:t>FR-001 to FR-005; SEC authentication controls</w:t>
            </w:r>
          </w:p>
        </w:tc>
        <w:tc>
          <w:tcPr>
            <w:tcW w:type="dxa" w:w="3312"/>
            <w:vAlign w:val="center"/>
          </w:tcPr>
          <w:p>
            <w:pPr>
              <w:spacing w:after="20"/>
            </w:pPr>
            <w:r/>
            <w:r>
              <w:rPr>
                <w:rFonts w:ascii="Arial" w:hAnsi="Arial"/>
                <w:b w:val="0"/>
                <w:sz w:val="16"/>
              </w:rPr>
              <w:t>AT-001</w:t>
            </w:r>
          </w:p>
        </w:tc>
      </w:tr>
      <w:tr>
        <w:tc>
          <w:tcPr>
            <w:tcW w:type="dxa" w:w="3312"/>
            <w:vAlign w:val="center"/>
          </w:tcPr>
          <w:p>
            <w:pPr>
              <w:spacing w:after="20"/>
            </w:pPr>
            <w:r/>
            <w:r>
              <w:rPr>
                <w:rFonts w:ascii="Arial" w:hAnsi="Arial"/>
                <w:b w:val="0"/>
                <w:sz w:val="16"/>
              </w:rPr>
              <w:t>Post-quantum file sharing</w:t>
            </w:r>
          </w:p>
        </w:tc>
        <w:tc>
          <w:tcPr>
            <w:tcW w:type="dxa" w:w="3312"/>
            <w:vAlign w:val="center"/>
          </w:tcPr>
          <w:p>
            <w:pPr>
              <w:spacing w:after="20"/>
            </w:pPr>
            <w:r/>
            <w:r>
              <w:rPr>
                <w:rFonts w:ascii="Arial" w:hAnsi="Arial"/>
                <w:b w:val="0"/>
                <w:sz w:val="16"/>
              </w:rPr>
              <w:t>FR-006 to FR-028; SEC cryptographic profile and key management</w:t>
            </w:r>
          </w:p>
        </w:tc>
        <w:tc>
          <w:tcPr>
            <w:tcW w:type="dxa" w:w="3312"/>
            <w:vAlign w:val="center"/>
          </w:tcPr>
          <w:p>
            <w:pPr>
              <w:spacing w:after="20"/>
            </w:pPr>
            <w:r/>
            <w:r>
              <w:rPr>
                <w:rFonts w:ascii="Arial" w:hAnsi="Arial"/>
                <w:b w:val="0"/>
                <w:sz w:val="16"/>
              </w:rPr>
              <w:t>AT-002 to AT-007</w:t>
            </w:r>
          </w:p>
        </w:tc>
      </w:tr>
      <w:tr>
        <w:tc>
          <w:tcPr>
            <w:tcW w:type="dxa" w:w="3312"/>
            <w:vAlign w:val="center"/>
          </w:tcPr>
          <w:p>
            <w:pPr>
              <w:spacing w:after="20"/>
            </w:pPr>
            <w:r/>
            <w:r>
              <w:rPr>
                <w:rFonts w:ascii="Arial" w:hAnsi="Arial"/>
                <w:b w:val="0"/>
                <w:sz w:val="16"/>
              </w:rPr>
              <w:t>Access control and revocation</w:t>
            </w:r>
          </w:p>
        </w:tc>
        <w:tc>
          <w:tcPr>
            <w:tcW w:type="dxa" w:w="3312"/>
            <w:vAlign w:val="center"/>
          </w:tcPr>
          <w:p>
            <w:pPr>
              <w:spacing w:after="20"/>
            </w:pPr>
            <w:r/>
            <w:r>
              <w:rPr>
                <w:rFonts w:ascii="Arial" w:hAnsi="Arial"/>
                <w:b w:val="0"/>
                <w:sz w:val="16"/>
              </w:rPr>
              <w:t>FR-021 to FR-030; authorization rules</w:t>
            </w:r>
          </w:p>
        </w:tc>
        <w:tc>
          <w:tcPr>
            <w:tcW w:type="dxa" w:w="3312"/>
            <w:vAlign w:val="center"/>
          </w:tcPr>
          <w:p>
            <w:pPr>
              <w:spacing w:after="20"/>
            </w:pPr>
            <w:r/>
            <w:r>
              <w:rPr>
                <w:rFonts w:ascii="Arial" w:hAnsi="Arial"/>
                <w:b w:val="0"/>
                <w:sz w:val="16"/>
              </w:rPr>
              <w:t>AT-005, AT-008</w:t>
            </w:r>
          </w:p>
        </w:tc>
      </w:tr>
      <w:tr>
        <w:tc>
          <w:tcPr>
            <w:tcW w:type="dxa" w:w="3312"/>
            <w:vAlign w:val="center"/>
          </w:tcPr>
          <w:p>
            <w:pPr>
              <w:spacing w:after="20"/>
            </w:pPr>
            <w:r/>
            <w:r>
              <w:rPr>
                <w:rFonts w:ascii="Arial" w:hAnsi="Arial"/>
                <w:b w:val="0"/>
                <w:sz w:val="16"/>
              </w:rPr>
              <w:t>Safe operations</w:t>
            </w:r>
          </w:p>
        </w:tc>
        <w:tc>
          <w:tcPr>
            <w:tcW w:type="dxa" w:w="3312"/>
            <w:vAlign w:val="center"/>
          </w:tcPr>
          <w:p>
            <w:pPr>
              <w:spacing w:after="20"/>
            </w:pPr>
            <w:r/>
            <w:r>
              <w:rPr>
                <w:rFonts w:ascii="Arial" w:hAnsi="Arial"/>
                <w:b w:val="0"/>
                <w:sz w:val="16"/>
              </w:rPr>
              <w:t>FR-037 to FR-045; NFR-006, NFR-012, NFR-014</w:t>
            </w:r>
          </w:p>
        </w:tc>
        <w:tc>
          <w:tcPr>
            <w:tcW w:type="dxa" w:w="3312"/>
            <w:vAlign w:val="center"/>
          </w:tcPr>
          <w:p>
            <w:pPr>
              <w:spacing w:after="20"/>
            </w:pPr>
            <w:r/>
            <w:r>
              <w:rPr>
                <w:rFonts w:ascii="Arial" w:hAnsi="Arial"/>
                <w:b w:val="0"/>
                <w:sz w:val="16"/>
              </w:rPr>
              <w:t>AT-011 to AT-014</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PQC-Secure SRS  •  Version 1.0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PQC-SECURE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