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86D4B" w14:textId="338C2BAA" w:rsidR="00771393" w:rsidRPr="00771393" w:rsidRDefault="00771393" w:rsidP="00771393">
      <w:pPr>
        <w:pStyle w:val="Heading1"/>
        <w:rPr>
          <w:sz w:val="36"/>
          <w:szCs w:val="36"/>
        </w:rPr>
      </w:pPr>
      <w:r w:rsidRPr="00771393">
        <w:rPr>
          <w:sz w:val="36"/>
          <w:szCs w:val="36"/>
        </w:rPr>
        <w:t>Code development and calculation flowsheet for finding estimate of Shell NGL Ethane, Propane and Butane flows</w:t>
      </w:r>
    </w:p>
    <w:p w14:paraId="2C729900" w14:textId="18436B4F" w:rsidR="00771393" w:rsidRPr="00771393" w:rsidRDefault="00771393" w:rsidP="00771393">
      <w:pPr>
        <w:pStyle w:val="Heading2"/>
        <w:rPr>
          <w:sz w:val="28"/>
          <w:szCs w:val="28"/>
        </w:rPr>
      </w:pPr>
      <w:r w:rsidRPr="00771393">
        <w:rPr>
          <w:sz w:val="28"/>
          <w:szCs w:val="28"/>
        </w:rPr>
        <w:t>Abstract</w:t>
      </w:r>
    </w:p>
    <w:p w14:paraId="2ACB34BC" w14:textId="640D1F24" w:rsidR="00F26939" w:rsidRDefault="003D075E">
      <w:r>
        <w:t xml:space="preserve">To get an understanding of the products and their rough </w:t>
      </w:r>
      <w:r w:rsidR="00946221">
        <w:t xml:space="preserve">flows available to us, several assumptions were made and NSTA data was used to generate a rough model </w:t>
      </w:r>
      <w:r w:rsidR="00F26939">
        <w:t>showing the likely decline of ethane, propane and butane throughput for the duration of the project.</w:t>
      </w:r>
    </w:p>
    <w:p w14:paraId="4079AA9E" w14:textId="3F5C4ED3" w:rsidR="003D075E" w:rsidRPr="00E95724" w:rsidRDefault="00E95724" w:rsidP="00E95724">
      <w:pPr>
        <w:pStyle w:val="Heading2"/>
        <w:rPr>
          <w:sz w:val="28"/>
          <w:szCs w:val="28"/>
        </w:rPr>
      </w:pPr>
      <w:r w:rsidRPr="00E95724">
        <w:rPr>
          <w:sz w:val="28"/>
          <w:szCs w:val="28"/>
        </w:rPr>
        <w:t>AI Prompting/Coding</w:t>
      </w:r>
    </w:p>
    <w:p w14:paraId="6B97B29D" w14:textId="7C5BF1FC" w:rsidR="00673B24" w:rsidRDefault="00594874" w:rsidP="00673B24">
      <w:r>
        <w:t xml:space="preserve">Full ChatGPT prompts used to develop </w:t>
      </w:r>
      <w:r w:rsidR="004C18F8">
        <w:t>model for Ethane, Propane and Butane production at She</w:t>
      </w:r>
      <w:r w:rsidR="00953C07">
        <w:t>ll NGL plant</w:t>
      </w:r>
    </w:p>
    <w:p w14:paraId="14E86336" w14:textId="40C434FE" w:rsidR="00953C07" w:rsidRPr="00673B24" w:rsidRDefault="00953C07" w:rsidP="00673B24">
      <w:hyperlink r:id="rId5" w:history="1">
        <w:r w:rsidRPr="00CA62E6">
          <w:rPr>
            <w:rStyle w:val="Hyperlink"/>
          </w:rPr>
          <w:t>https://chatgpt.com/share/6ab38f36-1a64-83ed-8bc9-2e344f504a65</w:t>
        </w:r>
      </w:hyperlink>
    </w:p>
    <w:p w14:paraId="539E3690" w14:textId="5C35A739" w:rsidR="00E36A92" w:rsidRPr="00E36A92" w:rsidRDefault="00E36A92" w:rsidP="00673B24">
      <w:pPr>
        <w:pStyle w:val="Heading2"/>
      </w:pPr>
      <w:r w:rsidRPr="00E36A92">
        <w:t>Code Development and Calculation Metho</w:t>
      </w:r>
      <w:r w:rsidR="00673B24">
        <w:t>d</w:t>
      </w:r>
    </w:p>
    <w:p w14:paraId="77A012F8" w14:textId="77777777" w:rsidR="00E36A92" w:rsidRPr="00E36A92" w:rsidRDefault="00E36A92" w:rsidP="00E36A92">
      <w:r w:rsidRPr="00E36A92">
        <w:t>The Python model was developed in stages so that the main assumptions, baseline calculations and scenario calculations are kept separate. This makes the model easier to check and update.</w:t>
      </w:r>
    </w:p>
    <w:p w14:paraId="53049A12" w14:textId="2F644651" w:rsidR="00E36A92" w:rsidRPr="00E36A92" w:rsidRDefault="00E36A92" w:rsidP="00E36A92">
      <w:pPr>
        <w:pStyle w:val="Heading3"/>
      </w:pPr>
      <w:r w:rsidRPr="00E36A92">
        <w:t>Input assumptions</w:t>
      </w:r>
    </w:p>
    <w:p w14:paraId="7297869E" w14:textId="77777777" w:rsidR="00E36A92" w:rsidRPr="00E36A92" w:rsidRDefault="00E36A92" w:rsidP="00E36A92">
      <w:r w:rsidRPr="00E36A92">
        <w:t>All main numerical assumptions are stored in assumptions.py. These include the 2025 St Fergus gas throughput, the proportion attributed to UK and Norwegian supply, the 2024 Fife NGL throughput, the historical Fife NGL product split, and the project period of 2028–2063.</w:t>
      </w:r>
    </w:p>
    <w:p w14:paraId="3A1452AF" w14:textId="77777777" w:rsidR="00E36A92" w:rsidRPr="00E36A92" w:rsidRDefault="00E36A92" w:rsidP="00E36A92">
      <w:r w:rsidRPr="00E36A92">
        <w:t>The model uses a 2025 St Fergus gas throughput of:</w:t>
      </w:r>
    </w:p>
    <w:p w14:paraId="38B4E402" w14:textId="22A5DFB7" w:rsidR="00E36A92" w:rsidRPr="00E36A92" w:rsidRDefault="00E36A92" w:rsidP="00E36A92">
      <m:oMathPara>
        <m:oMath>
          <m:sSub>
            <m:sSubPr>
              <m:ctrlPr>
                <w:rPr>
                  <w:rFonts w:ascii="Cambria Math" w:hAnsi="Cambria Math"/>
                </w:rPr>
              </m:ctrlPr>
            </m:sSubPr>
            <m:e>
              <m:r>
                <w:rPr>
                  <w:rFonts w:ascii="Cambria Math" w:hAnsi="Cambria Math"/>
                </w:rPr>
                <m:t>G</m:t>
              </m:r>
            </m:e>
            <m:sub>
              <m:r>
                <w:rPr>
                  <w:rFonts w:ascii="Cambria Math" w:hAnsi="Cambria Math"/>
                </w:rPr>
                <m:t>2025</m:t>
              </m:r>
            </m:sub>
          </m:sSub>
          <m:r>
            <w:rPr>
              <w:rFonts w:ascii="Cambria Math" w:hAnsi="Cambria Math"/>
            </w:rPr>
            <m:t>=7.5+4.7+3.7=15.9</m:t>
          </m:r>
          <m:r>
            <m:rPr>
              <m:nor/>
            </m:rPr>
            <m:t> bcm/y</m:t>
          </m:r>
          <m:r>
            <w:br/>
          </m:r>
        </m:oMath>
      </m:oMathPara>
    </w:p>
    <w:p w14:paraId="0E9BF1CD" w14:textId="77777777" w:rsidR="00E36A92" w:rsidRPr="00E36A92" w:rsidRDefault="00E36A92" w:rsidP="00E36A92">
      <w:r w:rsidRPr="00E36A92">
        <w:t>The Norwegian contribution is calculated from the Norwegian fractions of the SEGAL, FUKA and SAGE systems:</w:t>
      </w:r>
    </w:p>
    <w:p w14:paraId="0F980D7B" w14:textId="2F56F497" w:rsidR="00E36A92" w:rsidRPr="00E36A92" w:rsidRDefault="00E36A92" w:rsidP="00E36A92">
      <m:oMathPara>
        <m:oMath>
          <m:sSub>
            <m:sSubPr>
              <m:ctrlPr>
                <w:rPr>
                  <w:rFonts w:ascii="Cambria Math" w:hAnsi="Cambria Math"/>
                </w:rPr>
              </m:ctrlPr>
            </m:sSubPr>
            <m:e>
              <m:r>
                <w:rPr>
                  <w:rFonts w:ascii="Cambria Math" w:hAnsi="Cambria Math"/>
                </w:rPr>
                <m:t>G</m:t>
              </m:r>
            </m:e>
            <m:sub>
              <m:r>
                <m:rPr>
                  <m:nor/>
                </m:rPr>
                <m:t>Norway,2025</m:t>
              </m:r>
            </m:sub>
          </m:sSub>
          <m:r>
            <w:rPr>
              <w:rFonts w:ascii="Cambria Math" w:hAnsi="Cambria Math"/>
            </w:rPr>
            <m:t>=7.5</m:t>
          </m:r>
          <m:d>
            <m:dPr>
              <m:ctrlPr>
                <w:rPr>
                  <w:rFonts w:ascii="Cambria Math" w:hAnsi="Cambria Math"/>
                </w:rPr>
              </m:ctrlPr>
            </m:dPr>
            <m:e>
              <m:r>
                <w:rPr>
                  <w:rFonts w:ascii="Cambria Math" w:hAnsi="Cambria Math"/>
                </w:rPr>
                <m:t>0.54</m:t>
              </m:r>
            </m:e>
          </m:d>
          <m:r>
            <w:rPr>
              <w:rFonts w:ascii="Cambria Math" w:hAnsi="Cambria Math"/>
            </w:rPr>
            <m:t>+4.7</m:t>
          </m:r>
          <m:d>
            <m:dPr>
              <m:ctrlPr>
                <w:rPr>
                  <w:rFonts w:ascii="Cambria Math" w:hAnsi="Cambria Math"/>
                </w:rPr>
              </m:ctrlPr>
            </m:dPr>
            <m:e>
              <m:r>
                <w:rPr>
                  <w:rFonts w:ascii="Cambria Math" w:hAnsi="Cambria Math"/>
                </w:rPr>
                <m:t>0.31</m:t>
              </m:r>
            </m:e>
          </m:d>
          <m:r>
            <w:rPr>
              <w:rFonts w:ascii="Cambria Math" w:hAnsi="Cambria Math"/>
            </w:rPr>
            <m:t>+3.7</m:t>
          </m:r>
          <m:d>
            <m:dPr>
              <m:ctrlPr>
                <w:rPr>
                  <w:rFonts w:ascii="Cambria Math" w:hAnsi="Cambria Math"/>
                </w:rPr>
              </m:ctrlPr>
            </m:dPr>
            <m:e>
              <m:r>
                <w:rPr>
                  <w:rFonts w:ascii="Cambria Math" w:hAnsi="Cambria Math"/>
                </w:rPr>
                <m:t>0.38</m:t>
              </m:r>
            </m:e>
          </m:d>
          <m:r>
            <w:br/>
          </m:r>
        </m:oMath>
        <m:oMath>
          <m:sSub>
            <m:sSubPr>
              <m:ctrlPr>
                <w:rPr>
                  <w:rFonts w:ascii="Cambria Math" w:hAnsi="Cambria Math"/>
                </w:rPr>
              </m:ctrlPr>
            </m:sSubPr>
            <m:e>
              <m:r>
                <w:rPr>
                  <w:rFonts w:ascii="Cambria Math" w:hAnsi="Cambria Math"/>
                </w:rPr>
                <m:t>G</m:t>
              </m:r>
            </m:e>
            <m:sub>
              <m:r>
                <m:rPr>
                  <m:nor/>
                </m:rPr>
                <m:t>Norway,2025</m:t>
              </m:r>
            </m:sub>
          </m:sSub>
          <m:r>
            <w:rPr>
              <w:rFonts w:ascii="Cambria Math" w:hAnsi="Cambria Math"/>
            </w:rPr>
            <m:t>=6.913</m:t>
          </m:r>
          <m:r>
            <m:rPr>
              <m:nor/>
            </m:rPr>
            <m:t> bcm/y</m:t>
          </m:r>
          <m:r>
            <w:br/>
          </m:r>
        </m:oMath>
      </m:oMathPara>
    </w:p>
    <w:p w14:paraId="5749F083" w14:textId="77777777" w:rsidR="00E36A92" w:rsidRPr="00E36A92" w:rsidRDefault="00E36A92" w:rsidP="00E36A92">
      <w:r w:rsidRPr="00E36A92">
        <w:t>The remaining gas is treated as UK supply:</w:t>
      </w:r>
    </w:p>
    <w:p w14:paraId="4A9CC0B5" w14:textId="582CA782" w:rsidR="00E36A92" w:rsidRPr="00E36A92" w:rsidRDefault="00E36A92" w:rsidP="00E36A92">
      <m:oMathPara>
        <m:oMath>
          <m:sSub>
            <m:sSubPr>
              <m:ctrlPr>
                <w:rPr>
                  <w:rFonts w:ascii="Cambria Math" w:hAnsi="Cambria Math"/>
                </w:rPr>
              </m:ctrlPr>
            </m:sSubPr>
            <m:e>
              <m:r>
                <w:rPr>
                  <w:rFonts w:ascii="Cambria Math" w:hAnsi="Cambria Math"/>
                </w:rPr>
                <m:t>G</m:t>
              </m:r>
            </m:e>
            <m:sub>
              <m:r>
                <m:rPr>
                  <m:nor/>
                </m:rPr>
                <m:t>UK,2025</m:t>
              </m:r>
            </m:sub>
          </m:sSub>
          <m:r>
            <w:rPr>
              <w:rFonts w:ascii="Cambria Math" w:hAnsi="Cambria Math"/>
            </w:rPr>
            <m:t>=15.9-6.913=8.987</m:t>
          </m:r>
          <m:r>
            <m:rPr>
              <m:nor/>
            </m:rPr>
            <m:t> bcm/y</m:t>
          </m:r>
          <m:r>
            <w:br/>
          </m:r>
        </m:oMath>
      </m:oMathPara>
    </w:p>
    <w:p w14:paraId="7A99C7E7" w14:textId="789FAB54" w:rsidR="00E36A92" w:rsidRPr="00E36A92" w:rsidRDefault="00E36A92" w:rsidP="00E36A92">
      <w:pPr>
        <w:pStyle w:val="Heading3"/>
      </w:pPr>
      <w:r w:rsidRPr="00E36A92">
        <w:t>UK gas projection</w:t>
      </w:r>
    </w:p>
    <w:p w14:paraId="7896D530" w14:textId="77777777" w:rsidR="00E36A92" w:rsidRPr="00E36A92" w:rsidRDefault="00E36A92" w:rsidP="00E36A92">
      <w:r w:rsidRPr="00E36A92">
        <w:t>model.py reads the NSTA February 2026 gas-production projection directly from the supplied Excel workbook.</w:t>
      </w:r>
    </w:p>
    <w:p w14:paraId="4D7D7E69" w14:textId="77777777" w:rsidR="00E36A92" w:rsidRPr="00E36A92" w:rsidRDefault="00E36A92" w:rsidP="00E36A92">
      <w:r w:rsidRPr="00E36A92">
        <w:t>For 2026–2050, total UK gas production is multiplied by the assumed proportion relevant to St Fergus:</w:t>
      </w:r>
    </w:p>
    <w:p w14:paraId="6267523E" w14:textId="06FC5711" w:rsidR="00E36A92" w:rsidRPr="00E36A92" w:rsidRDefault="00E36A92" w:rsidP="00E36A92">
      <m:oMathPara>
        <m:oMath>
          <m:sSub>
            <m:sSubPr>
              <m:ctrlPr>
                <w:rPr>
                  <w:rFonts w:ascii="Cambria Math" w:hAnsi="Cambria Math"/>
                </w:rPr>
              </m:ctrlPr>
            </m:sSubPr>
            <m:e>
              <m:r>
                <w:rPr>
                  <w:rFonts w:ascii="Cambria Math" w:hAnsi="Cambria Math"/>
                </w:rPr>
                <m:t>G</m:t>
              </m:r>
            </m:e>
            <m:sub>
              <m:r>
                <m:rPr>
                  <m:nor/>
                </m:rPr>
                <m:t>UK,StFergus</m:t>
              </m:r>
              <m:r>
                <w:rPr>
                  <w:rFonts w:ascii="Cambria Math" w:hAnsi="Cambria Math"/>
                </w:rPr>
                <m:t>,t</m:t>
              </m:r>
            </m:sub>
          </m:sSub>
          <m:r>
            <w:rPr>
              <w:rFonts w:ascii="Cambria Math" w:hAnsi="Cambria Math"/>
            </w:rPr>
            <m:t>=0.32</m:t>
          </m:r>
          <m:sSub>
            <m:sSubPr>
              <m:ctrlPr>
                <w:rPr>
                  <w:rFonts w:ascii="Cambria Math" w:hAnsi="Cambria Math"/>
                </w:rPr>
              </m:ctrlPr>
            </m:sSubPr>
            <m:e>
              <m:r>
                <w:rPr>
                  <w:rFonts w:ascii="Cambria Math" w:hAnsi="Cambria Math"/>
                </w:rPr>
                <m:t>G</m:t>
              </m:r>
            </m:e>
            <m:sub>
              <m:r>
                <m:rPr>
                  <m:nor/>
                </m:rPr>
                <m:t>UK,NSTA</m:t>
              </m:r>
              <m:r>
                <w:rPr>
                  <w:rFonts w:ascii="Cambria Math" w:hAnsi="Cambria Math"/>
                </w:rPr>
                <m:t>,t</m:t>
              </m:r>
            </m:sub>
          </m:sSub>
          <m:r>
            <w:br/>
          </m:r>
        </m:oMath>
      </m:oMathPara>
    </w:p>
    <w:p w14:paraId="30CAF508" w14:textId="77777777" w:rsidR="00E36A92" w:rsidRPr="00E36A92" w:rsidRDefault="00E36A92" w:rsidP="00E36A92">
      <w:r w:rsidRPr="00E36A92">
        <w:lastRenderedPageBreak/>
        <w:t>NSTA projections finish in 2050. From 2051–2063, the model applies a reproducible annual decline between 9% and 13%.</w:t>
      </w:r>
    </w:p>
    <w:p w14:paraId="75270BF2" w14:textId="00DBAF93" w:rsidR="00E36A92" w:rsidRPr="00E36A92" w:rsidRDefault="00E36A92" w:rsidP="00E36A92">
      <w:pPr>
        <w:pStyle w:val="Heading3"/>
      </w:pPr>
      <w:r w:rsidRPr="00E36A92">
        <w:t>Norwegian gas projection</w:t>
      </w:r>
    </w:p>
    <w:p w14:paraId="76022D29" w14:textId="77777777" w:rsidR="00E36A92" w:rsidRPr="00E36A92" w:rsidRDefault="00E36A92" w:rsidP="00E36A92">
      <w:r w:rsidRPr="00E36A92">
        <w:t>The Norwegian contribution is no longer represented by a single assumed decline rate.</w:t>
      </w:r>
    </w:p>
    <w:p w14:paraId="4C8B6D9D" w14:textId="77777777" w:rsidR="00E36A92" w:rsidRPr="00E36A92" w:rsidRDefault="00E36A92" w:rsidP="00E36A92">
      <w:r w:rsidRPr="00E36A92">
        <w:t>Instead, the 2025 St Fergus-related Norwegian quantity is scaled using the Norwegian Offshore Directorate national sales-gas production profile.</w:t>
      </w:r>
    </w:p>
    <w:p w14:paraId="1BF8F348" w14:textId="77777777" w:rsidR="00E36A92" w:rsidRPr="00E36A92" w:rsidRDefault="00E36A92" w:rsidP="00E36A92">
      <w:r w:rsidRPr="00E36A92">
        <w:t>For each year:</w:t>
      </w:r>
    </w:p>
    <w:p w14:paraId="3899E36E" w14:textId="307AD4DA" w:rsidR="00E36A92" w:rsidRPr="00E36A92" w:rsidRDefault="00E36A92" w:rsidP="00E36A92">
      <m:oMathPara>
        <m:oMath>
          <m:sSub>
            <m:sSubPr>
              <m:ctrlPr>
                <w:rPr>
                  <w:rFonts w:ascii="Cambria Math" w:hAnsi="Cambria Math"/>
                </w:rPr>
              </m:ctrlPr>
            </m:sSubPr>
            <m:e>
              <m:r>
                <w:rPr>
                  <w:rFonts w:ascii="Cambria Math" w:hAnsi="Cambria Math"/>
                </w:rPr>
                <m:t>G</m:t>
              </m:r>
            </m:e>
            <m:sub>
              <m:r>
                <m:rPr>
                  <m:nor/>
                </m:rPr>
                <m:t>Norway,StFergus</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m:rPr>
                  <m:nor/>
                </m:rPr>
                <m:t>Norway,2025</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m:t>Norway</m:t>
                      </m:r>
                      <m:r>
                        <w:rPr>
                          <w:rFonts w:ascii="Cambria Math" w:hAnsi="Cambria Math"/>
                        </w:rPr>
                        <m:t>,t</m:t>
                      </m:r>
                    </m:sub>
                  </m:sSub>
                </m:num>
                <m:den>
                  <m:sSub>
                    <m:sSubPr>
                      <m:ctrlPr>
                        <w:rPr>
                          <w:rFonts w:ascii="Cambria Math" w:hAnsi="Cambria Math"/>
                        </w:rPr>
                      </m:ctrlPr>
                    </m:sSubPr>
                    <m:e>
                      <m:r>
                        <w:rPr>
                          <w:rFonts w:ascii="Cambria Math" w:hAnsi="Cambria Math"/>
                        </w:rPr>
                        <m:t>P</m:t>
                      </m:r>
                    </m:e>
                    <m:sub>
                      <m:r>
                        <m:rPr>
                          <m:nor/>
                        </m:rPr>
                        <m:t>Norway</m:t>
                      </m:r>
                      <m:r>
                        <w:rPr>
                          <w:rFonts w:ascii="Cambria Math" w:hAnsi="Cambria Math"/>
                        </w:rPr>
                        <m:t>,2025</m:t>
                      </m:r>
                    </m:sub>
                  </m:sSub>
                </m:den>
              </m:f>
            </m:e>
          </m:d>
          <m:r>
            <w:br/>
          </m:r>
        </m:oMath>
      </m:oMathPara>
    </w:p>
    <w:p w14:paraId="02B6B760" w14:textId="535BC694" w:rsidR="00E36A92" w:rsidRPr="00E36A92" w:rsidRDefault="00E36A92" w:rsidP="00E36A92">
      <w:r w:rsidRPr="00E36A92">
        <w:t xml:space="preserve">where </w:t>
      </w:r>
      <m:oMath>
        <m:sSub>
          <m:sSubPr>
            <m:ctrlPr>
              <w:rPr>
                <w:rFonts w:ascii="Cambria Math" w:hAnsi="Cambria Math"/>
              </w:rPr>
            </m:ctrlPr>
          </m:sSubPr>
          <m:e>
            <m:r>
              <w:rPr>
                <w:rFonts w:ascii="Cambria Math" w:hAnsi="Cambria Math"/>
              </w:rPr>
              <m:t>P</m:t>
            </m:r>
          </m:e>
          <m:sub>
            <m:r>
              <m:rPr>
                <m:nor/>
              </m:rPr>
              <m:t>Norway</m:t>
            </m:r>
            <m:r>
              <w:rPr>
                <w:rFonts w:ascii="Cambria Math" w:hAnsi="Cambria Math"/>
              </w:rPr>
              <m:t>,t</m:t>
            </m:r>
          </m:sub>
        </m:sSub>
      </m:oMath>
      <w:r w:rsidRPr="00E36A92">
        <w:t>is Norwegian national gas production.</w:t>
      </w:r>
    </w:p>
    <w:p w14:paraId="36A58B22" w14:textId="77777777" w:rsidR="00E36A92" w:rsidRPr="00E36A92" w:rsidRDefault="00E36A92" w:rsidP="00E36A92">
      <w:r w:rsidRPr="00E36A92">
        <w:t>The source-based trajectory is used to 2035. After 2035, the model continues the decline rate implied by the 2030–2035 Norwegian production trend.</w:t>
      </w:r>
    </w:p>
    <w:p w14:paraId="07D7661B" w14:textId="04452A69" w:rsidR="00E36A92" w:rsidRPr="00E36A92" w:rsidRDefault="00E36A92" w:rsidP="00E36A92">
      <w:pPr>
        <w:pStyle w:val="Heading3"/>
      </w:pPr>
      <w:r w:rsidRPr="00E36A92">
        <w:t>Total gas relevant to Fife NGL</w:t>
      </w:r>
    </w:p>
    <w:p w14:paraId="6D74E09D" w14:textId="77777777" w:rsidR="00E36A92" w:rsidRPr="00E36A92" w:rsidRDefault="00E36A92" w:rsidP="00E36A92">
      <w:r w:rsidRPr="00E36A92">
        <w:t>UK and Norwegian gas are then combined:</w:t>
      </w:r>
    </w:p>
    <w:p w14:paraId="37D9D9D3" w14:textId="73F81AE5" w:rsidR="00E36A92" w:rsidRPr="00E36A92" w:rsidRDefault="00E36A92" w:rsidP="00E36A92">
      <m:oMathPara>
        <m:oMath>
          <m:sSub>
            <m:sSubPr>
              <m:ctrlPr>
                <w:rPr>
                  <w:rFonts w:ascii="Cambria Math" w:hAnsi="Cambria Math"/>
                </w:rPr>
              </m:ctrlPr>
            </m:sSubPr>
            <m:e>
              <m:r>
                <w:rPr>
                  <w:rFonts w:ascii="Cambria Math" w:hAnsi="Cambria Math"/>
                </w:rPr>
                <m:t>G</m:t>
              </m:r>
            </m:e>
            <m:sub>
              <m:r>
                <m:rPr>
                  <m:nor/>
                </m:rPr>
                <m:t>total</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m:rPr>
                  <m:nor/>
                </m:rPr>
                <m:t>UK</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m:rPr>
                  <m:nor/>
                </m:rPr>
                <m:t>Norway</m:t>
              </m:r>
              <m:r>
                <w:rPr>
                  <w:rFonts w:ascii="Cambria Math" w:hAnsi="Cambria Math"/>
                </w:rPr>
                <m:t>,t</m:t>
              </m:r>
            </m:sub>
          </m:sSub>
          <m:r>
            <w:br/>
          </m:r>
        </m:oMath>
      </m:oMathPara>
    </w:p>
    <w:p w14:paraId="3B8657FB" w14:textId="77777777" w:rsidR="00E36A92" w:rsidRPr="00E36A92" w:rsidRDefault="00E36A92" w:rsidP="00E36A92">
      <w:r w:rsidRPr="00E36A92">
        <w:t>This represents the gas supply assumed to be relevant to the Fife NGL system.</w:t>
      </w:r>
    </w:p>
    <w:p w14:paraId="2BEA1A57" w14:textId="0ED7C689" w:rsidR="00E36A92" w:rsidRPr="00E36A92" w:rsidRDefault="00E36A92" w:rsidP="008B0A11">
      <w:pPr>
        <w:pStyle w:val="Heading3"/>
      </w:pPr>
      <w:r w:rsidRPr="00E36A92">
        <w:t>Conversion to Fife NGL throughput</w:t>
      </w:r>
    </w:p>
    <w:p w14:paraId="4F01537F" w14:textId="77777777" w:rsidR="00E36A92" w:rsidRPr="00E36A92" w:rsidRDefault="00E36A92" w:rsidP="00E36A92">
      <w:r w:rsidRPr="00E36A92">
        <w:t>The model assumes that Fife NGL throughput changes in proportion to the relevant gas supply.</w:t>
      </w:r>
    </w:p>
    <w:p w14:paraId="00ED0B74" w14:textId="77777777" w:rsidR="00E36A92" w:rsidRPr="00E36A92" w:rsidRDefault="00E36A92" w:rsidP="00E36A92">
      <w:r w:rsidRPr="00E36A92">
        <w:t>The 2024/2025 baseline throughput is 2,237 kt/y, giving:</w:t>
      </w:r>
    </w:p>
    <w:p w14:paraId="20DD0C3A" w14:textId="4CB192FC" w:rsidR="00E36A92" w:rsidRPr="00E36A92" w:rsidRDefault="00E36A92" w:rsidP="00E36A92">
      <m:oMathPara>
        <m:oMath>
          <m:r>
            <w:rPr>
              <w:rFonts w:ascii="Cambria Math" w:hAnsi="Cambria Math"/>
            </w:rPr>
            <m:t>NG</m:t>
          </m:r>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=2237</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G</m:t>
                      </m:r>
                    </m:e>
                    <m:sub>
                      <m:r>
                        <m:rPr>
                          <m:nor/>
                        </m:rPr>
                        <m:t>total</m:t>
                      </m:r>
                      <m:r>
                        <w:rPr>
                          <w:rFonts w:ascii="Cambria Math" w:hAnsi="Cambria Math"/>
                        </w:rPr>
                        <m:t>,t</m:t>
                      </m:r>
                    </m:sub>
                  </m:sSub>
                </m:num>
                <m:den>
                  <m:r>
                    <w:rPr>
                      <w:rFonts w:ascii="Cambria Math" w:hAnsi="Cambria Math"/>
                    </w:rPr>
                    <m:t>15.9</m:t>
                  </m:r>
                </m:den>
              </m:f>
            </m:e>
          </m:d>
          <m:r>
            <w:br/>
          </m:r>
        </m:oMath>
      </m:oMathPara>
    </w:p>
    <w:p w14:paraId="5B2AD18E" w14:textId="77777777" w:rsidR="00E36A92" w:rsidRPr="00E36A92" w:rsidRDefault="00E36A92" w:rsidP="00E36A92">
      <w:r w:rsidRPr="00E36A92">
        <w:t>This assumes that average NGL richness, recovery and routing remain sufficiently similar for proportional scaling to be suitable for screening.</w:t>
      </w:r>
    </w:p>
    <w:p w14:paraId="14B61AAE" w14:textId="021243C8" w:rsidR="00E36A92" w:rsidRPr="00E36A92" w:rsidRDefault="00E36A92" w:rsidP="008B0A11">
      <w:pPr>
        <w:pStyle w:val="Heading3"/>
      </w:pPr>
      <w:r w:rsidRPr="00E36A92">
        <w:t>Conversion to individual feedstocks</w:t>
      </w:r>
    </w:p>
    <w:p w14:paraId="292A382A" w14:textId="588A4174" w:rsidR="00E36A92" w:rsidRPr="00E36A92" w:rsidRDefault="00E36A92" w:rsidP="00E36A92">
      <w:r w:rsidRPr="00E36A92">
        <w:t xml:space="preserve">Historical 2018 and 2020 Fife NGL </w:t>
      </w:r>
      <w:r w:rsidR="008B0A11">
        <w:t xml:space="preserve">material balance </w:t>
      </w:r>
      <w:r w:rsidRPr="00E36A92">
        <w:t>data are used to define representative product mass fractions:</w:t>
      </w:r>
    </w:p>
    <w:p w14:paraId="53B96A84" w14:textId="3BDDB0CE" w:rsidR="00E36A92" w:rsidRPr="00E36A92" w:rsidRDefault="00E36A92" w:rsidP="00E36A92">
      <m:oMathPara>
        <m:oMath>
          <m:sSub>
            <m:sSubPr>
              <m:ctrlPr>
                <w:rPr>
                  <w:rFonts w:ascii="Cambria Math" w:hAnsi="Cambria Math"/>
                </w:rPr>
              </m:ctrlPr>
            </m:sSubPr>
            <m:e>
              <m:r>
                <w:rPr>
                  <w:rFonts w:ascii="Cambria Math" w:hAnsi="Cambria Math"/>
                </w:rPr>
                <m:t>x</m:t>
              </m:r>
            </m:e>
            <m:sub>
              <m:r>
                <m:rPr>
                  <m:nor/>
                </m:rPr>
                <m:t>ethane</m:t>
              </m:r>
            </m:sub>
          </m:sSub>
          <m:r>
            <w:rPr>
              <w:rFonts w:ascii="Cambria Math" w:hAnsi="Cambria Math"/>
            </w:rPr>
            <m:t>=0.2824</m:t>
          </m:r>
          <m:r>
            <w:rPr>
              <w:i/>
            </w:rPr>
            <w:br/>
          </m:r>
        </m:oMath>
        <m:oMath>
          <m:sSub>
            <m:sSubPr>
              <m:ctrlPr>
                <w:rPr>
                  <w:rFonts w:ascii="Cambria Math" w:hAnsi="Cambria Math"/>
                </w:rPr>
              </m:ctrlPr>
            </m:sSubPr>
            <m:e>
              <m:r>
                <w:rPr>
                  <w:rFonts w:ascii="Cambria Math" w:hAnsi="Cambria Math"/>
                </w:rPr>
                <m:t>x</m:t>
              </m:r>
            </m:e>
            <m:sub>
              <m:r>
                <m:rPr>
                  <m:nor/>
                </m:rPr>
                <m:t>propane</m:t>
              </m:r>
            </m:sub>
          </m:sSub>
          <m:r>
            <w:rPr>
              <w:rFonts w:ascii="Cambria Math" w:hAnsi="Cambria Math"/>
            </w:rPr>
            <m:t>=0.3219</m:t>
          </m:r>
          <m:r>
            <w:rPr>
              <w:i/>
            </w:rPr>
            <w:br/>
          </m:r>
        </m:oMath>
        <m:oMath>
          <m:sSub>
            <m:sSubPr>
              <m:ctrlPr>
                <w:rPr>
                  <w:rFonts w:ascii="Cambria Math" w:hAnsi="Cambria Math"/>
                </w:rPr>
              </m:ctrlPr>
            </m:sSubPr>
            <m:e>
              <m:r>
                <w:rPr>
                  <w:rFonts w:ascii="Cambria Math" w:hAnsi="Cambria Math"/>
                </w:rPr>
                <m:t>x</m:t>
              </m:r>
            </m:e>
            <m:sub>
              <m:r>
                <m:rPr>
                  <m:nor/>
                </m:rPr>
                <m:t>butane</m:t>
              </m:r>
            </m:sub>
          </m:sSub>
          <m:r>
            <w:rPr>
              <w:rFonts w:ascii="Cambria Math" w:hAnsi="Cambria Math"/>
            </w:rPr>
            <m:t>=0.2296</m:t>
          </m:r>
          <m:r>
            <w:rPr>
              <w:i/>
            </w:rPr>
            <w:br/>
          </m:r>
        </m:oMath>
        <m:oMath>
          <m:sSub>
            <m:sSubPr>
              <m:ctrlPr>
                <w:rPr>
                  <w:rFonts w:ascii="Cambria Math" w:hAnsi="Cambria Math"/>
                </w:rPr>
              </m:ctrlPr>
            </m:sSubPr>
            <m:e>
              <m:r>
                <w:rPr>
                  <w:rFonts w:ascii="Cambria Math" w:hAnsi="Cambria Math"/>
                </w:rPr>
                <m:t>x</m:t>
              </m:r>
            </m:e>
            <m:sub>
              <m:r>
                <m:rPr>
                  <m:nor/>
                </m:rPr>
                <m:t>gasoline</m:t>
              </m:r>
            </m:sub>
          </m:sSub>
          <m:r>
            <w:rPr>
              <w:rFonts w:ascii="Cambria Math" w:hAnsi="Cambria Math"/>
            </w:rPr>
            <m:t>=0.1661</m:t>
          </m:r>
          <m:r>
            <w:rPr>
              <w:i/>
            </w:rPr>
            <w:br/>
          </m:r>
        </m:oMath>
      </m:oMathPara>
    </w:p>
    <w:p w14:paraId="0B3819D5" w14:textId="77777777" w:rsidR="00E36A92" w:rsidRPr="00E36A92" w:rsidRDefault="00E36A92" w:rsidP="00E36A92">
      <w:r w:rsidRPr="00E36A92">
        <w:t>Individual product availability is calculated as:</w:t>
      </w:r>
    </w:p>
    <w:p w14:paraId="0243A59F" w14:textId="250F7900" w:rsidR="00E36A92" w:rsidRPr="00E36A92" w:rsidRDefault="00E36A92" w:rsidP="00E36A92">
      <m:oMathPara>
        <m:oMath>
          <m:sSub>
            <m:sSubPr>
              <m:ctrlPr>
                <w:rPr>
                  <w:rFonts w:ascii="Cambria Math" w:hAnsi="Cambria Math"/>
                </w:rPr>
              </m:ctrlPr>
            </m:sSubPr>
            <m:e>
              <m:r>
                <w:rPr>
                  <w:rFonts w:ascii="Cambria Math" w:hAnsi="Cambria Math"/>
                </w:rPr>
                <m:t>M</m:t>
              </m:r>
            </m:e>
            <m:sub>
              <m:r>
                <w:rPr>
                  <w:rFonts w:ascii="Cambria Math" w:hAnsi="Cambria Math"/>
                </w:rPr>
                <m:t>i,t</m:t>
              </m:r>
            </m:sub>
          </m:sSub>
          <m:r>
            <w:rPr>
              <w:rFonts w:ascii="Cambria Math" w:hAnsi="Cambria Math"/>
            </w:rPr>
            <m:t>=NG</m:t>
          </m:r>
          <m:sSub>
            <m:sSubPr>
              <m:ctrlPr>
                <w:rPr>
                  <w:rFonts w:ascii="Cambria Math" w:hAnsi="Cambria Math"/>
                </w:rPr>
              </m:ctrlPr>
            </m:sSubPr>
            <m:e>
              <m:r>
                <w:rPr>
                  <w:rFonts w:ascii="Cambria Math" w:hAnsi="Cambria Math"/>
                </w:rPr>
                <m:t>L</m:t>
              </m:r>
            </m:e>
            <m:sub>
              <m:r>
                <w:rPr>
                  <w:rFonts w:ascii="Cambria Math" w:hAnsi="Cambria Math"/>
                </w:rPr>
                <m:t>t</m:t>
              </m:r>
            </m:sub>
          </m:sSub>
          <m:sSub>
            <m:sSubPr>
              <m:ctrlPr>
                <w:rPr>
                  <w:rFonts w:ascii="Cambria Math" w:hAnsi="Cambria Math"/>
                </w:rPr>
              </m:ctrlPr>
            </m:sSubPr>
            <m:e>
              <m:r>
                <w:rPr>
                  <w:rFonts w:ascii="Cambria Math" w:hAnsi="Cambria Math"/>
                </w:rPr>
                <m:t>x</m:t>
              </m:r>
            </m:e>
            <m:sub>
              <m:r>
                <w:rPr>
                  <w:rFonts w:ascii="Cambria Math" w:hAnsi="Cambria Math"/>
                </w:rPr>
                <m:t>i</m:t>
              </m:r>
            </m:sub>
          </m:sSub>
          <m:r>
            <w:br/>
          </m:r>
        </m:oMath>
      </m:oMathPara>
    </w:p>
    <w:p w14:paraId="783582CD" w14:textId="77777777" w:rsidR="00E36A92" w:rsidRPr="00E36A92" w:rsidRDefault="00E36A92" w:rsidP="00E36A92">
      <w:r w:rsidRPr="00E36A92">
        <w:t>For example:</w:t>
      </w:r>
    </w:p>
    <w:p w14:paraId="37E7DB9A" w14:textId="7D40747A" w:rsidR="00E36A92" w:rsidRPr="00E36A92" w:rsidRDefault="00E36A92" w:rsidP="00E36A92">
      <m:oMathPara>
        <m:oMath>
          <m:sSub>
            <m:sSubPr>
              <m:ctrlPr>
                <w:rPr>
                  <w:rFonts w:ascii="Cambria Math" w:hAnsi="Cambria Math"/>
                </w:rPr>
              </m:ctrlPr>
            </m:sSubPr>
            <m:e>
              <m:r>
                <w:rPr>
                  <w:rFonts w:ascii="Cambria Math" w:hAnsi="Cambria Math"/>
                </w:rPr>
                <m:t>M</m:t>
              </m:r>
            </m:e>
            <m:sub>
              <m:r>
                <m:rPr>
                  <m:nor/>
                </m:rPr>
                <m:t>ethane</m:t>
              </m:r>
              <m:r>
                <w:rPr>
                  <w:rFonts w:ascii="Cambria Math" w:hAnsi="Cambria Math"/>
                </w:rPr>
                <m:t>,t</m:t>
              </m:r>
            </m:sub>
          </m:sSub>
          <m:r>
            <w:rPr>
              <w:rFonts w:ascii="Cambria Math" w:hAnsi="Cambria Math"/>
            </w:rPr>
            <m:t>=NG</m:t>
          </m:r>
          <m:sSub>
            <m:sSubPr>
              <m:ctrlPr>
                <w:rPr>
                  <w:rFonts w:ascii="Cambria Math" w:hAnsi="Cambria Math"/>
                </w:rPr>
              </m:ctrlPr>
            </m:sSubPr>
            <m:e>
              <m:r>
                <w:rPr>
                  <w:rFonts w:ascii="Cambria Math" w:hAnsi="Cambria Math"/>
                </w:rPr>
                <m:t>L</m:t>
              </m:r>
            </m:e>
            <m:sub>
              <m:r>
                <w:rPr>
                  <w:rFonts w:ascii="Cambria Math" w:hAnsi="Cambria Math"/>
                </w:rPr>
                <m:t>t</m:t>
              </m:r>
            </m:sub>
          </m:sSub>
          <m:d>
            <m:dPr>
              <m:ctrlPr>
                <w:rPr>
                  <w:rFonts w:ascii="Cambria Math" w:hAnsi="Cambria Math"/>
                </w:rPr>
              </m:ctrlPr>
            </m:dPr>
            <m:e>
              <m:r>
                <w:rPr>
                  <w:rFonts w:ascii="Cambria Math" w:hAnsi="Cambria Math"/>
                </w:rPr>
                <m:t>0.2824</m:t>
              </m:r>
            </m:e>
          </m:d>
          <m:r>
            <w:br/>
          </m:r>
        </m:oMath>
      </m:oMathPara>
    </w:p>
    <w:p w14:paraId="54E0675B" w14:textId="77777777" w:rsidR="00E36A92" w:rsidRPr="00E36A92" w:rsidRDefault="00E36A92" w:rsidP="00E36A92">
      <w:r w:rsidRPr="00E36A92">
        <w:t>The scenario analysis focuses on ethane, propane and butane.</w:t>
      </w:r>
    </w:p>
    <w:p w14:paraId="3FE9E1AE" w14:textId="29F3A7B3" w:rsidR="00E36A92" w:rsidRPr="00E36A92" w:rsidRDefault="00E36A92" w:rsidP="008B0A11">
      <w:pPr>
        <w:pStyle w:val="Heading3"/>
      </w:pPr>
      <w:r w:rsidRPr="00E36A92">
        <w:t>Development of scenarios</w:t>
      </w:r>
      <w:r w:rsidR="008B0A11">
        <w:t>/cases</w:t>
      </w:r>
    </w:p>
    <w:p w14:paraId="0A839EF7" w14:textId="77777777" w:rsidR="00E36A92" w:rsidRPr="00E36A92" w:rsidRDefault="00E36A92" w:rsidP="00E36A92">
      <w:r w:rsidRPr="00E36A92">
        <w:t>The baseline output from model.py is passed into scenarios.py, where three future UKCS cases are created:</w:t>
      </w:r>
    </w:p>
    <w:p w14:paraId="63190B61" w14:textId="6096CB07" w:rsidR="008B0A11" w:rsidRDefault="00E36A92" w:rsidP="008B0A11">
      <w:pPr>
        <w:pStyle w:val="Heading4"/>
      </w:pPr>
      <w:r w:rsidRPr="008B0A11">
        <w:t>NSTA Reference</w:t>
      </w:r>
      <w:r w:rsidR="008B0A11">
        <w:t xml:space="preserve"> </w:t>
      </w:r>
      <w:r w:rsidR="000F78DD">
        <w:t>case</w:t>
      </w:r>
      <w:r w:rsidR="008B0A11">
        <w:t xml:space="preserve">: </w:t>
      </w:r>
    </w:p>
    <w:p w14:paraId="76761988" w14:textId="6F24B462" w:rsidR="00E36A92" w:rsidRPr="00E36A92" w:rsidRDefault="00E36A92" w:rsidP="008B0A11">
      <w:pPr>
        <w:pStyle w:val="ListParagraph"/>
        <w:numPr>
          <w:ilvl w:val="0"/>
          <w:numId w:val="2"/>
        </w:numPr>
      </w:pPr>
      <w:r w:rsidRPr="00E36A92">
        <w:t>follows the baseline NSTA projection</w:t>
      </w:r>
      <w:r w:rsidR="008B0A11">
        <w:t xml:space="preserve"> from February 2026</w:t>
      </w:r>
      <w:r w:rsidRPr="00E36A92">
        <w:t xml:space="preserve"> with no additional development uplift.</w:t>
      </w:r>
    </w:p>
    <w:p w14:paraId="025E2D6B" w14:textId="4D7B5B4C" w:rsidR="008B0A11" w:rsidRDefault="00E36A92" w:rsidP="008B0A11">
      <w:pPr>
        <w:pStyle w:val="Heading4"/>
      </w:pPr>
      <w:r w:rsidRPr="008B0A11">
        <w:t>Rosebank + Jackdaw</w:t>
      </w:r>
      <w:r w:rsidR="000F78DD">
        <w:t xml:space="preserve"> case</w:t>
      </w:r>
      <w:r w:rsidR="008B0A11">
        <w:t xml:space="preserve">: </w:t>
      </w:r>
    </w:p>
    <w:p w14:paraId="2BBE7244" w14:textId="41B8587F" w:rsidR="00E36A92" w:rsidRPr="00E36A92" w:rsidRDefault="00E36A92" w:rsidP="008B0A11">
      <w:pPr>
        <w:pStyle w:val="ListParagraph"/>
        <w:numPr>
          <w:ilvl w:val="0"/>
          <w:numId w:val="2"/>
        </w:numPr>
      </w:pPr>
      <w:r w:rsidRPr="00E36A92">
        <w:t xml:space="preserve">adds the published gas-production profiles of the two fields to the NSTA Reference. The Jackdaw profile is shifted by </w:t>
      </w:r>
      <w:r w:rsidR="008B0A11">
        <w:t>two</w:t>
      </w:r>
      <w:r w:rsidRPr="00E36A92">
        <w:t xml:space="preserve"> years and the Rosebank profile by one year so that all scenarios have the same 2026 starting point and begin diverging in 2027.</w:t>
      </w:r>
    </w:p>
    <w:p w14:paraId="443257EB" w14:textId="77777777" w:rsidR="00E36A92" w:rsidRPr="00E36A92" w:rsidRDefault="00E36A92" w:rsidP="00E36A92">
      <w:r w:rsidRPr="00E36A92">
        <w:t>The calculation is:</w:t>
      </w:r>
    </w:p>
    <w:p w14:paraId="5A63BB92" w14:textId="5255F31F" w:rsidR="00E36A92" w:rsidRPr="00E36A92" w:rsidRDefault="00E36A92" w:rsidP="00E36A92">
      <m:oMathPara>
        <m:oMath>
          <m:sSub>
            <m:sSubPr>
              <m:ctrlPr>
                <w:rPr>
                  <w:rFonts w:ascii="Cambria Math" w:hAnsi="Cambria Math"/>
                </w:rPr>
              </m:ctrlPr>
            </m:sSubPr>
            <m:e>
              <m:r>
                <w:rPr>
                  <w:rFonts w:ascii="Cambria Math" w:hAnsi="Cambria Math"/>
                </w:rPr>
                <m:t>G</m:t>
              </m:r>
            </m:e>
            <m:sub>
              <m:r>
                <m:rPr>
                  <m:nor/>
                </m:rPr>
                <m:t>RJ</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m:rPr>
                  <m:nor/>
                </m:rPr>
                <m:t>Reference</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m:rPr>
                  <m:nor/>
                </m:rPr>
                <m:t>Jackdaw</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m:rPr>
                  <m:nor/>
                </m:rPr>
                <m:t>Rosebank</m:t>
              </m:r>
              <m:r>
                <w:rPr>
                  <w:rFonts w:ascii="Cambria Math" w:hAnsi="Cambria Math"/>
                </w:rPr>
                <m:t>,t</m:t>
              </m:r>
            </m:sub>
          </m:sSub>
          <m:r>
            <w:br/>
          </m:r>
        </m:oMath>
      </m:oMathPara>
    </w:p>
    <w:p w14:paraId="3CE76CDC" w14:textId="6F0D876E" w:rsidR="00E36A92" w:rsidRPr="008B0A11" w:rsidRDefault="00E36A92" w:rsidP="00E36A92">
      <w:r w:rsidRPr="00E36A92">
        <w:t>Jackdaw contributes until 2035 and Rosebank until 2052.</w:t>
      </w:r>
    </w:p>
    <w:p w14:paraId="16ED90D2" w14:textId="77777777" w:rsidR="008B0A11" w:rsidRDefault="00E36A92" w:rsidP="008B0A11">
      <w:pPr>
        <w:pStyle w:val="Heading4"/>
      </w:pPr>
      <w:r w:rsidRPr="00E36A92">
        <w:t xml:space="preserve">Max Drilling case </w:t>
      </w:r>
    </w:p>
    <w:p w14:paraId="1548023A" w14:textId="02D9DD3F" w:rsidR="00E36A92" w:rsidRPr="00E36A92" w:rsidRDefault="008B0A11" w:rsidP="008B0A11">
      <w:r>
        <w:t>B</w:t>
      </w:r>
      <w:r w:rsidR="00E36A92" w:rsidRPr="00E36A92">
        <w:t>ased on the OEUK Upside Potential case.</w:t>
      </w:r>
    </w:p>
    <w:p w14:paraId="068A176F" w14:textId="77777777" w:rsidR="00E36A92" w:rsidRPr="00E36A92" w:rsidRDefault="00E36A92" w:rsidP="00E36A92">
      <w:r w:rsidRPr="00E36A92">
        <w:t>The model uses the published constraints of:</w:t>
      </w:r>
    </w:p>
    <w:p w14:paraId="7AB19ED0" w14:textId="3D44FC02" w:rsidR="00E36A92" w:rsidRPr="00E36A92" w:rsidRDefault="00E36A92" w:rsidP="00E36A92">
      <m:oMathPara>
        <m:oMath>
          <m:r>
            <w:rPr>
              <w:rFonts w:ascii="Cambria Math" w:hAnsi="Cambria Math"/>
            </w:rPr>
            <m:t>26.588</m:t>
          </m:r>
          <m:r>
            <m:rPr>
              <m:nor/>
            </m:rPr>
            <m:t> bcm/y in 2030</m:t>
          </m:r>
          <m:r>
            <w:br/>
          </m:r>
        </m:oMath>
        <m:oMath>
          <m:r>
            <w:rPr>
              <w:rFonts w:ascii="Cambria Math" w:hAnsi="Cambria Math"/>
            </w:rPr>
            <m:t>26.180</m:t>
          </m:r>
          <m:r>
            <m:rPr>
              <m:nor/>
            </m:rPr>
            <m:t> bcm/y in 2035</m:t>
          </m:r>
        </m:oMath>
      </m:oMathPara>
    </w:p>
    <w:p w14:paraId="0B269930" w14:textId="77777777" w:rsidR="00E36A92" w:rsidRPr="00E36A92" w:rsidRDefault="00E36A92" w:rsidP="00E36A92">
      <w:r w:rsidRPr="00E36A92">
        <w:t>and:</w:t>
      </w:r>
    </w:p>
    <w:p w14:paraId="62CF7138" w14:textId="1A84BE08" w:rsidR="00E36A92" w:rsidRPr="00E36A92" w:rsidRDefault="00E36A92" w:rsidP="00E36A92">
      <m:oMathPara>
        <m:oMath>
          <m:r>
            <w:rPr>
              <w:rFonts w:ascii="Cambria Math" w:hAnsi="Cambria Math"/>
            </w:rPr>
            <m:t>456</m:t>
          </m:r>
          <m:r>
            <m:rPr>
              <m:nor/>
            </m:rPr>
            <m:t> bcm cumulative production from 2025–2050</m:t>
          </m:r>
        </m:oMath>
      </m:oMathPara>
    </w:p>
    <w:p w14:paraId="4B3766AE" w14:textId="77777777" w:rsidR="00E36A92" w:rsidRPr="00E36A92" w:rsidRDefault="00E36A92" w:rsidP="00E36A92">
      <w:r w:rsidRPr="00E36A92">
        <w:t>Because a complete annual OEUK series is not available, the model interpolates between the published values.</w:t>
      </w:r>
    </w:p>
    <w:p w14:paraId="276B0C49" w14:textId="77777777" w:rsidR="00E36A92" w:rsidRPr="00E36A92" w:rsidRDefault="00E36A92" w:rsidP="00E36A92">
      <w:r w:rsidRPr="00E36A92">
        <w:t>From 2036 onward, an exponential decline factor is calculated so that cumulative UK production between 2025 and 2050 equals 456 bcm.</w:t>
      </w:r>
    </w:p>
    <w:p w14:paraId="50C315A6" w14:textId="77777777" w:rsidR="00E36A92" w:rsidRPr="00E36A92" w:rsidRDefault="00E36A92" w:rsidP="00E36A92">
      <w:r w:rsidRPr="00E36A92">
        <w:t>The resulting total UK production is then allocated to St Fergus using the same 32% assumption:</w:t>
      </w:r>
    </w:p>
    <w:p w14:paraId="672265EE" w14:textId="55D1A960" w:rsidR="00E36A92" w:rsidRPr="00E36A92" w:rsidRDefault="00E36A92" w:rsidP="00E36A92">
      <m:oMathPara>
        <m:oMath>
          <m:sSub>
            <m:sSubPr>
              <m:ctrlPr>
                <w:rPr>
                  <w:rFonts w:ascii="Cambria Math" w:hAnsi="Cambria Math"/>
                </w:rPr>
              </m:ctrlPr>
            </m:sSubPr>
            <m:e>
              <m:r>
                <w:rPr>
                  <w:rFonts w:ascii="Cambria Math" w:hAnsi="Cambria Math"/>
                </w:rPr>
                <m:t>G</m:t>
              </m:r>
            </m:e>
            <m:sub>
              <m:r>
                <m:rPr>
                  <m:nor/>
                </m:rPr>
                <m:t>OEUK,StFergus</m:t>
              </m:r>
              <m:r>
                <w:rPr>
                  <w:rFonts w:ascii="Cambria Math" w:hAnsi="Cambria Math"/>
                </w:rPr>
                <m:t>,t</m:t>
              </m:r>
            </m:sub>
          </m:sSub>
          <m:r>
            <w:rPr>
              <w:rFonts w:ascii="Cambria Math" w:hAnsi="Cambria Math"/>
            </w:rPr>
            <m:t>=0.32</m:t>
          </m:r>
          <m:sSub>
            <m:sSubPr>
              <m:ctrlPr>
                <w:rPr>
                  <w:rFonts w:ascii="Cambria Math" w:hAnsi="Cambria Math"/>
                </w:rPr>
              </m:ctrlPr>
            </m:sSubPr>
            <m:e>
              <m:r>
                <w:rPr>
                  <w:rFonts w:ascii="Cambria Math" w:hAnsi="Cambria Math"/>
                </w:rPr>
                <m:t>G</m:t>
              </m:r>
            </m:e>
            <m:sub>
              <m:r>
                <m:rPr>
                  <m:nor/>
                </m:rPr>
                <m:t>OEUK</m:t>
              </m:r>
              <m:r>
                <w:rPr>
                  <w:rFonts w:ascii="Cambria Math" w:hAnsi="Cambria Math"/>
                </w:rPr>
                <m:t>,t</m:t>
              </m:r>
            </m:sub>
          </m:sSub>
          <m:r>
            <w:br/>
          </m:r>
        </m:oMath>
      </m:oMathPara>
    </w:p>
    <w:p w14:paraId="2DAD597E" w14:textId="77777777" w:rsidR="00E36A92" w:rsidRPr="00E36A92" w:rsidRDefault="00E36A92" w:rsidP="00E36A92">
      <w:r w:rsidRPr="00E36A92">
        <w:t>The Norwegian baseline contribution is then added.</w:t>
      </w:r>
    </w:p>
    <w:p w14:paraId="6E4EFE2D" w14:textId="77777777" w:rsidR="00E36A92" w:rsidRPr="00E36A92" w:rsidRDefault="00E36A92" w:rsidP="00E36A92">
      <w:r w:rsidRPr="00E36A92">
        <w:t>To maintain Max Drilling as the upper development sensitivity:</w:t>
      </w:r>
    </w:p>
    <w:p w14:paraId="677A0885" w14:textId="373F6CE6" w:rsidR="00E36A92" w:rsidRPr="00E36A92" w:rsidRDefault="00E36A92" w:rsidP="00E36A92">
      <m:oMathPara>
        <m:oMath>
          <m:sSub>
            <m:sSubPr>
              <m:ctrlPr>
                <w:rPr>
                  <w:rFonts w:ascii="Cambria Math" w:hAnsi="Cambria Math"/>
                </w:rPr>
              </m:ctrlPr>
            </m:sSubPr>
            <m:e>
              <m:r>
                <w:rPr>
                  <w:rFonts w:ascii="Cambria Math" w:hAnsi="Cambria Math"/>
                </w:rPr>
                <m:t>G</m:t>
              </m:r>
            </m:e>
            <m:sub>
              <m:r>
                <m:rPr>
                  <m:nor/>
                </m:rPr>
                <m:t>Max</m:t>
              </m:r>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max</m:t>
              </m:r>
            </m:fName>
            <m:e>
              <m:d>
                <m:dPr>
                  <m:sep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OEUK case</m:t>
                      </m:r>
                      <m:r>
                        <w:rPr>
                          <w:rFonts w:ascii="Cambria Math" w:hAnsi="Cambria Math"/>
                        </w:rPr>
                        <m:t>,t</m:t>
                      </m:r>
                    </m:sub>
                  </m:sSub>
                </m:e>
                <m:e>
                  <m:sSub>
                    <m:sSubPr>
                      <m:ctrlPr>
                        <w:rPr>
                          <w:rFonts w:ascii="Cambria Math" w:hAnsi="Cambria Math"/>
                        </w:rPr>
                      </m:ctrlPr>
                    </m:sSubPr>
                    <m:e>
                      <m:r>
                        <w:rPr>
                          <w:rFonts w:ascii="Cambria Math" w:hAnsi="Cambria Math"/>
                        </w:rPr>
                        <m:t>G</m:t>
                      </m:r>
                    </m:e>
                    <m:sub>
                      <m:r>
                        <m:rPr>
                          <m:nor/>
                        </m:rPr>
                        <m:t>Rosebank+Jackdaw</m:t>
                      </m:r>
                      <m:r>
                        <w:rPr>
                          <w:rFonts w:ascii="Cambria Math" w:hAnsi="Cambria Math"/>
                        </w:rPr>
                        <m:t>,t</m:t>
                      </m:r>
                    </m:sub>
                  </m:sSub>
                </m:e>
              </m:d>
            </m:e>
          </m:func>
          <m:r>
            <w:br/>
          </m:r>
        </m:oMath>
      </m:oMathPara>
    </w:p>
    <w:p w14:paraId="4FA5C00A" w14:textId="77777777" w:rsidR="00E36A92" w:rsidRPr="00E36A92" w:rsidRDefault="00E36A92" w:rsidP="00E36A92">
      <w:r w:rsidRPr="00E36A92">
        <w:t>Rosebank and Jackdaw are not added separately to the OEUK case because this could double count developments already represented within the wider OEUK opportunity.</w:t>
      </w:r>
    </w:p>
    <w:p w14:paraId="24C524CA" w14:textId="6F1BD8AA" w:rsidR="00E36A92" w:rsidRPr="00E36A92" w:rsidRDefault="00E36A92" w:rsidP="008B0A11">
      <w:pPr>
        <w:pStyle w:val="Heading3"/>
      </w:pPr>
      <w:r w:rsidRPr="00E36A92">
        <w:lastRenderedPageBreak/>
        <w:t>Final scenario feedstock calculation</w:t>
      </w:r>
    </w:p>
    <w:p w14:paraId="3A21151A" w14:textId="77777777" w:rsidR="00E36A92" w:rsidRPr="00E36A92" w:rsidRDefault="00E36A92" w:rsidP="00E36A92">
      <w:r w:rsidRPr="00E36A92">
        <w:t>For each scenario, the calculated gas supply is converted into Fife NGL throughput using the same proportional scaling relationship and then split into ethane, propane and butane using the same product mass fractions.</w:t>
      </w:r>
    </w:p>
    <w:p w14:paraId="2233575F" w14:textId="77777777" w:rsidR="00E36A92" w:rsidRPr="00E36A92" w:rsidRDefault="00E36A92" w:rsidP="00E36A92">
      <w:r w:rsidRPr="00E36A92">
        <w:t>This means the only difference between scenarios is the assumed future gas supply; the Fife NGL conversion method remains unchanged.</w:t>
      </w:r>
    </w:p>
    <w:p w14:paraId="26AB9195" w14:textId="72D16494" w:rsidR="00E36A92" w:rsidRPr="000D5249" w:rsidRDefault="00E36A92" w:rsidP="008B0A11">
      <w:pPr>
        <w:pStyle w:val="Heading3"/>
        <w:rPr>
          <w:sz w:val="24"/>
          <w:szCs w:val="24"/>
        </w:rPr>
      </w:pPr>
      <w:r w:rsidRPr="000D5249">
        <w:rPr>
          <w:sz w:val="24"/>
          <w:szCs w:val="24"/>
        </w:rPr>
        <w:t>Model outputs and checks</w:t>
      </w:r>
    </w:p>
    <w:p w14:paraId="1EFCD234" w14:textId="77777777" w:rsidR="00E36A92" w:rsidRPr="00E36A92" w:rsidRDefault="00E36A92" w:rsidP="00E36A92">
      <w:r w:rsidRPr="00E36A92">
        <w:t>run_scenarios.py runs all three cases from the same baseline model, checks that all scenarios are identical in 2026, verifies that no negative or missing values occur, and confirms that the Max Drilling case never falls below Rosebank + Jackdaw.</w:t>
      </w:r>
    </w:p>
    <w:p w14:paraId="3DB7A7D4" w14:textId="790AABDA" w:rsidR="004C18F8" w:rsidRDefault="00E36A92">
      <w:r w:rsidRPr="00E36A92">
        <w:t>The final outputs are stored in Excel workbooks containing the full scenario results and direct comparisons for ethane, propane and butane.</w:t>
      </w:r>
    </w:p>
    <w:p w14:paraId="3D0F1EC3" w14:textId="1425FCD1" w:rsidR="00475E29" w:rsidRDefault="00FD6ECD" w:rsidP="00FD6ECD">
      <w:pPr>
        <w:pStyle w:val="Heading2"/>
        <w:rPr>
          <w:sz w:val="28"/>
          <w:szCs w:val="28"/>
        </w:rPr>
      </w:pPr>
      <w:r w:rsidRPr="00FD6ECD">
        <w:rPr>
          <w:sz w:val="28"/>
          <w:szCs w:val="28"/>
        </w:rPr>
        <w:t>Results</w:t>
      </w:r>
      <w:r w:rsidR="000A29E7">
        <w:rPr>
          <w:sz w:val="28"/>
          <w:szCs w:val="28"/>
        </w:rPr>
        <w:t xml:space="preserve"> and Analysis</w:t>
      </w:r>
    </w:p>
    <w:p w14:paraId="7EED216B" w14:textId="4D715EF3" w:rsidR="00940D24" w:rsidRPr="00940D24" w:rsidRDefault="00940D24" w:rsidP="00940D24">
      <w:pPr>
        <w:pStyle w:val="Heading3"/>
      </w:pPr>
      <w:r>
        <w:t>Raw Data</w:t>
      </w:r>
    </w:p>
    <w:p w14:paraId="64CAE1AC" w14:textId="5F5DC042" w:rsidR="000A29E7" w:rsidRDefault="000A29E7" w:rsidP="000A29E7">
      <w:r>
        <w:t>The results can be found in:</w:t>
      </w:r>
    </w:p>
    <w:p w14:paraId="2D288673" w14:textId="4641177F" w:rsidR="000A29E7" w:rsidRDefault="00940D24" w:rsidP="000A29E7">
      <w:r w:rsidRPr="00940D24">
        <w:t>C:\Users\Joe\OneDrive - Heriot-Watt University\Uni_Cloud\Year 5\B41HE_MEng_Design\Group\North_Sea_Feedstock_Model</w:t>
      </w:r>
    </w:p>
    <w:p w14:paraId="0DED84F8" w14:textId="7468F216" w:rsidR="00940D24" w:rsidRDefault="00940D24" w:rsidP="000A29E7">
      <w:r>
        <w:t>(To be updated with link to teams shared chat when fully finished)</w:t>
      </w:r>
    </w:p>
    <w:p w14:paraId="022B9E15" w14:textId="0EF1351B" w:rsidR="000A29E7" w:rsidRDefault="00940D24" w:rsidP="000A29E7">
      <w:r>
        <w:t>Where there is data for each particular product from Shell NGL over time</w:t>
      </w:r>
    </w:p>
    <w:p w14:paraId="4B8B8026" w14:textId="30D31862" w:rsidR="00940D24" w:rsidRDefault="00940D24" w:rsidP="00940D24">
      <w:pPr>
        <w:pStyle w:val="Heading3"/>
      </w:pPr>
      <w:r>
        <w:lastRenderedPageBreak/>
        <w:t>Graphing</w:t>
      </w:r>
    </w:p>
    <w:p w14:paraId="34DA3925" w14:textId="74334875" w:rsidR="00A45A83" w:rsidRPr="00A45A83" w:rsidRDefault="0054215F" w:rsidP="00A45A83">
      <w:r>
        <w:t>With Jackdaw and Rosebank approved, the graph looks something like this:</w:t>
      </w:r>
      <w:r w:rsidR="00A45A83" w:rsidRPr="00A45A83">
        <w:drawing>
          <wp:inline distT="0" distB="0" distL="0" distR="0" wp14:anchorId="5D5C313F" wp14:editId="6241580B">
            <wp:extent cx="5731510" cy="4029710"/>
            <wp:effectExtent l="0" t="0" r="2540" b="8890"/>
            <wp:docPr id="20192421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4029710"/>
                    </a:xfrm>
                    <a:prstGeom prst="rect">
                      <a:avLst/>
                    </a:prstGeom>
                    <a:noFill/>
                    <a:ln>
                      <a:noFill/>
                    </a:ln>
                  </pic:spPr>
                </pic:pic>
              </a:graphicData>
            </a:graphic>
          </wp:inline>
        </w:drawing>
      </w:r>
    </w:p>
    <w:p w14:paraId="5DE8008B" w14:textId="17BBE46F" w:rsidR="000F78DD" w:rsidRDefault="000F78DD" w:rsidP="00940D24"/>
    <w:sectPr w:rsidR="000F78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B462E1"/>
    <w:multiLevelType w:val="multilevel"/>
    <w:tmpl w:val="18E8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B2F1DBE"/>
    <w:multiLevelType w:val="hybridMultilevel"/>
    <w:tmpl w:val="6A469CE0"/>
    <w:lvl w:ilvl="0" w:tplc="972AD30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74560772">
    <w:abstractNumId w:val="0"/>
  </w:num>
  <w:num w:numId="2" w16cid:durableId="13302090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3D2"/>
    <w:rsid w:val="000A29E7"/>
    <w:rsid w:val="000D5249"/>
    <w:rsid w:val="000F78DD"/>
    <w:rsid w:val="00112B4D"/>
    <w:rsid w:val="001A39C3"/>
    <w:rsid w:val="00223381"/>
    <w:rsid w:val="00253653"/>
    <w:rsid w:val="002871F3"/>
    <w:rsid w:val="003D075E"/>
    <w:rsid w:val="003F0A48"/>
    <w:rsid w:val="004233E5"/>
    <w:rsid w:val="00475E29"/>
    <w:rsid w:val="004B6ADF"/>
    <w:rsid w:val="004C18F8"/>
    <w:rsid w:val="00504DD6"/>
    <w:rsid w:val="0054215F"/>
    <w:rsid w:val="005776C2"/>
    <w:rsid w:val="00594874"/>
    <w:rsid w:val="00610CE9"/>
    <w:rsid w:val="00673B24"/>
    <w:rsid w:val="00681418"/>
    <w:rsid w:val="006C1AFC"/>
    <w:rsid w:val="00771393"/>
    <w:rsid w:val="00815BB8"/>
    <w:rsid w:val="00816984"/>
    <w:rsid w:val="00842B9C"/>
    <w:rsid w:val="008743D2"/>
    <w:rsid w:val="008B0A11"/>
    <w:rsid w:val="00940D24"/>
    <w:rsid w:val="00946221"/>
    <w:rsid w:val="00953C07"/>
    <w:rsid w:val="00973BD6"/>
    <w:rsid w:val="009D790E"/>
    <w:rsid w:val="009E04BD"/>
    <w:rsid w:val="009F7F72"/>
    <w:rsid w:val="00A20460"/>
    <w:rsid w:val="00A45A83"/>
    <w:rsid w:val="00A6472E"/>
    <w:rsid w:val="00AE7E11"/>
    <w:rsid w:val="00B738A1"/>
    <w:rsid w:val="00B7608C"/>
    <w:rsid w:val="00C37690"/>
    <w:rsid w:val="00C7241E"/>
    <w:rsid w:val="00DD3C5B"/>
    <w:rsid w:val="00E36A92"/>
    <w:rsid w:val="00E95724"/>
    <w:rsid w:val="00F21CCA"/>
    <w:rsid w:val="00F26939"/>
    <w:rsid w:val="00F50DB3"/>
    <w:rsid w:val="00FD6E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2A07F"/>
  <w15:chartTrackingRefBased/>
  <w15:docId w15:val="{755BE2C4-264C-482D-A988-FB10ED565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249"/>
    <w:rPr>
      <w:sz w:val="20"/>
    </w:rPr>
  </w:style>
  <w:style w:type="paragraph" w:styleId="Heading1">
    <w:name w:val="heading 1"/>
    <w:basedOn w:val="Normal"/>
    <w:next w:val="Normal"/>
    <w:link w:val="Heading1Char"/>
    <w:uiPriority w:val="9"/>
    <w:qFormat/>
    <w:rsid w:val="008743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43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5249"/>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unhideWhenUsed/>
    <w:qFormat/>
    <w:rsid w:val="000D5249"/>
    <w:pPr>
      <w:keepNext/>
      <w:keepLines/>
      <w:spacing w:before="80" w:after="40"/>
      <w:outlineLvl w:val="3"/>
    </w:pPr>
    <w:rPr>
      <w:rFonts w:eastAsiaTheme="majorEastAsia" w:cstheme="majorBidi"/>
      <w:i/>
      <w:iCs/>
      <w:color w:val="0F4761" w:themeColor="accent1" w:themeShade="BF"/>
      <w:sz w:val="22"/>
    </w:rPr>
  </w:style>
  <w:style w:type="paragraph" w:styleId="Heading5">
    <w:name w:val="heading 5"/>
    <w:basedOn w:val="Normal"/>
    <w:next w:val="Normal"/>
    <w:link w:val="Heading5Char"/>
    <w:uiPriority w:val="9"/>
    <w:semiHidden/>
    <w:unhideWhenUsed/>
    <w:qFormat/>
    <w:rsid w:val="008743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43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43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43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43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43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743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5249"/>
    <w:rPr>
      <w:rFonts w:eastAsiaTheme="majorEastAsia" w:cstheme="majorBidi"/>
      <w:color w:val="0F4761" w:themeColor="accent1" w:themeShade="BF"/>
      <w:szCs w:val="28"/>
    </w:rPr>
  </w:style>
  <w:style w:type="character" w:customStyle="1" w:styleId="Heading4Char">
    <w:name w:val="Heading 4 Char"/>
    <w:basedOn w:val="DefaultParagraphFont"/>
    <w:link w:val="Heading4"/>
    <w:uiPriority w:val="9"/>
    <w:rsid w:val="000D5249"/>
    <w:rPr>
      <w:rFonts w:eastAsiaTheme="majorEastAsia" w:cstheme="majorBidi"/>
      <w:i/>
      <w:iCs/>
      <w:color w:val="0F4761" w:themeColor="accent1" w:themeShade="BF"/>
      <w:sz w:val="22"/>
    </w:rPr>
  </w:style>
  <w:style w:type="character" w:customStyle="1" w:styleId="Heading5Char">
    <w:name w:val="Heading 5 Char"/>
    <w:basedOn w:val="DefaultParagraphFont"/>
    <w:link w:val="Heading5"/>
    <w:uiPriority w:val="9"/>
    <w:semiHidden/>
    <w:rsid w:val="008743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43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43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43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43D2"/>
    <w:rPr>
      <w:rFonts w:eastAsiaTheme="majorEastAsia" w:cstheme="majorBidi"/>
      <w:color w:val="272727" w:themeColor="text1" w:themeTint="D8"/>
    </w:rPr>
  </w:style>
  <w:style w:type="paragraph" w:styleId="Title">
    <w:name w:val="Title"/>
    <w:basedOn w:val="Normal"/>
    <w:next w:val="Normal"/>
    <w:link w:val="TitleChar"/>
    <w:uiPriority w:val="10"/>
    <w:qFormat/>
    <w:rsid w:val="008743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43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43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43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43D2"/>
    <w:pPr>
      <w:spacing w:before="160"/>
      <w:jc w:val="center"/>
    </w:pPr>
    <w:rPr>
      <w:i/>
      <w:iCs/>
      <w:color w:val="404040" w:themeColor="text1" w:themeTint="BF"/>
    </w:rPr>
  </w:style>
  <w:style w:type="character" w:customStyle="1" w:styleId="QuoteChar">
    <w:name w:val="Quote Char"/>
    <w:basedOn w:val="DefaultParagraphFont"/>
    <w:link w:val="Quote"/>
    <w:uiPriority w:val="29"/>
    <w:rsid w:val="008743D2"/>
    <w:rPr>
      <w:i/>
      <w:iCs/>
      <w:color w:val="404040" w:themeColor="text1" w:themeTint="BF"/>
    </w:rPr>
  </w:style>
  <w:style w:type="paragraph" w:styleId="ListParagraph">
    <w:name w:val="List Paragraph"/>
    <w:basedOn w:val="Normal"/>
    <w:uiPriority w:val="34"/>
    <w:qFormat/>
    <w:rsid w:val="008743D2"/>
    <w:pPr>
      <w:ind w:left="720"/>
      <w:contextualSpacing/>
    </w:pPr>
  </w:style>
  <w:style w:type="character" w:styleId="IntenseEmphasis">
    <w:name w:val="Intense Emphasis"/>
    <w:basedOn w:val="DefaultParagraphFont"/>
    <w:uiPriority w:val="21"/>
    <w:qFormat/>
    <w:rsid w:val="008743D2"/>
    <w:rPr>
      <w:i/>
      <w:iCs/>
      <w:color w:val="0F4761" w:themeColor="accent1" w:themeShade="BF"/>
    </w:rPr>
  </w:style>
  <w:style w:type="paragraph" w:styleId="IntenseQuote">
    <w:name w:val="Intense Quote"/>
    <w:basedOn w:val="Normal"/>
    <w:next w:val="Normal"/>
    <w:link w:val="IntenseQuoteChar"/>
    <w:uiPriority w:val="30"/>
    <w:qFormat/>
    <w:rsid w:val="008743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43D2"/>
    <w:rPr>
      <w:i/>
      <w:iCs/>
      <w:color w:val="0F4761" w:themeColor="accent1" w:themeShade="BF"/>
    </w:rPr>
  </w:style>
  <w:style w:type="character" w:styleId="IntenseReference">
    <w:name w:val="Intense Reference"/>
    <w:basedOn w:val="DefaultParagraphFont"/>
    <w:uiPriority w:val="32"/>
    <w:qFormat/>
    <w:rsid w:val="008743D2"/>
    <w:rPr>
      <w:b/>
      <w:bCs/>
      <w:smallCaps/>
      <w:color w:val="0F4761" w:themeColor="accent1" w:themeShade="BF"/>
      <w:spacing w:val="5"/>
    </w:rPr>
  </w:style>
  <w:style w:type="character" w:styleId="Hyperlink">
    <w:name w:val="Hyperlink"/>
    <w:basedOn w:val="DefaultParagraphFont"/>
    <w:uiPriority w:val="99"/>
    <w:unhideWhenUsed/>
    <w:rsid w:val="00594874"/>
    <w:rPr>
      <w:color w:val="467886" w:themeColor="hyperlink"/>
      <w:u w:val="single"/>
    </w:rPr>
  </w:style>
  <w:style w:type="character" w:styleId="UnresolvedMention">
    <w:name w:val="Unresolved Mention"/>
    <w:basedOn w:val="DefaultParagraphFont"/>
    <w:uiPriority w:val="99"/>
    <w:semiHidden/>
    <w:unhideWhenUsed/>
    <w:rsid w:val="00594874"/>
    <w:rPr>
      <w:color w:val="605E5C"/>
      <w:shd w:val="clear" w:color="auto" w:fill="E1DFDD"/>
    </w:rPr>
  </w:style>
  <w:style w:type="character" w:styleId="FollowedHyperlink">
    <w:name w:val="FollowedHyperlink"/>
    <w:basedOn w:val="DefaultParagraphFont"/>
    <w:uiPriority w:val="99"/>
    <w:semiHidden/>
    <w:unhideWhenUsed/>
    <w:rsid w:val="00AE7E1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chatgpt.com/share/6ab38f36-1a64-83ed-8bc9-2e344f504a6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103</TotalTime>
  <Pages>5</Pages>
  <Words>925</Words>
  <Characters>5279</Characters>
  <Application>Microsoft Office Word</Application>
  <DocSecurity>0</DocSecurity>
  <Lines>43</Lines>
  <Paragraphs>12</Paragraphs>
  <ScaleCrop>false</ScaleCrop>
  <Company/>
  <LinksUpToDate>false</LinksUpToDate>
  <CharactersWithSpaces>6192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Bradshaw, Joe</dc:creator>
  <cp:keywords/>
  <dc:description/>
  <cp:lastModifiedBy>Bradshaw, Joe</cp:lastModifiedBy>
  <cp:revision>43</cp:revision>
  <dcterms:created xsi:type="dcterms:W3CDTF">2026-09-23T10:36:00Z</dcterms:created>
  <dcterms:modified xsi:type="dcterms:W3CDTF">2026-09-23T16:58:00Z</dcterms:modified>
</cp:coreProperties>
</file>