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4D59" w14:textId="77777777" w:rsidR="00721C98" w:rsidRDefault="00721C98">
      <w:pPr>
        <w:pStyle w:val="CoverWP"/>
      </w:pPr>
    </w:p>
    <w:p w14:paraId="558A3695" w14:textId="77777777" w:rsidR="00721C98" w:rsidRDefault="00AE7B71">
      <w:pPr>
        <w:pStyle w:val="CoverWP"/>
      </w:pPr>
      <w:r>
        <w:t>EN</w:t>
      </w:r>
    </w:p>
    <w:p w14:paraId="2ECA2698" w14:textId="77777777" w:rsidR="00721C98" w:rsidRDefault="00AE7B71">
      <w:pPr>
        <w:pStyle w:val="CoverWP"/>
      </w:pPr>
      <w:r>
        <w:t>Horizon Europe</w:t>
      </w:r>
    </w:p>
    <w:p w14:paraId="1C37518A" w14:textId="77777777" w:rsidR="00721C98" w:rsidRDefault="00AE7B71">
      <w:pPr>
        <w:pStyle w:val="CoverWP"/>
      </w:pPr>
      <w:r>
        <w:t>Work Programme 2026-2027</w:t>
      </w:r>
    </w:p>
    <w:p w14:paraId="113FD714" w14:textId="77777777" w:rsidR="00721C98" w:rsidRDefault="00AE7B71">
      <w:pPr>
        <w:pStyle w:val="CoverTitle"/>
      </w:pPr>
      <w:r>
        <w:t>11. Widening participation and strengthening the European Research Area</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8500"/>
      </w:tblGrid>
      <w:tr w:rsidR="00721C98" w14:paraId="15198B90" w14:textId="77777777">
        <w:tc>
          <w:tcPr>
            <w:tcW w:w="8500" w:type="dxa"/>
          </w:tcPr>
          <w:p w14:paraId="592AD9BB" w14:textId="77777777" w:rsidR="00721C98" w:rsidRDefault="00AE7B71">
            <w:pPr>
              <w:pStyle w:val="NoticeTitle"/>
            </w:pPr>
            <w:r>
              <w:rPr>
                <w:b w:val="0"/>
                <w:color w:val="000000"/>
              </w:rPr>
              <w:t>DISCLAIMER</w:t>
            </w:r>
          </w:p>
          <w:p w14:paraId="5BEFAF00" w14:textId="77777777" w:rsidR="00721C98" w:rsidRDefault="00AE7B71">
            <w:pPr>
              <w:pStyle w:val="Notice"/>
            </w:pPr>
            <w:r>
              <w:rPr>
                <w:b w:val="0"/>
                <w:color w:val="000000"/>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14:paraId="100BD0C2" w14:textId="77777777" w:rsidR="00721C98" w:rsidRDefault="00721C98">
      <w:pPr>
        <w:pStyle w:val="CoverDecision"/>
      </w:pPr>
    </w:p>
    <w:p w14:paraId="305453DB" w14:textId="77777777" w:rsidR="007D25FE" w:rsidRDefault="007D25FE" w:rsidP="004E0E4B">
      <w:pPr>
        <w:pStyle w:val="footnote2"/>
      </w:pPr>
    </w:p>
    <w:sdt>
      <w:sdtPr>
        <w:rPr>
          <w:rFonts w:eastAsiaTheme="minorEastAsia" w:cstheme="minorBidi"/>
          <w:b w:val="0"/>
          <w:bCs w:val="0"/>
          <w:sz w:val="24"/>
          <w:szCs w:val="22"/>
          <w:lang w:val="en-GB" w:eastAsia="en-GB"/>
        </w:rPr>
        <w:id w:val="-1422096267"/>
        <w:docPartObj>
          <w:docPartGallery w:val="Table of Contents"/>
          <w:docPartUnique/>
        </w:docPartObj>
      </w:sdtPr>
      <w:sdtEndPr>
        <w:rPr>
          <w:rFonts w:eastAsiaTheme="majorEastAsia" w:cs="Times New Roman"/>
          <w:b/>
          <w:bCs/>
          <w:noProof/>
          <w:sz w:val="28"/>
          <w:szCs w:val="32"/>
          <w:lang w:val="en-US" w:eastAsia="ja-JP"/>
        </w:rPr>
      </w:sdtEndPr>
      <w:sdtContent>
        <w:sdt>
          <w:sdtPr>
            <w:rPr>
              <w:rFonts w:eastAsiaTheme="minorEastAsia" w:cstheme="minorBidi"/>
              <w:b w:val="0"/>
              <w:bCs w:val="0"/>
              <w:sz w:val="24"/>
              <w:szCs w:val="22"/>
              <w:lang w:val="en-GB" w:eastAsia="en-GB"/>
            </w:rPr>
            <w:id w:val="766658695"/>
            <w:docPartObj>
              <w:docPartGallery w:val="Table of Contents"/>
              <w:docPartUnique/>
            </w:docPartObj>
          </w:sdtPr>
          <w:sdtEndPr>
            <w:rPr>
              <w:noProof/>
            </w:rPr>
          </w:sdtEndPr>
          <w:sdtContent>
            <w:p w14:paraId="575CD6CE" w14:textId="77777777" w:rsidR="00DB4111" w:rsidRDefault="00DB4111" w:rsidP="00DB4111">
              <w:pPr>
                <w:pStyle w:val="TOCHeading"/>
                <w:rPr>
                  <w:rFonts w:eastAsiaTheme="minorEastAsia" w:cstheme="minorBidi"/>
                  <w:b w:val="0"/>
                  <w:bCs w:val="0"/>
                  <w:sz w:val="24"/>
                  <w:szCs w:val="22"/>
                  <w:lang w:val="en-GB" w:eastAsia="en-GB"/>
                </w:rPr>
              </w:pPr>
              <w:r>
                <w:rPr>
                  <w:rFonts w:eastAsiaTheme="minorEastAsia" w:cstheme="minorBidi"/>
                  <w:b w:val="0"/>
                  <w:bCs w:val="0"/>
                  <w:sz w:val="24"/>
                  <w:szCs w:val="22"/>
                  <w:lang w:val="en-GB" w:eastAsia="en-GB"/>
                </w:rPr>
                <w:br w:type="page"/>
              </w:r>
            </w:p>
            <w:p w14:paraId="1FA99420" w14:textId="77777777" w:rsidR="00DB4111" w:rsidRDefault="00DB4111" w:rsidP="00DB4111">
              <w:pPr>
                <w:pStyle w:val="TOCHeading"/>
              </w:pPr>
              <w:r>
                <w:lastRenderedPageBreak/>
                <w:t>Table of contents</w:t>
              </w:r>
            </w:p>
            <w:p w14:paraId="47A449B2"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r>
                <w:fldChar w:fldCharType="begin"/>
              </w:r>
              <w:r>
                <w:instrText xml:space="preserve"> TOC \o "1-3" \h \z \u </w:instrText>
              </w:r>
              <w:r>
                <w:fldChar w:fldCharType="separate"/>
              </w:r>
              <w:hyperlink w:anchor="_Toc229997628" w:history="1">
                <w:r w:rsidRPr="00834068">
                  <w:rPr>
                    <w:rStyle w:val="Hyperlink"/>
                  </w:rPr>
                  <w:t>Introduction</w:t>
                </w:r>
                <w:r>
                  <w:rPr>
                    <w:webHidden/>
                  </w:rPr>
                  <w:tab/>
                </w:r>
                <w:r>
                  <w:rPr>
                    <w:webHidden/>
                  </w:rPr>
                  <w:fldChar w:fldCharType="begin"/>
                </w:r>
                <w:r>
                  <w:rPr>
                    <w:webHidden/>
                  </w:rPr>
                  <w:instrText xml:space="preserve"> PAGEREF _Toc229997628 \h </w:instrText>
                </w:r>
                <w:r>
                  <w:rPr>
                    <w:webHidden/>
                  </w:rPr>
                </w:r>
                <w:r>
                  <w:rPr>
                    <w:webHidden/>
                  </w:rPr>
                  <w:fldChar w:fldCharType="separate"/>
                </w:r>
                <w:r>
                  <w:rPr>
                    <w:webHidden/>
                  </w:rPr>
                  <w:t>5</w:t>
                </w:r>
                <w:r>
                  <w:rPr>
                    <w:webHidden/>
                  </w:rPr>
                  <w:fldChar w:fldCharType="end"/>
                </w:r>
              </w:hyperlink>
            </w:p>
            <w:p w14:paraId="04AC02BE"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29" w:history="1">
                <w:r w:rsidRPr="00834068">
                  <w:rPr>
                    <w:rStyle w:val="Hyperlink"/>
                  </w:rPr>
                  <w:t>Calls</w:t>
                </w:r>
                <w:r>
                  <w:rPr>
                    <w:webHidden/>
                  </w:rPr>
                  <w:tab/>
                </w:r>
                <w:r>
                  <w:rPr>
                    <w:webHidden/>
                  </w:rPr>
                  <w:fldChar w:fldCharType="begin"/>
                </w:r>
                <w:r>
                  <w:rPr>
                    <w:webHidden/>
                  </w:rPr>
                  <w:instrText xml:space="preserve"> PAGEREF _Toc229997629 \h </w:instrText>
                </w:r>
                <w:r>
                  <w:rPr>
                    <w:webHidden/>
                  </w:rPr>
                </w:r>
                <w:r>
                  <w:rPr>
                    <w:webHidden/>
                  </w:rPr>
                  <w:fldChar w:fldCharType="separate"/>
                </w:r>
                <w:r>
                  <w:rPr>
                    <w:webHidden/>
                  </w:rPr>
                  <w:t>8</w:t>
                </w:r>
                <w:r>
                  <w:rPr>
                    <w:webHidden/>
                  </w:rPr>
                  <w:fldChar w:fldCharType="end"/>
                </w:r>
              </w:hyperlink>
            </w:p>
            <w:p w14:paraId="55F1D4AA"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30" w:history="1">
                <w:r w:rsidRPr="00834068">
                  <w:rPr>
                    <w:rStyle w:val="Hyperlink"/>
                    <w:noProof/>
                  </w:rPr>
                  <w:t>Call - Teaming Synergies</w:t>
                </w:r>
                <w:r>
                  <w:rPr>
                    <w:noProof/>
                    <w:webHidden/>
                  </w:rPr>
                  <w:tab/>
                </w:r>
                <w:r>
                  <w:rPr>
                    <w:noProof/>
                    <w:webHidden/>
                  </w:rPr>
                  <w:fldChar w:fldCharType="begin"/>
                </w:r>
                <w:r>
                  <w:rPr>
                    <w:noProof/>
                    <w:webHidden/>
                  </w:rPr>
                  <w:instrText xml:space="preserve"> PAGEREF _Toc229997630 \h </w:instrText>
                </w:r>
                <w:r>
                  <w:rPr>
                    <w:noProof/>
                    <w:webHidden/>
                  </w:rPr>
                </w:r>
                <w:r>
                  <w:rPr>
                    <w:noProof/>
                    <w:webHidden/>
                  </w:rPr>
                  <w:fldChar w:fldCharType="separate"/>
                </w:r>
                <w:r>
                  <w:rPr>
                    <w:noProof/>
                    <w:webHidden/>
                  </w:rPr>
                  <w:t>8</w:t>
                </w:r>
                <w:r>
                  <w:rPr>
                    <w:noProof/>
                    <w:webHidden/>
                  </w:rPr>
                  <w:fldChar w:fldCharType="end"/>
                </w:r>
              </w:hyperlink>
            </w:p>
            <w:p w14:paraId="39786CF4"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31"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_Toc229997631 \h </w:instrText>
                </w:r>
                <w:r>
                  <w:rPr>
                    <w:noProof/>
                    <w:webHidden/>
                  </w:rPr>
                </w:r>
                <w:r>
                  <w:rPr>
                    <w:noProof/>
                    <w:webHidden/>
                  </w:rPr>
                  <w:fldChar w:fldCharType="separate"/>
                </w:r>
                <w:r>
                  <w:rPr>
                    <w:noProof/>
                    <w:webHidden/>
                  </w:rPr>
                  <w:t>8</w:t>
                </w:r>
                <w:r>
                  <w:rPr>
                    <w:noProof/>
                    <w:webHidden/>
                  </w:rPr>
                  <w:fldChar w:fldCharType="end"/>
                </w:r>
              </w:hyperlink>
            </w:p>
            <w:p w14:paraId="5BF89565"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32" w:history="1">
                <w:r w:rsidRPr="00834068">
                  <w:rPr>
                    <w:rStyle w:val="Hyperlink"/>
                    <w:noProof/>
                  </w:rPr>
                  <w:t>Call - Twinning</w:t>
                </w:r>
                <w:r>
                  <w:rPr>
                    <w:noProof/>
                    <w:webHidden/>
                  </w:rPr>
                  <w:tab/>
                </w:r>
                <w:r>
                  <w:rPr>
                    <w:noProof/>
                    <w:webHidden/>
                  </w:rPr>
                  <w:fldChar w:fldCharType="begin"/>
                </w:r>
                <w:r>
                  <w:rPr>
                    <w:noProof/>
                    <w:webHidden/>
                  </w:rPr>
                  <w:instrText xml:space="preserve"> PAGEREF _Toc229997632 \h </w:instrText>
                </w:r>
                <w:r>
                  <w:rPr>
                    <w:noProof/>
                    <w:webHidden/>
                  </w:rPr>
                </w:r>
                <w:r>
                  <w:rPr>
                    <w:noProof/>
                    <w:webHidden/>
                  </w:rPr>
                  <w:fldChar w:fldCharType="separate"/>
                </w:r>
                <w:r>
                  <w:rPr>
                    <w:noProof/>
                    <w:webHidden/>
                  </w:rPr>
                  <w:t>9</w:t>
                </w:r>
                <w:r>
                  <w:rPr>
                    <w:noProof/>
                    <w:webHidden/>
                  </w:rPr>
                  <w:fldChar w:fldCharType="end"/>
                </w:r>
              </w:hyperlink>
            </w:p>
            <w:p w14:paraId="6A882BD7"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33"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_Toc229997633 \h </w:instrText>
                </w:r>
                <w:r>
                  <w:rPr>
                    <w:noProof/>
                    <w:webHidden/>
                  </w:rPr>
                </w:r>
                <w:r>
                  <w:rPr>
                    <w:noProof/>
                    <w:webHidden/>
                  </w:rPr>
                  <w:fldChar w:fldCharType="separate"/>
                </w:r>
                <w:r>
                  <w:rPr>
                    <w:noProof/>
                    <w:webHidden/>
                  </w:rPr>
                  <w:t>9</w:t>
                </w:r>
                <w:r>
                  <w:rPr>
                    <w:noProof/>
                    <w:webHidden/>
                  </w:rPr>
                  <w:fldChar w:fldCharType="end"/>
                </w:r>
              </w:hyperlink>
            </w:p>
            <w:p w14:paraId="0506C361"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34" w:history="1">
                <w:r w:rsidRPr="00834068">
                  <w:rPr>
                    <w:rStyle w:val="Hyperlink"/>
                    <w:noProof/>
                  </w:rPr>
                  <w:t>Call - Hop-on Facility</w:t>
                </w:r>
                <w:r>
                  <w:rPr>
                    <w:noProof/>
                    <w:webHidden/>
                  </w:rPr>
                  <w:tab/>
                </w:r>
                <w:r>
                  <w:rPr>
                    <w:noProof/>
                    <w:webHidden/>
                  </w:rPr>
                  <w:fldChar w:fldCharType="begin"/>
                </w:r>
                <w:r>
                  <w:rPr>
                    <w:noProof/>
                    <w:webHidden/>
                  </w:rPr>
                  <w:instrText xml:space="preserve"> PAGEREF _Toc229997634 \h </w:instrText>
                </w:r>
                <w:r>
                  <w:rPr>
                    <w:noProof/>
                    <w:webHidden/>
                  </w:rPr>
                </w:r>
                <w:r>
                  <w:rPr>
                    <w:noProof/>
                    <w:webHidden/>
                  </w:rPr>
                  <w:fldChar w:fldCharType="separate"/>
                </w:r>
                <w:r>
                  <w:rPr>
                    <w:noProof/>
                    <w:webHidden/>
                  </w:rPr>
                  <w:t>10</w:t>
                </w:r>
                <w:r>
                  <w:rPr>
                    <w:noProof/>
                    <w:webHidden/>
                  </w:rPr>
                  <w:fldChar w:fldCharType="end"/>
                </w:r>
              </w:hyperlink>
            </w:p>
            <w:p w14:paraId="6F8225C5"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35"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_Toc229997635 \h </w:instrText>
                </w:r>
                <w:r>
                  <w:rPr>
                    <w:noProof/>
                    <w:webHidden/>
                  </w:rPr>
                </w:r>
                <w:r>
                  <w:rPr>
                    <w:noProof/>
                    <w:webHidden/>
                  </w:rPr>
                  <w:fldChar w:fldCharType="separate"/>
                </w:r>
                <w:r>
                  <w:rPr>
                    <w:noProof/>
                    <w:webHidden/>
                  </w:rPr>
                  <w:t>10</w:t>
                </w:r>
                <w:r>
                  <w:rPr>
                    <w:noProof/>
                    <w:webHidden/>
                  </w:rPr>
                  <w:fldChar w:fldCharType="end"/>
                </w:r>
              </w:hyperlink>
            </w:p>
            <w:p w14:paraId="6EEFE5FB"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36" w:history="1">
                <w:r w:rsidRPr="00834068">
                  <w:rPr>
                    <w:rStyle w:val="Hyperlink"/>
                    <w:noProof/>
                  </w:rPr>
                  <w:t>Call - Research Management Facility</w:t>
                </w:r>
                <w:r>
                  <w:rPr>
                    <w:noProof/>
                    <w:webHidden/>
                  </w:rPr>
                  <w:tab/>
                </w:r>
                <w:r>
                  <w:rPr>
                    <w:noProof/>
                    <w:webHidden/>
                  </w:rPr>
                  <w:fldChar w:fldCharType="begin"/>
                </w:r>
                <w:r>
                  <w:rPr>
                    <w:noProof/>
                    <w:webHidden/>
                  </w:rPr>
                  <w:instrText xml:space="preserve"> PAGEREF _Toc229997636 \h </w:instrText>
                </w:r>
                <w:r>
                  <w:rPr>
                    <w:noProof/>
                    <w:webHidden/>
                  </w:rPr>
                </w:r>
                <w:r>
                  <w:rPr>
                    <w:noProof/>
                    <w:webHidden/>
                  </w:rPr>
                  <w:fldChar w:fldCharType="separate"/>
                </w:r>
                <w:r>
                  <w:rPr>
                    <w:noProof/>
                    <w:webHidden/>
                  </w:rPr>
                  <w:t>11</w:t>
                </w:r>
                <w:r>
                  <w:rPr>
                    <w:noProof/>
                    <w:webHidden/>
                  </w:rPr>
                  <w:fldChar w:fldCharType="end"/>
                </w:r>
              </w:hyperlink>
            </w:p>
            <w:p w14:paraId="0456D249"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37"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_Toc229997637 \h </w:instrText>
                </w:r>
                <w:r>
                  <w:rPr>
                    <w:noProof/>
                    <w:webHidden/>
                  </w:rPr>
                </w:r>
                <w:r>
                  <w:rPr>
                    <w:noProof/>
                    <w:webHidden/>
                  </w:rPr>
                  <w:fldChar w:fldCharType="separate"/>
                </w:r>
                <w:r>
                  <w:rPr>
                    <w:noProof/>
                    <w:webHidden/>
                  </w:rPr>
                  <w:t>11</w:t>
                </w:r>
                <w:r>
                  <w:rPr>
                    <w:noProof/>
                    <w:webHidden/>
                  </w:rPr>
                  <w:fldChar w:fldCharType="end"/>
                </w:r>
              </w:hyperlink>
            </w:p>
            <w:p w14:paraId="11CDF6FD"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38" w:history="1">
                <w:r w:rsidRPr="00834068">
                  <w:rPr>
                    <w:rStyle w:val="Hyperlink"/>
                    <w:noProof/>
                  </w:rPr>
                  <w:t>Call - ERA Fellowships</w:t>
                </w:r>
                <w:r>
                  <w:rPr>
                    <w:noProof/>
                    <w:webHidden/>
                  </w:rPr>
                  <w:tab/>
                </w:r>
                <w:r>
                  <w:rPr>
                    <w:noProof/>
                    <w:webHidden/>
                  </w:rPr>
                  <w:fldChar w:fldCharType="begin"/>
                </w:r>
                <w:r>
                  <w:rPr>
                    <w:noProof/>
                    <w:webHidden/>
                  </w:rPr>
                  <w:instrText xml:space="preserve"> PAGEREF _Toc229997638 \h </w:instrText>
                </w:r>
                <w:r>
                  <w:rPr>
                    <w:noProof/>
                    <w:webHidden/>
                  </w:rPr>
                </w:r>
                <w:r>
                  <w:rPr>
                    <w:noProof/>
                    <w:webHidden/>
                  </w:rPr>
                  <w:fldChar w:fldCharType="separate"/>
                </w:r>
                <w:r>
                  <w:rPr>
                    <w:noProof/>
                    <w:webHidden/>
                  </w:rPr>
                  <w:t>12</w:t>
                </w:r>
                <w:r>
                  <w:rPr>
                    <w:noProof/>
                    <w:webHidden/>
                  </w:rPr>
                  <w:fldChar w:fldCharType="end"/>
                </w:r>
              </w:hyperlink>
            </w:p>
            <w:p w14:paraId="258911C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39"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_Toc229997639 \h </w:instrText>
                </w:r>
                <w:r>
                  <w:rPr>
                    <w:noProof/>
                    <w:webHidden/>
                  </w:rPr>
                </w:r>
                <w:r>
                  <w:rPr>
                    <w:noProof/>
                    <w:webHidden/>
                  </w:rPr>
                  <w:fldChar w:fldCharType="separate"/>
                </w:r>
                <w:r>
                  <w:rPr>
                    <w:noProof/>
                    <w:webHidden/>
                  </w:rPr>
                  <w:t>13</w:t>
                </w:r>
                <w:r>
                  <w:rPr>
                    <w:noProof/>
                    <w:webHidden/>
                  </w:rPr>
                  <w:fldChar w:fldCharType="end"/>
                </w:r>
              </w:hyperlink>
            </w:p>
            <w:p w14:paraId="167C4FF9"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40" w:history="1">
                <w:r w:rsidRPr="00834068">
                  <w:rPr>
                    <w:rStyle w:val="Hyperlink"/>
                    <w:noProof/>
                  </w:rPr>
                  <w:t>Call - Enhancing the European R&amp;I system</w:t>
                </w:r>
                <w:r>
                  <w:rPr>
                    <w:noProof/>
                    <w:webHidden/>
                  </w:rPr>
                  <w:tab/>
                </w:r>
                <w:r>
                  <w:rPr>
                    <w:noProof/>
                    <w:webHidden/>
                  </w:rPr>
                  <w:fldChar w:fldCharType="begin"/>
                </w:r>
                <w:r>
                  <w:rPr>
                    <w:noProof/>
                    <w:webHidden/>
                  </w:rPr>
                  <w:instrText xml:space="preserve"> PAGEREF _Toc229997640 \h </w:instrText>
                </w:r>
                <w:r>
                  <w:rPr>
                    <w:noProof/>
                    <w:webHidden/>
                  </w:rPr>
                </w:r>
                <w:r>
                  <w:rPr>
                    <w:noProof/>
                    <w:webHidden/>
                  </w:rPr>
                  <w:fldChar w:fldCharType="separate"/>
                </w:r>
                <w:r>
                  <w:rPr>
                    <w:noProof/>
                    <w:webHidden/>
                  </w:rPr>
                  <w:t>14</w:t>
                </w:r>
                <w:r>
                  <w:rPr>
                    <w:noProof/>
                    <w:webHidden/>
                  </w:rPr>
                  <w:fldChar w:fldCharType="end"/>
                </w:r>
              </w:hyperlink>
            </w:p>
            <w:p w14:paraId="3A14B1EA"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41"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_Toc229997641 \h </w:instrText>
                </w:r>
                <w:r>
                  <w:rPr>
                    <w:noProof/>
                    <w:webHidden/>
                  </w:rPr>
                </w:r>
                <w:r>
                  <w:rPr>
                    <w:noProof/>
                    <w:webHidden/>
                  </w:rPr>
                  <w:fldChar w:fldCharType="separate"/>
                </w:r>
                <w:r>
                  <w:rPr>
                    <w:noProof/>
                    <w:webHidden/>
                  </w:rPr>
                  <w:t>14</w:t>
                </w:r>
                <w:r>
                  <w:rPr>
                    <w:noProof/>
                    <w:webHidden/>
                  </w:rPr>
                  <w:fldChar w:fldCharType="end"/>
                </w:r>
              </w:hyperlink>
            </w:p>
            <w:p w14:paraId="46FA2929"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42" w:history="1">
                <w:r w:rsidRPr="00834068">
                  <w:rPr>
                    <w:rStyle w:val="Hyperlink"/>
                    <w:noProof/>
                  </w:rPr>
                  <w:t>Call - EIC Pre-accelerator - Widening</w:t>
                </w:r>
                <w:r>
                  <w:rPr>
                    <w:noProof/>
                    <w:webHidden/>
                  </w:rPr>
                  <w:tab/>
                </w:r>
                <w:r>
                  <w:rPr>
                    <w:noProof/>
                    <w:webHidden/>
                  </w:rPr>
                  <w:fldChar w:fldCharType="begin"/>
                </w:r>
                <w:r>
                  <w:rPr>
                    <w:noProof/>
                    <w:webHidden/>
                  </w:rPr>
                  <w:instrText xml:space="preserve"> PAGEREF _Toc229997642 \h </w:instrText>
                </w:r>
                <w:r>
                  <w:rPr>
                    <w:noProof/>
                    <w:webHidden/>
                  </w:rPr>
                </w:r>
                <w:r>
                  <w:rPr>
                    <w:noProof/>
                    <w:webHidden/>
                  </w:rPr>
                  <w:fldChar w:fldCharType="separate"/>
                </w:r>
                <w:r>
                  <w:rPr>
                    <w:noProof/>
                    <w:webHidden/>
                  </w:rPr>
                  <w:t>15</w:t>
                </w:r>
                <w:r>
                  <w:rPr>
                    <w:noProof/>
                    <w:webHidden/>
                  </w:rPr>
                  <w:fldChar w:fldCharType="end"/>
                </w:r>
              </w:hyperlink>
            </w:p>
            <w:p w14:paraId="0609EAD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43"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_Toc229997643 \h </w:instrText>
                </w:r>
                <w:r>
                  <w:rPr>
                    <w:noProof/>
                    <w:webHidden/>
                  </w:rPr>
                </w:r>
                <w:r>
                  <w:rPr>
                    <w:noProof/>
                    <w:webHidden/>
                  </w:rPr>
                  <w:fldChar w:fldCharType="separate"/>
                </w:r>
                <w:r>
                  <w:rPr>
                    <w:noProof/>
                    <w:webHidden/>
                  </w:rPr>
                  <w:t>16</w:t>
                </w:r>
                <w:r>
                  <w:rPr>
                    <w:noProof/>
                    <w:webHidden/>
                  </w:rPr>
                  <w:fldChar w:fldCharType="end"/>
                </w:r>
              </w:hyperlink>
            </w:p>
            <w:p w14:paraId="458388AF"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44" w:history="1">
                <w:r w:rsidRPr="00834068">
                  <w:rPr>
                    <w:rStyle w:val="Hyperlink"/>
                    <w:noProof/>
                  </w:rPr>
                  <w:t>Call - ERA Chairs and Research Managers</w:t>
                </w:r>
                <w:r>
                  <w:rPr>
                    <w:noProof/>
                    <w:webHidden/>
                  </w:rPr>
                  <w:tab/>
                </w:r>
                <w:r>
                  <w:rPr>
                    <w:noProof/>
                    <w:webHidden/>
                  </w:rPr>
                  <w:fldChar w:fldCharType="begin"/>
                </w:r>
                <w:r>
                  <w:rPr>
                    <w:noProof/>
                    <w:webHidden/>
                  </w:rPr>
                  <w:instrText xml:space="preserve"> PAGEREF _Toc229997644 \h </w:instrText>
                </w:r>
                <w:r>
                  <w:rPr>
                    <w:noProof/>
                    <w:webHidden/>
                  </w:rPr>
                </w:r>
                <w:r>
                  <w:rPr>
                    <w:noProof/>
                    <w:webHidden/>
                  </w:rPr>
                  <w:fldChar w:fldCharType="separate"/>
                </w:r>
                <w:r>
                  <w:rPr>
                    <w:noProof/>
                    <w:webHidden/>
                  </w:rPr>
                  <w:t>17</w:t>
                </w:r>
                <w:r>
                  <w:rPr>
                    <w:noProof/>
                    <w:webHidden/>
                  </w:rPr>
                  <w:fldChar w:fldCharType="end"/>
                </w:r>
              </w:hyperlink>
            </w:p>
            <w:p w14:paraId="621F7318"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45"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_Toc229997645 \h </w:instrText>
                </w:r>
                <w:r>
                  <w:rPr>
                    <w:noProof/>
                    <w:webHidden/>
                  </w:rPr>
                </w:r>
                <w:r>
                  <w:rPr>
                    <w:noProof/>
                    <w:webHidden/>
                  </w:rPr>
                  <w:fldChar w:fldCharType="separate"/>
                </w:r>
                <w:r>
                  <w:rPr>
                    <w:noProof/>
                    <w:webHidden/>
                  </w:rPr>
                  <w:t>17</w:t>
                </w:r>
                <w:r>
                  <w:rPr>
                    <w:noProof/>
                    <w:webHidden/>
                  </w:rPr>
                  <w:fldChar w:fldCharType="end"/>
                </w:r>
              </w:hyperlink>
            </w:p>
            <w:p w14:paraId="6B8F5188"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46" w:history="1">
                <w:r w:rsidRPr="00834068">
                  <w:rPr>
                    <w:rStyle w:val="Hyperlink"/>
                    <w:noProof/>
                  </w:rPr>
                  <w:t>Call - ERA Fellowships</w:t>
                </w:r>
                <w:r>
                  <w:rPr>
                    <w:noProof/>
                    <w:webHidden/>
                  </w:rPr>
                  <w:tab/>
                </w:r>
                <w:r>
                  <w:rPr>
                    <w:noProof/>
                    <w:webHidden/>
                  </w:rPr>
                  <w:fldChar w:fldCharType="begin"/>
                </w:r>
                <w:r>
                  <w:rPr>
                    <w:noProof/>
                    <w:webHidden/>
                  </w:rPr>
                  <w:instrText xml:space="preserve"> PAGEREF _Toc229997646 \h </w:instrText>
                </w:r>
                <w:r>
                  <w:rPr>
                    <w:noProof/>
                    <w:webHidden/>
                  </w:rPr>
                </w:r>
                <w:r>
                  <w:rPr>
                    <w:noProof/>
                    <w:webHidden/>
                  </w:rPr>
                  <w:fldChar w:fldCharType="separate"/>
                </w:r>
                <w:r>
                  <w:rPr>
                    <w:noProof/>
                    <w:webHidden/>
                  </w:rPr>
                  <w:t>18</w:t>
                </w:r>
                <w:r>
                  <w:rPr>
                    <w:noProof/>
                    <w:webHidden/>
                  </w:rPr>
                  <w:fldChar w:fldCharType="end"/>
                </w:r>
              </w:hyperlink>
            </w:p>
            <w:p w14:paraId="7437CB3C"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47"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_Toc229997647 \h </w:instrText>
                </w:r>
                <w:r>
                  <w:rPr>
                    <w:noProof/>
                    <w:webHidden/>
                  </w:rPr>
                </w:r>
                <w:r>
                  <w:rPr>
                    <w:noProof/>
                    <w:webHidden/>
                  </w:rPr>
                  <w:fldChar w:fldCharType="separate"/>
                </w:r>
                <w:r>
                  <w:rPr>
                    <w:noProof/>
                    <w:webHidden/>
                  </w:rPr>
                  <w:t>18</w:t>
                </w:r>
                <w:r>
                  <w:rPr>
                    <w:noProof/>
                    <w:webHidden/>
                  </w:rPr>
                  <w:fldChar w:fldCharType="end"/>
                </w:r>
              </w:hyperlink>
            </w:p>
            <w:p w14:paraId="1B7CAE51"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48" w:history="1">
                <w:r w:rsidRPr="00834068">
                  <w:rPr>
                    <w:rStyle w:val="Hyperlink"/>
                    <w:noProof/>
                  </w:rPr>
                  <w:t>Call - Excellence Hubs</w:t>
                </w:r>
                <w:r>
                  <w:rPr>
                    <w:noProof/>
                    <w:webHidden/>
                  </w:rPr>
                  <w:tab/>
                </w:r>
                <w:r>
                  <w:rPr>
                    <w:noProof/>
                    <w:webHidden/>
                  </w:rPr>
                  <w:fldChar w:fldCharType="begin"/>
                </w:r>
                <w:r>
                  <w:rPr>
                    <w:noProof/>
                    <w:webHidden/>
                  </w:rPr>
                  <w:instrText xml:space="preserve"> PAGEREF _Toc229997648 \h </w:instrText>
                </w:r>
                <w:r>
                  <w:rPr>
                    <w:noProof/>
                    <w:webHidden/>
                  </w:rPr>
                </w:r>
                <w:r>
                  <w:rPr>
                    <w:noProof/>
                    <w:webHidden/>
                  </w:rPr>
                  <w:fldChar w:fldCharType="separate"/>
                </w:r>
                <w:r>
                  <w:rPr>
                    <w:noProof/>
                    <w:webHidden/>
                  </w:rPr>
                  <w:t>19</w:t>
                </w:r>
                <w:r>
                  <w:rPr>
                    <w:noProof/>
                    <w:webHidden/>
                  </w:rPr>
                  <w:fldChar w:fldCharType="end"/>
                </w:r>
              </w:hyperlink>
            </w:p>
            <w:p w14:paraId="19381419"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49"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_Toc229997649 \h </w:instrText>
                </w:r>
                <w:r>
                  <w:rPr>
                    <w:noProof/>
                    <w:webHidden/>
                  </w:rPr>
                </w:r>
                <w:r>
                  <w:rPr>
                    <w:noProof/>
                    <w:webHidden/>
                  </w:rPr>
                  <w:fldChar w:fldCharType="separate"/>
                </w:r>
                <w:r>
                  <w:rPr>
                    <w:noProof/>
                    <w:webHidden/>
                  </w:rPr>
                  <w:t>19</w:t>
                </w:r>
                <w:r>
                  <w:rPr>
                    <w:noProof/>
                    <w:webHidden/>
                  </w:rPr>
                  <w:fldChar w:fldCharType="end"/>
                </w:r>
              </w:hyperlink>
            </w:p>
            <w:p w14:paraId="1767BF2D" w14:textId="77777777" w:rsidR="00DB4111" w:rsidRDefault="00DB4111" w:rsidP="00DB4111">
              <w:pPr>
                <w:pStyle w:val="TOC2"/>
                <w:tabs>
                  <w:tab w:val="right" w:leader="dot" w:pos="9062"/>
                </w:tabs>
                <w:rPr>
                  <w:rFonts w:asciiTheme="minorHAnsi" w:hAnsiTheme="minorHAnsi"/>
                  <w:b w:val="0"/>
                  <w:bCs w:val="0"/>
                  <w:noProof/>
                  <w:kern w:val="2"/>
                  <w:szCs w:val="24"/>
                  <w14:ligatures w14:val="standardContextual"/>
                </w:rPr>
              </w:pPr>
              <w:hyperlink w:anchor="_Toc229997650" w:history="1">
                <w:r w:rsidRPr="00834068">
                  <w:rPr>
                    <w:rStyle w:val="Hyperlink"/>
                    <w:noProof/>
                  </w:rPr>
                  <w:t>Call - Enhancing the European R&amp;I system</w:t>
                </w:r>
                <w:r>
                  <w:rPr>
                    <w:noProof/>
                    <w:webHidden/>
                  </w:rPr>
                  <w:tab/>
                </w:r>
                <w:r>
                  <w:rPr>
                    <w:noProof/>
                    <w:webHidden/>
                  </w:rPr>
                  <w:fldChar w:fldCharType="begin"/>
                </w:r>
                <w:r>
                  <w:rPr>
                    <w:noProof/>
                    <w:webHidden/>
                  </w:rPr>
                  <w:instrText xml:space="preserve"> PAGEREF _Toc229997650 \h </w:instrText>
                </w:r>
                <w:r>
                  <w:rPr>
                    <w:noProof/>
                    <w:webHidden/>
                  </w:rPr>
                </w:r>
                <w:r>
                  <w:rPr>
                    <w:noProof/>
                    <w:webHidden/>
                  </w:rPr>
                  <w:fldChar w:fldCharType="separate"/>
                </w:r>
                <w:r>
                  <w:rPr>
                    <w:noProof/>
                    <w:webHidden/>
                  </w:rPr>
                  <w:t>20</w:t>
                </w:r>
                <w:r>
                  <w:rPr>
                    <w:noProof/>
                    <w:webHidden/>
                  </w:rPr>
                  <w:fldChar w:fldCharType="end"/>
                </w:r>
              </w:hyperlink>
            </w:p>
            <w:p w14:paraId="021DEEC1"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1" w:history="1">
                <w:r w:rsidRPr="00834068">
                  <w:rPr>
                    <w:rStyle w:val="Hyperlink"/>
                    <w:noProof/>
                  </w:rPr>
                  <w:t>Overview of this call</w:t>
                </w:r>
                <w:r>
                  <w:rPr>
                    <w:noProof/>
                    <w:webHidden/>
                  </w:rPr>
                  <w:tab/>
                </w:r>
                <w:r>
                  <w:rPr>
                    <w:noProof/>
                    <w:webHidden/>
                  </w:rPr>
                  <w:fldChar w:fldCharType="begin"/>
                </w:r>
                <w:r>
                  <w:rPr>
                    <w:noProof/>
                    <w:webHidden/>
                  </w:rPr>
                  <w:instrText xml:space="preserve"> PAGEREF _Toc229997651 \h </w:instrText>
                </w:r>
                <w:r>
                  <w:rPr>
                    <w:noProof/>
                    <w:webHidden/>
                  </w:rPr>
                </w:r>
                <w:r>
                  <w:rPr>
                    <w:noProof/>
                    <w:webHidden/>
                  </w:rPr>
                  <w:fldChar w:fldCharType="separate"/>
                </w:r>
                <w:r>
                  <w:rPr>
                    <w:noProof/>
                    <w:webHidden/>
                  </w:rPr>
                  <w:t>21</w:t>
                </w:r>
                <w:r>
                  <w:rPr>
                    <w:noProof/>
                    <w:webHidden/>
                  </w:rPr>
                  <w:fldChar w:fldCharType="end"/>
                </w:r>
              </w:hyperlink>
            </w:p>
            <w:p w14:paraId="515D0794"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52" w:history="1">
                <w:r w:rsidRPr="00834068">
                  <w:rPr>
                    <w:rStyle w:val="Hyperlink"/>
                  </w:rPr>
                  <w:t>Destination: Widening participation and spreading excellence</w:t>
                </w:r>
                <w:r>
                  <w:rPr>
                    <w:webHidden/>
                  </w:rPr>
                  <w:tab/>
                </w:r>
                <w:r>
                  <w:rPr>
                    <w:webHidden/>
                  </w:rPr>
                  <w:fldChar w:fldCharType="begin"/>
                </w:r>
                <w:r>
                  <w:rPr>
                    <w:webHidden/>
                  </w:rPr>
                  <w:instrText xml:space="preserve"> PAGEREF _Toc229997652 \h </w:instrText>
                </w:r>
                <w:r>
                  <w:rPr>
                    <w:webHidden/>
                  </w:rPr>
                </w:r>
                <w:r>
                  <w:rPr>
                    <w:webHidden/>
                  </w:rPr>
                  <w:fldChar w:fldCharType="separate"/>
                </w:r>
                <w:r>
                  <w:rPr>
                    <w:webHidden/>
                  </w:rPr>
                  <w:t>23</w:t>
                </w:r>
                <w:r>
                  <w:rPr>
                    <w:webHidden/>
                  </w:rPr>
                  <w:fldChar w:fldCharType="end"/>
                </w:r>
              </w:hyperlink>
            </w:p>
            <w:p w14:paraId="78F88BB6"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3" w:history="1">
                <w:r w:rsidRPr="00834068">
                  <w:rPr>
                    <w:rStyle w:val="Hyperlink"/>
                    <w:noProof/>
                  </w:rPr>
                  <w:t>HORIZON-WIDERA-2026-01-WIDENING-01: Teaming Synergies</w:t>
                </w:r>
                <w:r>
                  <w:rPr>
                    <w:noProof/>
                    <w:webHidden/>
                  </w:rPr>
                  <w:tab/>
                </w:r>
                <w:r>
                  <w:rPr>
                    <w:noProof/>
                    <w:webHidden/>
                  </w:rPr>
                  <w:fldChar w:fldCharType="begin"/>
                </w:r>
                <w:r>
                  <w:rPr>
                    <w:noProof/>
                    <w:webHidden/>
                  </w:rPr>
                  <w:instrText xml:space="preserve"> PAGEREF _Toc229997653 \h </w:instrText>
                </w:r>
                <w:r>
                  <w:rPr>
                    <w:noProof/>
                    <w:webHidden/>
                  </w:rPr>
                </w:r>
                <w:r>
                  <w:rPr>
                    <w:noProof/>
                    <w:webHidden/>
                  </w:rPr>
                  <w:fldChar w:fldCharType="separate"/>
                </w:r>
                <w:r>
                  <w:rPr>
                    <w:noProof/>
                    <w:webHidden/>
                  </w:rPr>
                  <w:t>24</w:t>
                </w:r>
                <w:r>
                  <w:rPr>
                    <w:noProof/>
                    <w:webHidden/>
                  </w:rPr>
                  <w:fldChar w:fldCharType="end"/>
                </w:r>
              </w:hyperlink>
            </w:p>
            <w:p w14:paraId="7214B8E1"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4" w:history="1">
                <w:r w:rsidRPr="00834068">
                  <w:rPr>
                    <w:rStyle w:val="Hyperlink"/>
                    <w:noProof/>
                  </w:rPr>
                  <w:t>HORIZON-WIDERA-2026-02-WIDENING-01: Twinning</w:t>
                </w:r>
                <w:r>
                  <w:rPr>
                    <w:noProof/>
                    <w:webHidden/>
                  </w:rPr>
                  <w:tab/>
                </w:r>
                <w:r>
                  <w:rPr>
                    <w:noProof/>
                    <w:webHidden/>
                  </w:rPr>
                  <w:fldChar w:fldCharType="begin"/>
                </w:r>
                <w:r>
                  <w:rPr>
                    <w:noProof/>
                    <w:webHidden/>
                  </w:rPr>
                  <w:instrText xml:space="preserve"> PAGEREF _Toc229997654 \h </w:instrText>
                </w:r>
                <w:r>
                  <w:rPr>
                    <w:noProof/>
                    <w:webHidden/>
                  </w:rPr>
                </w:r>
                <w:r>
                  <w:rPr>
                    <w:noProof/>
                    <w:webHidden/>
                  </w:rPr>
                  <w:fldChar w:fldCharType="separate"/>
                </w:r>
                <w:r>
                  <w:rPr>
                    <w:noProof/>
                    <w:webHidden/>
                  </w:rPr>
                  <w:t>26</w:t>
                </w:r>
                <w:r>
                  <w:rPr>
                    <w:noProof/>
                    <w:webHidden/>
                  </w:rPr>
                  <w:fldChar w:fldCharType="end"/>
                </w:r>
              </w:hyperlink>
            </w:p>
            <w:p w14:paraId="20058202"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5" w:history="1">
                <w:r w:rsidRPr="00834068">
                  <w:rPr>
                    <w:rStyle w:val="Hyperlink"/>
                    <w:noProof/>
                  </w:rPr>
                  <w:t>HORIZON-WIDERA-2026-03-WIDENING-01: Hop-On Facility</w:t>
                </w:r>
                <w:r>
                  <w:rPr>
                    <w:noProof/>
                    <w:webHidden/>
                  </w:rPr>
                  <w:tab/>
                </w:r>
                <w:r>
                  <w:rPr>
                    <w:noProof/>
                    <w:webHidden/>
                  </w:rPr>
                  <w:fldChar w:fldCharType="begin"/>
                </w:r>
                <w:r>
                  <w:rPr>
                    <w:noProof/>
                    <w:webHidden/>
                  </w:rPr>
                  <w:instrText xml:space="preserve"> PAGEREF _Toc229997655 \h </w:instrText>
                </w:r>
                <w:r>
                  <w:rPr>
                    <w:noProof/>
                    <w:webHidden/>
                  </w:rPr>
                </w:r>
                <w:r>
                  <w:rPr>
                    <w:noProof/>
                    <w:webHidden/>
                  </w:rPr>
                  <w:fldChar w:fldCharType="separate"/>
                </w:r>
                <w:r>
                  <w:rPr>
                    <w:noProof/>
                    <w:webHidden/>
                  </w:rPr>
                  <w:t>29</w:t>
                </w:r>
                <w:r>
                  <w:rPr>
                    <w:noProof/>
                    <w:webHidden/>
                  </w:rPr>
                  <w:fldChar w:fldCharType="end"/>
                </w:r>
              </w:hyperlink>
            </w:p>
            <w:p w14:paraId="0E593A5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6" w:history="1">
                <w:r w:rsidRPr="00834068">
                  <w:rPr>
                    <w:rStyle w:val="Hyperlink"/>
                    <w:noProof/>
                  </w:rPr>
                  <w:t>HORIZON-WIDERA-2026-04-WIDENING-01: Research Management Facility</w:t>
                </w:r>
                <w:r>
                  <w:rPr>
                    <w:noProof/>
                    <w:webHidden/>
                  </w:rPr>
                  <w:tab/>
                </w:r>
                <w:r>
                  <w:rPr>
                    <w:noProof/>
                    <w:webHidden/>
                  </w:rPr>
                  <w:fldChar w:fldCharType="begin"/>
                </w:r>
                <w:r>
                  <w:rPr>
                    <w:noProof/>
                    <w:webHidden/>
                  </w:rPr>
                  <w:instrText xml:space="preserve"> PAGEREF _Toc229997656 \h </w:instrText>
                </w:r>
                <w:r>
                  <w:rPr>
                    <w:noProof/>
                    <w:webHidden/>
                  </w:rPr>
                </w:r>
                <w:r>
                  <w:rPr>
                    <w:noProof/>
                    <w:webHidden/>
                  </w:rPr>
                  <w:fldChar w:fldCharType="separate"/>
                </w:r>
                <w:r>
                  <w:rPr>
                    <w:noProof/>
                    <w:webHidden/>
                  </w:rPr>
                  <w:t>32</w:t>
                </w:r>
                <w:r>
                  <w:rPr>
                    <w:noProof/>
                    <w:webHidden/>
                  </w:rPr>
                  <w:fldChar w:fldCharType="end"/>
                </w:r>
              </w:hyperlink>
            </w:p>
            <w:p w14:paraId="10206E4F"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7" w:history="1">
                <w:r w:rsidRPr="00834068">
                  <w:rPr>
                    <w:rStyle w:val="Hyperlink"/>
                    <w:noProof/>
                  </w:rPr>
                  <w:t>HORIZON-WIDERA-2026-05-WIDENING-01: ERA Fellowships</w:t>
                </w:r>
                <w:r>
                  <w:rPr>
                    <w:noProof/>
                    <w:webHidden/>
                  </w:rPr>
                  <w:tab/>
                </w:r>
                <w:r>
                  <w:rPr>
                    <w:noProof/>
                    <w:webHidden/>
                  </w:rPr>
                  <w:fldChar w:fldCharType="begin"/>
                </w:r>
                <w:r>
                  <w:rPr>
                    <w:noProof/>
                    <w:webHidden/>
                  </w:rPr>
                  <w:instrText xml:space="preserve"> PAGEREF _Toc229997657 \h </w:instrText>
                </w:r>
                <w:r>
                  <w:rPr>
                    <w:noProof/>
                    <w:webHidden/>
                  </w:rPr>
                </w:r>
                <w:r>
                  <w:rPr>
                    <w:noProof/>
                    <w:webHidden/>
                  </w:rPr>
                  <w:fldChar w:fldCharType="separate"/>
                </w:r>
                <w:r>
                  <w:rPr>
                    <w:noProof/>
                    <w:webHidden/>
                  </w:rPr>
                  <w:t>34</w:t>
                </w:r>
                <w:r>
                  <w:rPr>
                    <w:noProof/>
                    <w:webHidden/>
                  </w:rPr>
                  <w:fldChar w:fldCharType="end"/>
                </w:r>
              </w:hyperlink>
            </w:p>
            <w:p w14:paraId="4734777C"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8" w:history="1">
                <w:r w:rsidRPr="00834068">
                  <w:rPr>
                    <w:rStyle w:val="Hyperlink"/>
                    <w:noProof/>
                  </w:rPr>
                  <w:t>HORIZON-WIDERA-2027-01-WIDENING-01: EIC Pre-accelerator - Widening</w:t>
                </w:r>
                <w:r>
                  <w:rPr>
                    <w:noProof/>
                    <w:webHidden/>
                  </w:rPr>
                  <w:tab/>
                </w:r>
                <w:r>
                  <w:rPr>
                    <w:noProof/>
                    <w:webHidden/>
                  </w:rPr>
                  <w:fldChar w:fldCharType="begin"/>
                </w:r>
                <w:r>
                  <w:rPr>
                    <w:noProof/>
                    <w:webHidden/>
                  </w:rPr>
                  <w:instrText xml:space="preserve"> PAGEREF _Toc229997658 \h </w:instrText>
                </w:r>
                <w:r>
                  <w:rPr>
                    <w:noProof/>
                    <w:webHidden/>
                  </w:rPr>
                </w:r>
                <w:r>
                  <w:rPr>
                    <w:noProof/>
                    <w:webHidden/>
                  </w:rPr>
                  <w:fldChar w:fldCharType="separate"/>
                </w:r>
                <w:r>
                  <w:rPr>
                    <w:noProof/>
                    <w:webHidden/>
                  </w:rPr>
                  <w:t>37</w:t>
                </w:r>
                <w:r>
                  <w:rPr>
                    <w:noProof/>
                    <w:webHidden/>
                  </w:rPr>
                  <w:fldChar w:fldCharType="end"/>
                </w:r>
              </w:hyperlink>
            </w:p>
            <w:p w14:paraId="42D89F05"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59" w:history="1">
                <w:r w:rsidRPr="00834068">
                  <w:rPr>
                    <w:rStyle w:val="Hyperlink"/>
                    <w:noProof/>
                  </w:rPr>
                  <w:t>HORIZON-WIDERA-2027-02-WIDENING-01: ERA Chairs</w:t>
                </w:r>
                <w:r>
                  <w:rPr>
                    <w:noProof/>
                    <w:webHidden/>
                  </w:rPr>
                  <w:tab/>
                </w:r>
                <w:r>
                  <w:rPr>
                    <w:noProof/>
                    <w:webHidden/>
                  </w:rPr>
                  <w:fldChar w:fldCharType="begin"/>
                </w:r>
                <w:r>
                  <w:rPr>
                    <w:noProof/>
                    <w:webHidden/>
                  </w:rPr>
                  <w:instrText xml:space="preserve"> PAGEREF _Toc229997659 \h </w:instrText>
                </w:r>
                <w:r>
                  <w:rPr>
                    <w:noProof/>
                    <w:webHidden/>
                  </w:rPr>
                </w:r>
                <w:r>
                  <w:rPr>
                    <w:noProof/>
                    <w:webHidden/>
                  </w:rPr>
                  <w:fldChar w:fldCharType="separate"/>
                </w:r>
                <w:r>
                  <w:rPr>
                    <w:noProof/>
                    <w:webHidden/>
                  </w:rPr>
                  <w:t>42</w:t>
                </w:r>
                <w:r>
                  <w:rPr>
                    <w:noProof/>
                    <w:webHidden/>
                  </w:rPr>
                  <w:fldChar w:fldCharType="end"/>
                </w:r>
              </w:hyperlink>
            </w:p>
            <w:p w14:paraId="0B596DE4"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0" w:history="1">
                <w:r w:rsidRPr="00834068">
                  <w:rPr>
                    <w:rStyle w:val="Hyperlink"/>
                    <w:noProof/>
                  </w:rPr>
                  <w:t>HORIZON-WIDERA-2027-02-WIDENING-02: ERA Research Managers</w:t>
                </w:r>
                <w:r>
                  <w:rPr>
                    <w:noProof/>
                    <w:webHidden/>
                  </w:rPr>
                  <w:tab/>
                </w:r>
                <w:r>
                  <w:rPr>
                    <w:noProof/>
                    <w:webHidden/>
                  </w:rPr>
                  <w:fldChar w:fldCharType="begin"/>
                </w:r>
                <w:r>
                  <w:rPr>
                    <w:noProof/>
                    <w:webHidden/>
                  </w:rPr>
                  <w:instrText xml:space="preserve"> PAGEREF _Toc229997660 \h </w:instrText>
                </w:r>
                <w:r>
                  <w:rPr>
                    <w:noProof/>
                    <w:webHidden/>
                  </w:rPr>
                </w:r>
                <w:r>
                  <w:rPr>
                    <w:noProof/>
                    <w:webHidden/>
                  </w:rPr>
                  <w:fldChar w:fldCharType="separate"/>
                </w:r>
                <w:r>
                  <w:rPr>
                    <w:noProof/>
                    <w:webHidden/>
                  </w:rPr>
                  <w:t>46</w:t>
                </w:r>
                <w:r>
                  <w:rPr>
                    <w:noProof/>
                    <w:webHidden/>
                  </w:rPr>
                  <w:fldChar w:fldCharType="end"/>
                </w:r>
              </w:hyperlink>
            </w:p>
            <w:p w14:paraId="00D98CF6"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1" w:history="1">
                <w:r w:rsidRPr="00834068">
                  <w:rPr>
                    <w:rStyle w:val="Hyperlink"/>
                    <w:noProof/>
                  </w:rPr>
                  <w:t>HORIZON-WIDERA-2027-03-WIDENING-01: ERA Fellowships</w:t>
                </w:r>
                <w:r>
                  <w:rPr>
                    <w:noProof/>
                    <w:webHidden/>
                  </w:rPr>
                  <w:tab/>
                </w:r>
                <w:r>
                  <w:rPr>
                    <w:noProof/>
                    <w:webHidden/>
                  </w:rPr>
                  <w:fldChar w:fldCharType="begin"/>
                </w:r>
                <w:r>
                  <w:rPr>
                    <w:noProof/>
                    <w:webHidden/>
                  </w:rPr>
                  <w:instrText xml:space="preserve"> PAGEREF _Toc229997661 \h </w:instrText>
                </w:r>
                <w:r>
                  <w:rPr>
                    <w:noProof/>
                    <w:webHidden/>
                  </w:rPr>
                </w:r>
                <w:r>
                  <w:rPr>
                    <w:noProof/>
                    <w:webHidden/>
                  </w:rPr>
                  <w:fldChar w:fldCharType="separate"/>
                </w:r>
                <w:r>
                  <w:rPr>
                    <w:noProof/>
                    <w:webHidden/>
                  </w:rPr>
                  <w:t>50</w:t>
                </w:r>
                <w:r>
                  <w:rPr>
                    <w:noProof/>
                    <w:webHidden/>
                  </w:rPr>
                  <w:fldChar w:fldCharType="end"/>
                </w:r>
              </w:hyperlink>
            </w:p>
            <w:p w14:paraId="350177A2"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2" w:history="1">
                <w:r w:rsidRPr="00834068">
                  <w:rPr>
                    <w:rStyle w:val="Hyperlink"/>
                    <w:noProof/>
                  </w:rPr>
                  <w:t>HORIZON-WIDERA-2027-04-WIDENING-01: Excellence Hubs</w:t>
                </w:r>
                <w:r>
                  <w:rPr>
                    <w:noProof/>
                    <w:webHidden/>
                  </w:rPr>
                  <w:tab/>
                </w:r>
                <w:r>
                  <w:rPr>
                    <w:noProof/>
                    <w:webHidden/>
                  </w:rPr>
                  <w:fldChar w:fldCharType="begin"/>
                </w:r>
                <w:r>
                  <w:rPr>
                    <w:noProof/>
                    <w:webHidden/>
                  </w:rPr>
                  <w:instrText xml:space="preserve"> PAGEREF _Toc229997662 \h </w:instrText>
                </w:r>
                <w:r>
                  <w:rPr>
                    <w:noProof/>
                    <w:webHidden/>
                  </w:rPr>
                </w:r>
                <w:r>
                  <w:rPr>
                    <w:noProof/>
                    <w:webHidden/>
                  </w:rPr>
                  <w:fldChar w:fldCharType="separate"/>
                </w:r>
                <w:r>
                  <w:rPr>
                    <w:noProof/>
                    <w:webHidden/>
                  </w:rPr>
                  <w:t>54</w:t>
                </w:r>
                <w:r>
                  <w:rPr>
                    <w:noProof/>
                    <w:webHidden/>
                  </w:rPr>
                  <w:fldChar w:fldCharType="end"/>
                </w:r>
              </w:hyperlink>
            </w:p>
            <w:p w14:paraId="14575986"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63" w:history="1">
                <w:r w:rsidRPr="00834068">
                  <w:rPr>
                    <w:rStyle w:val="Hyperlink"/>
                  </w:rPr>
                  <w:t>Destination: Reforming and enhancing the European research and innovation system</w:t>
                </w:r>
                <w:r>
                  <w:rPr>
                    <w:webHidden/>
                  </w:rPr>
                  <w:tab/>
                </w:r>
                <w:r>
                  <w:rPr>
                    <w:webHidden/>
                  </w:rPr>
                  <w:fldChar w:fldCharType="begin"/>
                </w:r>
                <w:r>
                  <w:rPr>
                    <w:webHidden/>
                  </w:rPr>
                  <w:instrText xml:space="preserve"> PAGEREF _Toc229997663 \h </w:instrText>
                </w:r>
                <w:r>
                  <w:rPr>
                    <w:webHidden/>
                  </w:rPr>
                </w:r>
                <w:r>
                  <w:rPr>
                    <w:webHidden/>
                  </w:rPr>
                  <w:fldChar w:fldCharType="separate"/>
                </w:r>
                <w:r>
                  <w:rPr>
                    <w:webHidden/>
                  </w:rPr>
                  <w:t>58</w:t>
                </w:r>
                <w:r>
                  <w:rPr>
                    <w:webHidden/>
                  </w:rPr>
                  <w:fldChar w:fldCharType="end"/>
                </w:r>
              </w:hyperlink>
            </w:p>
            <w:p w14:paraId="76121639"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4" w:history="1">
                <w:r w:rsidRPr="00834068">
                  <w:rPr>
                    <w:rStyle w:val="Hyperlink"/>
                    <w:noProof/>
                  </w:rPr>
                  <w:t>HORIZON-WIDERA-2026-06-ERA-01: Pillar I: Accelerating open access and research assessment reforms in ERA</w:t>
                </w:r>
                <w:r>
                  <w:rPr>
                    <w:noProof/>
                    <w:webHidden/>
                  </w:rPr>
                  <w:tab/>
                </w:r>
                <w:r>
                  <w:rPr>
                    <w:noProof/>
                    <w:webHidden/>
                  </w:rPr>
                  <w:fldChar w:fldCharType="begin"/>
                </w:r>
                <w:r>
                  <w:rPr>
                    <w:noProof/>
                    <w:webHidden/>
                  </w:rPr>
                  <w:instrText xml:space="preserve"> PAGEREF _Toc229997664 \h </w:instrText>
                </w:r>
                <w:r>
                  <w:rPr>
                    <w:noProof/>
                    <w:webHidden/>
                  </w:rPr>
                </w:r>
                <w:r>
                  <w:rPr>
                    <w:noProof/>
                    <w:webHidden/>
                  </w:rPr>
                  <w:fldChar w:fldCharType="separate"/>
                </w:r>
                <w:r>
                  <w:rPr>
                    <w:noProof/>
                    <w:webHidden/>
                  </w:rPr>
                  <w:t>60</w:t>
                </w:r>
                <w:r>
                  <w:rPr>
                    <w:noProof/>
                    <w:webHidden/>
                  </w:rPr>
                  <w:fldChar w:fldCharType="end"/>
                </w:r>
              </w:hyperlink>
            </w:p>
            <w:p w14:paraId="2EEB752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5" w:history="1">
                <w:r w:rsidRPr="00834068">
                  <w:rPr>
                    <w:rStyle w:val="Hyperlink"/>
                    <w:noProof/>
                  </w:rPr>
                  <w:t>HORIZON-WIDERA-2026-06-ERA-02: Pillar I: Building institutional capacities for ethical, equitable, open, and inclusive ERA</w:t>
                </w:r>
                <w:r>
                  <w:rPr>
                    <w:noProof/>
                    <w:webHidden/>
                  </w:rPr>
                  <w:tab/>
                </w:r>
                <w:r>
                  <w:rPr>
                    <w:noProof/>
                    <w:webHidden/>
                  </w:rPr>
                  <w:fldChar w:fldCharType="begin"/>
                </w:r>
                <w:r>
                  <w:rPr>
                    <w:noProof/>
                    <w:webHidden/>
                  </w:rPr>
                  <w:instrText xml:space="preserve"> PAGEREF _Toc229997665 \h </w:instrText>
                </w:r>
                <w:r>
                  <w:rPr>
                    <w:noProof/>
                    <w:webHidden/>
                  </w:rPr>
                </w:r>
                <w:r>
                  <w:rPr>
                    <w:noProof/>
                    <w:webHidden/>
                  </w:rPr>
                  <w:fldChar w:fldCharType="separate"/>
                </w:r>
                <w:r>
                  <w:rPr>
                    <w:noProof/>
                    <w:webHidden/>
                  </w:rPr>
                  <w:t>64</w:t>
                </w:r>
                <w:r>
                  <w:rPr>
                    <w:noProof/>
                    <w:webHidden/>
                  </w:rPr>
                  <w:fldChar w:fldCharType="end"/>
                </w:r>
              </w:hyperlink>
            </w:p>
            <w:p w14:paraId="19FAB66F"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6" w:history="1">
                <w:r w:rsidRPr="00834068">
                  <w:rPr>
                    <w:rStyle w:val="Hyperlink"/>
                    <w:noProof/>
                  </w:rPr>
                  <w:t>HORIZON-WIDERA-2026-06-ERA-03: Pillar II: Strengthening ecosystems for open, ethical, and sustainable ERA</w:t>
                </w:r>
                <w:r>
                  <w:rPr>
                    <w:noProof/>
                    <w:webHidden/>
                  </w:rPr>
                  <w:tab/>
                </w:r>
                <w:r>
                  <w:rPr>
                    <w:noProof/>
                    <w:webHidden/>
                  </w:rPr>
                  <w:fldChar w:fldCharType="begin"/>
                </w:r>
                <w:r>
                  <w:rPr>
                    <w:noProof/>
                    <w:webHidden/>
                  </w:rPr>
                  <w:instrText xml:space="preserve"> PAGEREF _Toc229997666 \h </w:instrText>
                </w:r>
                <w:r>
                  <w:rPr>
                    <w:noProof/>
                    <w:webHidden/>
                  </w:rPr>
                </w:r>
                <w:r>
                  <w:rPr>
                    <w:noProof/>
                    <w:webHidden/>
                  </w:rPr>
                  <w:fldChar w:fldCharType="separate"/>
                </w:r>
                <w:r>
                  <w:rPr>
                    <w:noProof/>
                    <w:webHidden/>
                  </w:rPr>
                  <w:t>70</w:t>
                </w:r>
                <w:r>
                  <w:rPr>
                    <w:noProof/>
                    <w:webHidden/>
                  </w:rPr>
                  <w:fldChar w:fldCharType="end"/>
                </w:r>
              </w:hyperlink>
            </w:p>
            <w:p w14:paraId="42358290"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7" w:history="1">
                <w:r w:rsidRPr="00834068">
                  <w:rPr>
                    <w:rStyle w:val="Hyperlink"/>
                    <w:noProof/>
                  </w:rPr>
                  <w:t>HORIZON-WIDERA-2026-06-ERA-04: Pillar II: Piloting innovative approaches to support academic startups and spinoffs</w:t>
                </w:r>
                <w:r>
                  <w:rPr>
                    <w:noProof/>
                    <w:webHidden/>
                  </w:rPr>
                  <w:tab/>
                </w:r>
                <w:r>
                  <w:rPr>
                    <w:noProof/>
                    <w:webHidden/>
                  </w:rPr>
                  <w:fldChar w:fldCharType="begin"/>
                </w:r>
                <w:r>
                  <w:rPr>
                    <w:noProof/>
                    <w:webHidden/>
                  </w:rPr>
                  <w:instrText xml:space="preserve"> PAGEREF _Toc229997667 \h </w:instrText>
                </w:r>
                <w:r>
                  <w:rPr>
                    <w:noProof/>
                    <w:webHidden/>
                  </w:rPr>
                </w:r>
                <w:r>
                  <w:rPr>
                    <w:noProof/>
                    <w:webHidden/>
                  </w:rPr>
                  <w:fldChar w:fldCharType="separate"/>
                </w:r>
                <w:r>
                  <w:rPr>
                    <w:noProof/>
                    <w:webHidden/>
                  </w:rPr>
                  <w:t>74</w:t>
                </w:r>
                <w:r>
                  <w:rPr>
                    <w:noProof/>
                    <w:webHidden/>
                  </w:rPr>
                  <w:fldChar w:fldCharType="end"/>
                </w:r>
              </w:hyperlink>
            </w:p>
            <w:p w14:paraId="19DE97AC"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8" w:history="1">
                <w:r w:rsidRPr="00834068">
                  <w:rPr>
                    <w:rStyle w:val="Hyperlink"/>
                    <w:noProof/>
                  </w:rPr>
                  <w:t>HORIZON-WIDERA-2026-06-ERA-05: Pillar III: Fostering citizen engagement for more responsible and democratic R&amp;I</w:t>
                </w:r>
                <w:r>
                  <w:rPr>
                    <w:noProof/>
                    <w:webHidden/>
                  </w:rPr>
                  <w:tab/>
                </w:r>
                <w:r>
                  <w:rPr>
                    <w:noProof/>
                    <w:webHidden/>
                  </w:rPr>
                  <w:fldChar w:fldCharType="begin"/>
                </w:r>
                <w:r>
                  <w:rPr>
                    <w:noProof/>
                    <w:webHidden/>
                  </w:rPr>
                  <w:instrText xml:space="preserve"> PAGEREF _Toc229997668 \h </w:instrText>
                </w:r>
                <w:r>
                  <w:rPr>
                    <w:noProof/>
                    <w:webHidden/>
                  </w:rPr>
                </w:r>
                <w:r>
                  <w:rPr>
                    <w:noProof/>
                    <w:webHidden/>
                  </w:rPr>
                  <w:fldChar w:fldCharType="separate"/>
                </w:r>
                <w:r>
                  <w:rPr>
                    <w:noProof/>
                    <w:webHidden/>
                  </w:rPr>
                  <w:t>76</w:t>
                </w:r>
                <w:r>
                  <w:rPr>
                    <w:noProof/>
                    <w:webHidden/>
                  </w:rPr>
                  <w:fldChar w:fldCharType="end"/>
                </w:r>
              </w:hyperlink>
            </w:p>
            <w:p w14:paraId="0B6D4E4C"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69" w:history="1">
                <w:r w:rsidRPr="00834068">
                  <w:rPr>
                    <w:rStyle w:val="Hyperlink"/>
                    <w:noProof/>
                  </w:rPr>
                  <w:t>HORIZON-WIDERA-2026-06-ERA-06: Pillar III: European Citizens' Hackathon Championship</w:t>
                </w:r>
                <w:r>
                  <w:rPr>
                    <w:noProof/>
                    <w:webHidden/>
                  </w:rPr>
                  <w:tab/>
                </w:r>
                <w:r>
                  <w:rPr>
                    <w:noProof/>
                    <w:webHidden/>
                  </w:rPr>
                  <w:fldChar w:fldCharType="begin"/>
                </w:r>
                <w:r>
                  <w:rPr>
                    <w:noProof/>
                    <w:webHidden/>
                  </w:rPr>
                  <w:instrText xml:space="preserve"> PAGEREF _Toc229997669 \h </w:instrText>
                </w:r>
                <w:r>
                  <w:rPr>
                    <w:noProof/>
                    <w:webHidden/>
                  </w:rPr>
                </w:r>
                <w:r>
                  <w:rPr>
                    <w:noProof/>
                    <w:webHidden/>
                  </w:rPr>
                  <w:fldChar w:fldCharType="separate"/>
                </w:r>
                <w:r>
                  <w:rPr>
                    <w:noProof/>
                    <w:webHidden/>
                  </w:rPr>
                  <w:t>80</w:t>
                </w:r>
                <w:r>
                  <w:rPr>
                    <w:noProof/>
                    <w:webHidden/>
                  </w:rPr>
                  <w:fldChar w:fldCharType="end"/>
                </w:r>
              </w:hyperlink>
            </w:p>
            <w:p w14:paraId="7B615E8C"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0" w:history="1">
                <w:r w:rsidRPr="00834068">
                  <w:rPr>
                    <w:rStyle w:val="Hyperlink"/>
                    <w:noProof/>
                  </w:rPr>
                  <w:t>HORIZON-WIDERA-2026-06-ERA-07: Pillar III: Science comes to town 2028</w:t>
                </w:r>
                <w:r>
                  <w:rPr>
                    <w:noProof/>
                    <w:webHidden/>
                  </w:rPr>
                  <w:tab/>
                </w:r>
                <w:r>
                  <w:rPr>
                    <w:noProof/>
                    <w:webHidden/>
                  </w:rPr>
                  <w:fldChar w:fldCharType="begin"/>
                </w:r>
                <w:r>
                  <w:rPr>
                    <w:noProof/>
                    <w:webHidden/>
                  </w:rPr>
                  <w:instrText xml:space="preserve"> PAGEREF _Toc229997670 \h </w:instrText>
                </w:r>
                <w:r>
                  <w:rPr>
                    <w:noProof/>
                    <w:webHidden/>
                  </w:rPr>
                </w:r>
                <w:r>
                  <w:rPr>
                    <w:noProof/>
                    <w:webHidden/>
                  </w:rPr>
                  <w:fldChar w:fldCharType="separate"/>
                </w:r>
                <w:r>
                  <w:rPr>
                    <w:noProof/>
                    <w:webHidden/>
                  </w:rPr>
                  <w:t>82</w:t>
                </w:r>
                <w:r>
                  <w:rPr>
                    <w:noProof/>
                    <w:webHidden/>
                  </w:rPr>
                  <w:fldChar w:fldCharType="end"/>
                </w:r>
              </w:hyperlink>
            </w:p>
            <w:p w14:paraId="61750FC0"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1" w:history="1">
                <w:r w:rsidRPr="00834068">
                  <w:rPr>
                    <w:rStyle w:val="Hyperlink"/>
                    <w:noProof/>
                  </w:rPr>
                  <w:t>HORIZON-WIDERA-2026-06-ERA-08: Pillar IV: Advancing Knowledge for ERA</w:t>
                </w:r>
                <w:r>
                  <w:rPr>
                    <w:noProof/>
                    <w:webHidden/>
                  </w:rPr>
                  <w:tab/>
                </w:r>
                <w:r>
                  <w:rPr>
                    <w:noProof/>
                    <w:webHidden/>
                  </w:rPr>
                  <w:fldChar w:fldCharType="begin"/>
                </w:r>
                <w:r>
                  <w:rPr>
                    <w:noProof/>
                    <w:webHidden/>
                  </w:rPr>
                  <w:instrText xml:space="preserve"> PAGEREF _Toc229997671 \h </w:instrText>
                </w:r>
                <w:r>
                  <w:rPr>
                    <w:noProof/>
                    <w:webHidden/>
                  </w:rPr>
                </w:r>
                <w:r>
                  <w:rPr>
                    <w:noProof/>
                    <w:webHidden/>
                  </w:rPr>
                  <w:fldChar w:fldCharType="separate"/>
                </w:r>
                <w:r>
                  <w:rPr>
                    <w:noProof/>
                    <w:webHidden/>
                  </w:rPr>
                  <w:t>84</w:t>
                </w:r>
                <w:r>
                  <w:rPr>
                    <w:noProof/>
                    <w:webHidden/>
                  </w:rPr>
                  <w:fldChar w:fldCharType="end"/>
                </w:r>
              </w:hyperlink>
            </w:p>
            <w:p w14:paraId="62EA325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2" w:history="1">
                <w:r w:rsidRPr="00834068">
                  <w:rPr>
                    <w:rStyle w:val="Hyperlink"/>
                    <w:noProof/>
                  </w:rPr>
                  <w:t>HORIZON-WIDERA-2027-05-ERA-01: Pillar I: Facilitating development of institutional open access policies through the retention of intellectual property rights</w:t>
                </w:r>
                <w:r>
                  <w:rPr>
                    <w:noProof/>
                    <w:webHidden/>
                  </w:rPr>
                  <w:tab/>
                </w:r>
                <w:r>
                  <w:rPr>
                    <w:noProof/>
                    <w:webHidden/>
                  </w:rPr>
                  <w:fldChar w:fldCharType="begin"/>
                </w:r>
                <w:r>
                  <w:rPr>
                    <w:noProof/>
                    <w:webHidden/>
                  </w:rPr>
                  <w:instrText xml:space="preserve"> PAGEREF _Toc229997672 \h </w:instrText>
                </w:r>
                <w:r>
                  <w:rPr>
                    <w:noProof/>
                    <w:webHidden/>
                  </w:rPr>
                </w:r>
                <w:r>
                  <w:rPr>
                    <w:noProof/>
                    <w:webHidden/>
                  </w:rPr>
                  <w:fldChar w:fldCharType="separate"/>
                </w:r>
                <w:r>
                  <w:rPr>
                    <w:noProof/>
                    <w:webHidden/>
                  </w:rPr>
                  <w:t>92</w:t>
                </w:r>
                <w:r>
                  <w:rPr>
                    <w:noProof/>
                    <w:webHidden/>
                  </w:rPr>
                  <w:fldChar w:fldCharType="end"/>
                </w:r>
              </w:hyperlink>
            </w:p>
            <w:p w14:paraId="4D9AC5B1"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3" w:history="1">
                <w:r w:rsidRPr="00834068">
                  <w:rPr>
                    <w:rStyle w:val="Hyperlink"/>
                    <w:noProof/>
                  </w:rPr>
                  <w:t>HORIZON-WIDERA-2027-05-ERA-02: Pillar II: Talent ecosystems for attractive early research careers</w:t>
                </w:r>
                <w:r>
                  <w:rPr>
                    <w:noProof/>
                    <w:webHidden/>
                  </w:rPr>
                  <w:tab/>
                </w:r>
                <w:r>
                  <w:rPr>
                    <w:noProof/>
                    <w:webHidden/>
                  </w:rPr>
                  <w:fldChar w:fldCharType="begin"/>
                </w:r>
                <w:r>
                  <w:rPr>
                    <w:noProof/>
                    <w:webHidden/>
                  </w:rPr>
                  <w:instrText xml:space="preserve"> PAGEREF _Toc229997673 \h </w:instrText>
                </w:r>
                <w:r>
                  <w:rPr>
                    <w:noProof/>
                    <w:webHidden/>
                  </w:rPr>
                </w:r>
                <w:r>
                  <w:rPr>
                    <w:noProof/>
                    <w:webHidden/>
                  </w:rPr>
                  <w:fldChar w:fldCharType="separate"/>
                </w:r>
                <w:r>
                  <w:rPr>
                    <w:noProof/>
                    <w:webHidden/>
                  </w:rPr>
                  <w:t>94</w:t>
                </w:r>
                <w:r>
                  <w:rPr>
                    <w:noProof/>
                    <w:webHidden/>
                  </w:rPr>
                  <w:fldChar w:fldCharType="end"/>
                </w:r>
              </w:hyperlink>
            </w:p>
            <w:p w14:paraId="459F0213"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4" w:history="1">
                <w:r w:rsidRPr="00834068">
                  <w:rPr>
                    <w:rStyle w:val="Hyperlink"/>
                    <w:noProof/>
                  </w:rPr>
                  <w:t>HORIZON-WIDERA-2027-05-ERA-03: Pillar III: Science comes to town 2029</w:t>
                </w:r>
                <w:r>
                  <w:rPr>
                    <w:noProof/>
                    <w:webHidden/>
                  </w:rPr>
                  <w:tab/>
                </w:r>
                <w:r>
                  <w:rPr>
                    <w:noProof/>
                    <w:webHidden/>
                  </w:rPr>
                  <w:fldChar w:fldCharType="begin"/>
                </w:r>
                <w:r>
                  <w:rPr>
                    <w:noProof/>
                    <w:webHidden/>
                  </w:rPr>
                  <w:instrText xml:space="preserve"> PAGEREF _Toc229997674 \h </w:instrText>
                </w:r>
                <w:r>
                  <w:rPr>
                    <w:noProof/>
                    <w:webHidden/>
                  </w:rPr>
                </w:r>
                <w:r>
                  <w:rPr>
                    <w:noProof/>
                    <w:webHidden/>
                  </w:rPr>
                  <w:fldChar w:fldCharType="separate"/>
                </w:r>
                <w:r>
                  <w:rPr>
                    <w:noProof/>
                    <w:webHidden/>
                  </w:rPr>
                  <w:t>97</w:t>
                </w:r>
                <w:r>
                  <w:rPr>
                    <w:noProof/>
                    <w:webHidden/>
                  </w:rPr>
                  <w:fldChar w:fldCharType="end"/>
                </w:r>
              </w:hyperlink>
            </w:p>
            <w:p w14:paraId="001F6687"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5" w:history="1">
                <w:r w:rsidRPr="00834068">
                  <w:rPr>
                    <w:rStyle w:val="Hyperlink"/>
                    <w:noProof/>
                  </w:rPr>
                  <w:t>HORIZON-WIDERA-2027-05-ERA-04: Pillar III: Promoting public engagement in R&amp;I and scientific literacy</w:t>
                </w:r>
                <w:r>
                  <w:rPr>
                    <w:noProof/>
                    <w:webHidden/>
                  </w:rPr>
                  <w:tab/>
                </w:r>
                <w:r>
                  <w:rPr>
                    <w:noProof/>
                    <w:webHidden/>
                  </w:rPr>
                  <w:fldChar w:fldCharType="begin"/>
                </w:r>
                <w:r>
                  <w:rPr>
                    <w:noProof/>
                    <w:webHidden/>
                  </w:rPr>
                  <w:instrText xml:space="preserve"> PAGEREF _Toc229997675 \h </w:instrText>
                </w:r>
                <w:r>
                  <w:rPr>
                    <w:noProof/>
                    <w:webHidden/>
                  </w:rPr>
                </w:r>
                <w:r>
                  <w:rPr>
                    <w:noProof/>
                    <w:webHidden/>
                  </w:rPr>
                  <w:fldChar w:fldCharType="separate"/>
                </w:r>
                <w:r>
                  <w:rPr>
                    <w:noProof/>
                    <w:webHidden/>
                  </w:rPr>
                  <w:t>100</w:t>
                </w:r>
                <w:r>
                  <w:rPr>
                    <w:noProof/>
                    <w:webHidden/>
                  </w:rPr>
                  <w:fldChar w:fldCharType="end"/>
                </w:r>
              </w:hyperlink>
            </w:p>
            <w:p w14:paraId="4FACF16E"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6" w:history="1">
                <w:r w:rsidRPr="00834068">
                  <w:rPr>
                    <w:rStyle w:val="Hyperlink"/>
                    <w:noProof/>
                  </w:rPr>
                  <w:t>HORIZON-WIDERA-2027-05-ERA-05: Pillar IV: Upgrading the EU’s independent knowledge on China's Science, Technology and Innovation system</w:t>
                </w:r>
                <w:r>
                  <w:rPr>
                    <w:noProof/>
                    <w:webHidden/>
                  </w:rPr>
                  <w:tab/>
                </w:r>
                <w:r>
                  <w:rPr>
                    <w:noProof/>
                    <w:webHidden/>
                  </w:rPr>
                  <w:fldChar w:fldCharType="begin"/>
                </w:r>
                <w:r>
                  <w:rPr>
                    <w:noProof/>
                    <w:webHidden/>
                  </w:rPr>
                  <w:instrText xml:space="preserve"> PAGEREF _Toc229997676 \h </w:instrText>
                </w:r>
                <w:r>
                  <w:rPr>
                    <w:noProof/>
                    <w:webHidden/>
                  </w:rPr>
                </w:r>
                <w:r>
                  <w:rPr>
                    <w:noProof/>
                    <w:webHidden/>
                  </w:rPr>
                  <w:fldChar w:fldCharType="separate"/>
                </w:r>
                <w:r>
                  <w:rPr>
                    <w:noProof/>
                    <w:webHidden/>
                  </w:rPr>
                  <w:t>103</w:t>
                </w:r>
                <w:r>
                  <w:rPr>
                    <w:noProof/>
                    <w:webHidden/>
                  </w:rPr>
                  <w:fldChar w:fldCharType="end"/>
                </w:r>
              </w:hyperlink>
            </w:p>
            <w:p w14:paraId="38B6DF21"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77" w:history="1">
                <w:r w:rsidRPr="00834068">
                  <w:rPr>
                    <w:rStyle w:val="Hyperlink"/>
                  </w:rPr>
                  <w:t>PRIZES</w:t>
                </w:r>
                <w:r>
                  <w:rPr>
                    <w:webHidden/>
                  </w:rPr>
                  <w:tab/>
                </w:r>
                <w:r>
                  <w:rPr>
                    <w:webHidden/>
                  </w:rPr>
                  <w:fldChar w:fldCharType="begin"/>
                </w:r>
                <w:r>
                  <w:rPr>
                    <w:webHidden/>
                  </w:rPr>
                  <w:instrText xml:space="preserve"> PAGEREF _Toc229997677 \h </w:instrText>
                </w:r>
                <w:r>
                  <w:rPr>
                    <w:webHidden/>
                  </w:rPr>
                </w:r>
                <w:r>
                  <w:rPr>
                    <w:webHidden/>
                  </w:rPr>
                  <w:fldChar w:fldCharType="separate"/>
                </w:r>
                <w:r>
                  <w:rPr>
                    <w:webHidden/>
                  </w:rPr>
                  <w:t>106</w:t>
                </w:r>
                <w:r>
                  <w:rPr>
                    <w:webHidden/>
                  </w:rPr>
                  <w:fldChar w:fldCharType="end"/>
                </w:r>
              </w:hyperlink>
            </w:p>
            <w:p w14:paraId="5A9AD8DE"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8" w:history="1">
                <w:r w:rsidRPr="00834068">
                  <w:rPr>
                    <w:rStyle w:val="Hyperlink"/>
                    <w:noProof/>
                  </w:rPr>
                  <w:t>1. EU Award for Gender Equality Champions 2026</w:t>
                </w:r>
                <w:r>
                  <w:rPr>
                    <w:noProof/>
                    <w:webHidden/>
                  </w:rPr>
                  <w:tab/>
                </w:r>
                <w:r>
                  <w:rPr>
                    <w:noProof/>
                    <w:webHidden/>
                  </w:rPr>
                  <w:fldChar w:fldCharType="begin"/>
                </w:r>
                <w:r>
                  <w:rPr>
                    <w:noProof/>
                    <w:webHidden/>
                  </w:rPr>
                  <w:instrText xml:space="preserve"> PAGEREF _Toc229997678 \h </w:instrText>
                </w:r>
                <w:r>
                  <w:rPr>
                    <w:noProof/>
                    <w:webHidden/>
                  </w:rPr>
                </w:r>
                <w:r>
                  <w:rPr>
                    <w:noProof/>
                    <w:webHidden/>
                  </w:rPr>
                  <w:fldChar w:fldCharType="separate"/>
                </w:r>
                <w:r>
                  <w:rPr>
                    <w:noProof/>
                    <w:webHidden/>
                  </w:rPr>
                  <w:t>106</w:t>
                </w:r>
                <w:r>
                  <w:rPr>
                    <w:noProof/>
                    <w:webHidden/>
                  </w:rPr>
                  <w:fldChar w:fldCharType="end"/>
                </w:r>
              </w:hyperlink>
            </w:p>
            <w:p w14:paraId="017E9B5D"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79" w:history="1">
                <w:r w:rsidRPr="00834068">
                  <w:rPr>
                    <w:rStyle w:val="Hyperlink"/>
                    <w:noProof/>
                  </w:rPr>
                  <w:t>2. EU Award for Gender Equality Champions 2027</w:t>
                </w:r>
                <w:r>
                  <w:rPr>
                    <w:noProof/>
                    <w:webHidden/>
                  </w:rPr>
                  <w:tab/>
                </w:r>
                <w:r>
                  <w:rPr>
                    <w:noProof/>
                    <w:webHidden/>
                  </w:rPr>
                  <w:fldChar w:fldCharType="begin"/>
                </w:r>
                <w:r>
                  <w:rPr>
                    <w:noProof/>
                    <w:webHidden/>
                  </w:rPr>
                  <w:instrText xml:space="preserve"> PAGEREF _Toc229997679 \h </w:instrText>
                </w:r>
                <w:r>
                  <w:rPr>
                    <w:noProof/>
                    <w:webHidden/>
                  </w:rPr>
                </w:r>
                <w:r>
                  <w:rPr>
                    <w:noProof/>
                    <w:webHidden/>
                  </w:rPr>
                  <w:fldChar w:fldCharType="separate"/>
                </w:r>
                <w:r>
                  <w:rPr>
                    <w:noProof/>
                    <w:webHidden/>
                  </w:rPr>
                  <w:t>107</w:t>
                </w:r>
                <w:r>
                  <w:rPr>
                    <w:noProof/>
                    <w:webHidden/>
                  </w:rPr>
                  <w:fldChar w:fldCharType="end"/>
                </w:r>
              </w:hyperlink>
            </w:p>
            <w:p w14:paraId="711AE2AC"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80" w:history="1">
                <w:r w:rsidRPr="00834068">
                  <w:rPr>
                    <w:rStyle w:val="Hyperlink"/>
                  </w:rPr>
                  <w:t>GRANTS TO IDENTIFIED BENEFICIARIES</w:t>
                </w:r>
                <w:r>
                  <w:rPr>
                    <w:webHidden/>
                  </w:rPr>
                  <w:tab/>
                </w:r>
                <w:r>
                  <w:rPr>
                    <w:webHidden/>
                  </w:rPr>
                  <w:fldChar w:fldCharType="begin"/>
                </w:r>
                <w:r>
                  <w:rPr>
                    <w:webHidden/>
                  </w:rPr>
                  <w:instrText xml:space="preserve"> PAGEREF _Toc229997680 \h </w:instrText>
                </w:r>
                <w:r>
                  <w:rPr>
                    <w:webHidden/>
                  </w:rPr>
                </w:r>
                <w:r>
                  <w:rPr>
                    <w:webHidden/>
                  </w:rPr>
                  <w:fldChar w:fldCharType="separate"/>
                </w:r>
                <w:r>
                  <w:rPr>
                    <w:webHidden/>
                  </w:rPr>
                  <w:t>110</w:t>
                </w:r>
                <w:r>
                  <w:rPr>
                    <w:webHidden/>
                  </w:rPr>
                  <w:fldChar w:fldCharType="end"/>
                </w:r>
              </w:hyperlink>
            </w:p>
            <w:p w14:paraId="2F76E0EA"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1" w:history="1">
                <w:r w:rsidRPr="00834068">
                  <w:rPr>
                    <w:rStyle w:val="Hyperlink"/>
                    <w:noProof/>
                  </w:rPr>
                  <w:t>1. Presidency conferences with a European regional dimension - WIRE 2028</w:t>
                </w:r>
                <w:r>
                  <w:rPr>
                    <w:noProof/>
                    <w:webHidden/>
                  </w:rPr>
                  <w:tab/>
                </w:r>
                <w:r>
                  <w:rPr>
                    <w:noProof/>
                    <w:webHidden/>
                  </w:rPr>
                  <w:fldChar w:fldCharType="begin"/>
                </w:r>
                <w:r>
                  <w:rPr>
                    <w:noProof/>
                    <w:webHidden/>
                  </w:rPr>
                  <w:instrText xml:space="preserve"> PAGEREF _Toc229997681 \h </w:instrText>
                </w:r>
                <w:r>
                  <w:rPr>
                    <w:noProof/>
                    <w:webHidden/>
                  </w:rPr>
                </w:r>
                <w:r>
                  <w:rPr>
                    <w:noProof/>
                    <w:webHidden/>
                  </w:rPr>
                  <w:fldChar w:fldCharType="separate"/>
                </w:r>
                <w:r>
                  <w:rPr>
                    <w:noProof/>
                    <w:webHidden/>
                  </w:rPr>
                  <w:t>110</w:t>
                </w:r>
                <w:r>
                  <w:rPr>
                    <w:noProof/>
                    <w:webHidden/>
                  </w:rPr>
                  <w:fldChar w:fldCharType="end"/>
                </w:r>
              </w:hyperlink>
            </w:p>
            <w:p w14:paraId="7E9F3CC2"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2" w:history="1">
                <w:r w:rsidRPr="00834068">
                  <w:rPr>
                    <w:rStyle w:val="Hyperlink"/>
                    <w:noProof/>
                  </w:rPr>
                  <w:t>2. Futures Hubs for the R&amp;I foresight community</w:t>
                </w:r>
                <w:r>
                  <w:rPr>
                    <w:noProof/>
                    <w:webHidden/>
                  </w:rPr>
                  <w:tab/>
                </w:r>
                <w:r>
                  <w:rPr>
                    <w:noProof/>
                    <w:webHidden/>
                  </w:rPr>
                  <w:fldChar w:fldCharType="begin"/>
                </w:r>
                <w:r>
                  <w:rPr>
                    <w:noProof/>
                    <w:webHidden/>
                  </w:rPr>
                  <w:instrText xml:space="preserve"> PAGEREF _Toc229997682 \h </w:instrText>
                </w:r>
                <w:r>
                  <w:rPr>
                    <w:noProof/>
                    <w:webHidden/>
                  </w:rPr>
                </w:r>
                <w:r>
                  <w:rPr>
                    <w:noProof/>
                    <w:webHidden/>
                  </w:rPr>
                  <w:fldChar w:fldCharType="separate"/>
                </w:r>
                <w:r>
                  <w:rPr>
                    <w:noProof/>
                    <w:webHidden/>
                  </w:rPr>
                  <w:t>111</w:t>
                </w:r>
                <w:r>
                  <w:rPr>
                    <w:noProof/>
                    <w:webHidden/>
                  </w:rPr>
                  <w:fldChar w:fldCharType="end"/>
                </w:r>
              </w:hyperlink>
            </w:p>
            <w:p w14:paraId="3DEAD0D1"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3" w:history="1">
                <w:r w:rsidRPr="00834068">
                  <w:rPr>
                    <w:rStyle w:val="Hyperlink"/>
                    <w:noProof/>
                  </w:rPr>
                  <w:t>3. Promotion and valorisation of the ERA Policy Agenda results and related activities</w:t>
                </w:r>
                <w:r>
                  <w:rPr>
                    <w:noProof/>
                    <w:webHidden/>
                  </w:rPr>
                  <w:tab/>
                </w:r>
                <w:r>
                  <w:rPr>
                    <w:noProof/>
                    <w:webHidden/>
                  </w:rPr>
                  <w:fldChar w:fldCharType="begin"/>
                </w:r>
                <w:r>
                  <w:rPr>
                    <w:noProof/>
                    <w:webHidden/>
                  </w:rPr>
                  <w:instrText xml:space="preserve"> PAGEREF _Toc229997683 \h </w:instrText>
                </w:r>
                <w:r>
                  <w:rPr>
                    <w:noProof/>
                    <w:webHidden/>
                  </w:rPr>
                </w:r>
                <w:r>
                  <w:rPr>
                    <w:noProof/>
                    <w:webHidden/>
                  </w:rPr>
                  <w:fldChar w:fldCharType="separate"/>
                </w:r>
                <w:r>
                  <w:rPr>
                    <w:noProof/>
                    <w:webHidden/>
                  </w:rPr>
                  <w:t>113</w:t>
                </w:r>
                <w:r>
                  <w:rPr>
                    <w:noProof/>
                    <w:webHidden/>
                  </w:rPr>
                  <w:fldChar w:fldCharType="end"/>
                </w:r>
              </w:hyperlink>
            </w:p>
            <w:p w14:paraId="7459C2F4"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4" w:history="1">
                <w:r w:rsidRPr="00834068">
                  <w:rPr>
                    <w:rStyle w:val="Hyperlink"/>
                    <w:noProof/>
                  </w:rPr>
                  <w:t>4. Advancing operational excellence of EURAXESS</w:t>
                </w:r>
                <w:r>
                  <w:rPr>
                    <w:noProof/>
                    <w:webHidden/>
                  </w:rPr>
                  <w:tab/>
                </w:r>
                <w:r>
                  <w:rPr>
                    <w:noProof/>
                    <w:webHidden/>
                  </w:rPr>
                  <w:fldChar w:fldCharType="begin"/>
                </w:r>
                <w:r>
                  <w:rPr>
                    <w:noProof/>
                    <w:webHidden/>
                  </w:rPr>
                  <w:instrText xml:space="preserve"> PAGEREF _Toc229997684 \h </w:instrText>
                </w:r>
                <w:r>
                  <w:rPr>
                    <w:noProof/>
                    <w:webHidden/>
                  </w:rPr>
                </w:r>
                <w:r>
                  <w:rPr>
                    <w:noProof/>
                    <w:webHidden/>
                  </w:rPr>
                  <w:fldChar w:fldCharType="separate"/>
                </w:r>
                <w:r>
                  <w:rPr>
                    <w:noProof/>
                    <w:webHidden/>
                  </w:rPr>
                  <w:t>115</w:t>
                </w:r>
                <w:r>
                  <w:rPr>
                    <w:noProof/>
                    <w:webHidden/>
                  </w:rPr>
                  <w:fldChar w:fldCharType="end"/>
                </w:r>
              </w:hyperlink>
            </w:p>
            <w:p w14:paraId="32991376"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5" w:history="1">
                <w:r w:rsidRPr="00834068">
                  <w:rPr>
                    <w:rStyle w:val="Hyperlink"/>
                    <w:noProof/>
                  </w:rPr>
                  <w:t>5. Support to the operations of CoARA</w:t>
                </w:r>
                <w:r>
                  <w:rPr>
                    <w:noProof/>
                    <w:webHidden/>
                  </w:rPr>
                  <w:tab/>
                </w:r>
                <w:r>
                  <w:rPr>
                    <w:noProof/>
                    <w:webHidden/>
                  </w:rPr>
                  <w:fldChar w:fldCharType="begin"/>
                </w:r>
                <w:r>
                  <w:rPr>
                    <w:noProof/>
                    <w:webHidden/>
                  </w:rPr>
                  <w:instrText xml:space="preserve"> PAGEREF _Toc229997685 \h </w:instrText>
                </w:r>
                <w:r>
                  <w:rPr>
                    <w:noProof/>
                    <w:webHidden/>
                  </w:rPr>
                </w:r>
                <w:r>
                  <w:rPr>
                    <w:noProof/>
                    <w:webHidden/>
                  </w:rPr>
                  <w:fldChar w:fldCharType="separate"/>
                </w:r>
                <w:r>
                  <w:rPr>
                    <w:noProof/>
                    <w:webHidden/>
                  </w:rPr>
                  <w:t>117</w:t>
                </w:r>
                <w:r>
                  <w:rPr>
                    <w:noProof/>
                    <w:webHidden/>
                  </w:rPr>
                  <w:fldChar w:fldCharType="end"/>
                </w:r>
              </w:hyperlink>
            </w:p>
            <w:p w14:paraId="358C636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6" w:history="1">
                <w:r w:rsidRPr="00834068">
                  <w:rPr>
                    <w:rStyle w:val="Hyperlink"/>
                    <w:noProof/>
                  </w:rPr>
                  <w:t>6. Policy coordination to support gender equality and inclusiveness in the ERA</w:t>
                </w:r>
                <w:r>
                  <w:rPr>
                    <w:noProof/>
                    <w:webHidden/>
                  </w:rPr>
                  <w:tab/>
                </w:r>
                <w:r>
                  <w:rPr>
                    <w:noProof/>
                    <w:webHidden/>
                  </w:rPr>
                  <w:fldChar w:fldCharType="begin"/>
                </w:r>
                <w:r>
                  <w:rPr>
                    <w:noProof/>
                    <w:webHidden/>
                  </w:rPr>
                  <w:instrText xml:space="preserve"> PAGEREF _Toc229997686 \h </w:instrText>
                </w:r>
                <w:r>
                  <w:rPr>
                    <w:noProof/>
                    <w:webHidden/>
                  </w:rPr>
                </w:r>
                <w:r>
                  <w:rPr>
                    <w:noProof/>
                    <w:webHidden/>
                  </w:rPr>
                  <w:fldChar w:fldCharType="separate"/>
                </w:r>
                <w:r>
                  <w:rPr>
                    <w:noProof/>
                    <w:webHidden/>
                  </w:rPr>
                  <w:t>118</w:t>
                </w:r>
                <w:r>
                  <w:rPr>
                    <w:noProof/>
                    <w:webHidden/>
                  </w:rPr>
                  <w:fldChar w:fldCharType="end"/>
                </w:r>
              </w:hyperlink>
            </w:p>
            <w:p w14:paraId="65CED9A2"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87" w:history="1">
                <w:r w:rsidRPr="00834068">
                  <w:rPr>
                    <w:rStyle w:val="Hyperlink"/>
                  </w:rPr>
                  <w:t>PUBLIC PROCUREMENT</w:t>
                </w:r>
                <w:r>
                  <w:rPr>
                    <w:webHidden/>
                  </w:rPr>
                  <w:tab/>
                </w:r>
                <w:r>
                  <w:rPr>
                    <w:webHidden/>
                  </w:rPr>
                  <w:fldChar w:fldCharType="begin"/>
                </w:r>
                <w:r>
                  <w:rPr>
                    <w:webHidden/>
                  </w:rPr>
                  <w:instrText xml:space="preserve"> PAGEREF _Toc229997687 \h </w:instrText>
                </w:r>
                <w:r>
                  <w:rPr>
                    <w:webHidden/>
                  </w:rPr>
                </w:r>
                <w:r>
                  <w:rPr>
                    <w:webHidden/>
                  </w:rPr>
                  <w:fldChar w:fldCharType="separate"/>
                </w:r>
                <w:r>
                  <w:rPr>
                    <w:webHidden/>
                  </w:rPr>
                  <w:t>121</w:t>
                </w:r>
                <w:r>
                  <w:rPr>
                    <w:webHidden/>
                  </w:rPr>
                  <w:fldChar w:fldCharType="end"/>
                </w:r>
              </w:hyperlink>
            </w:p>
            <w:p w14:paraId="4B800CE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8" w:history="1">
                <w:r w:rsidRPr="00834068">
                  <w:rPr>
                    <w:rStyle w:val="Hyperlink"/>
                    <w:noProof/>
                  </w:rPr>
                  <w:t>1. Studies and communication</w:t>
                </w:r>
                <w:r>
                  <w:rPr>
                    <w:noProof/>
                    <w:webHidden/>
                  </w:rPr>
                  <w:tab/>
                </w:r>
                <w:r>
                  <w:rPr>
                    <w:noProof/>
                    <w:webHidden/>
                  </w:rPr>
                  <w:fldChar w:fldCharType="begin"/>
                </w:r>
                <w:r>
                  <w:rPr>
                    <w:noProof/>
                    <w:webHidden/>
                  </w:rPr>
                  <w:instrText xml:space="preserve"> PAGEREF _Toc229997688 \h </w:instrText>
                </w:r>
                <w:r>
                  <w:rPr>
                    <w:noProof/>
                    <w:webHidden/>
                  </w:rPr>
                </w:r>
                <w:r>
                  <w:rPr>
                    <w:noProof/>
                    <w:webHidden/>
                  </w:rPr>
                  <w:fldChar w:fldCharType="separate"/>
                </w:r>
                <w:r>
                  <w:rPr>
                    <w:noProof/>
                    <w:webHidden/>
                  </w:rPr>
                  <w:t>121</w:t>
                </w:r>
                <w:r>
                  <w:rPr>
                    <w:noProof/>
                    <w:webHidden/>
                  </w:rPr>
                  <w:fldChar w:fldCharType="end"/>
                </w:r>
              </w:hyperlink>
            </w:p>
            <w:p w14:paraId="0A7C70E3"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89" w:history="1">
                <w:r w:rsidRPr="00834068">
                  <w:rPr>
                    <w:rStyle w:val="Hyperlink"/>
                    <w:noProof/>
                  </w:rPr>
                  <w:t>2. Euraxess Worldwide - implementation</w:t>
                </w:r>
                <w:r>
                  <w:rPr>
                    <w:noProof/>
                    <w:webHidden/>
                  </w:rPr>
                  <w:tab/>
                </w:r>
                <w:r>
                  <w:rPr>
                    <w:noProof/>
                    <w:webHidden/>
                  </w:rPr>
                  <w:fldChar w:fldCharType="begin"/>
                </w:r>
                <w:r>
                  <w:rPr>
                    <w:noProof/>
                    <w:webHidden/>
                  </w:rPr>
                  <w:instrText xml:space="preserve"> PAGEREF _Toc229997689 \h </w:instrText>
                </w:r>
                <w:r>
                  <w:rPr>
                    <w:noProof/>
                    <w:webHidden/>
                  </w:rPr>
                </w:r>
                <w:r>
                  <w:rPr>
                    <w:noProof/>
                    <w:webHidden/>
                  </w:rPr>
                  <w:fldChar w:fldCharType="separate"/>
                </w:r>
                <w:r>
                  <w:rPr>
                    <w:noProof/>
                    <w:webHidden/>
                  </w:rPr>
                  <w:t>121</w:t>
                </w:r>
                <w:r>
                  <w:rPr>
                    <w:noProof/>
                    <w:webHidden/>
                  </w:rPr>
                  <w:fldChar w:fldCharType="end"/>
                </w:r>
              </w:hyperlink>
            </w:p>
            <w:p w14:paraId="63035BF3"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0" w:history="1">
                <w:r w:rsidRPr="00834068">
                  <w:rPr>
                    <w:rStyle w:val="Hyperlink"/>
                    <w:noProof/>
                  </w:rPr>
                  <w:t>3. Administrative management of the Human Resources Strategy for Researchers</w:t>
                </w:r>
                <w:r>
                  <w:rPr>
                    <w:noProof/>
                    <w:webHidden/>
                  </w:rPr>
                  <w:tab/>
                </w:r>
                <w:r>
                  <w:rPr>
                    <w:noProof/>
                    <w:webHidden/>
                  </w:rPr>
                  <w:fldChar w:fldCharType="begin"/>
                </w:r>
                <w:r>
                  <w:rPr>
                    <w:noProof/>
                    <w:webHidden/>
                  </w:rPr>
                  <w:instrText xml:space="preserve"> PAGEREF _Toc229997690 \h </w:instrText>
                </w:r>
                <w:r>
                  <w:rPr>
                    <w:noProof/>
                    <w:webHidden/>
                  </w:rPr>
                </w:r>
                <w:r>
                  <w:rPr>
                    <w:noProof/>
                    <w:webHidden/>
                  </w:rPr>
                  <w:fldChar w:fldCharType="separate"/>
                </w:r>
                <w:r>
                  <w:rPr>
                    <w:noProof/>
                    <w:webHidden/>
                  </w:rPr>
                  <w:t>122</w:t>
                </w:r>
                <w:r>
                  <w:rPr>
                    <w:noProof/>
                    <w:webHidden/>
                  </w:rPr>
                  <w:fldChar w:fldCharType="end"/>
                </w:r>
              </w:hyperlink>
            </w:p>
            <w:p w14:paraId="12EB6EE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1" w:history="1">
                <w:r w:rsidRPr="00834068">
                  <w:rPr>
                    <w:rStyle w:val="Hyperlink"/>
                    <w:noProof/>
                  </w:rPr>
                  <w:t>4. Horizon Policy Support Facility</w:t>
                </w:r>
                <w:r>
                  <w:rPr>
                    <w:noProof/>
                    <w:webHidden/>
                  </w:rPr>
                  <w:tab/>
                </w:r>
                <w:r>
                  <w:rPr>
                    <w:noProof/>
                    <w:webHidden/>
                  </w:rPr>
                  <w:fldChar w:fldCharType="begin"/>
                </w:r>
                <w:r>
                  <w:rPr>
                    <w:noProof/>
                    <w:webHidden/>
                  </w:rPr>
                  <w:instrText xml:space="preserve"> PAGEREF _Toc229997691 \h </w:instrText>
                </w:r>
                <w:r>
                  <w:rPr>
                    <w:noProof/>
                    <w:webHidden/>
                  </w:rPr>
                </w:r>
                <w:r>
                  <w:rPr>
                    <w:noProof/>
                    <w:webHidden/>
                  </w:rPr>
                  <w:fldChar w:fldCharType="separate"/>
                </w:r>
                <w:r>
                  <w:rPr>
                    <w:noProof/>
                    <w:webHidden/>
                  </w:rPr>
                  <w:t>123</w:t>
                </w:r>
                <w:r>
                  <w:rPr>
                    <w:noProof/>
                    <w:webHidden/>
                  </w:rPr>
                  <w:fldChar w:fldCharType="end"/>
                </w:r>
              </w:hyperlink>
            </w:p>
            <w:p w14:paraId="6D0AE797"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2" w:history="1">
                <w:r w:rsidRPr="00834068">
                  <w:rPr>
                    <w:rStyle w:val="Hyperlink"/>
                    <w:noProof/>
                  </w:rPr>
                  <w:t>5. Learning labs for value creation</w:t>
                </w:r>
                <w:r>
                  <w:rPr>
                    <w:noProof/>
                    <w:webHidden/>
                  </w:rPr>
                  <w:tab/>
                </w:r>
                <w:r>
                  <w:rPr>
                    <w:noProof/>
                    <w:webHidden/>
                  </w:rPr>
                  <w:fldChar w:fldCharType="begin"/>
                </w:r>
                <w:r>
                  <w:rPr>
                    <w:noProof/>
                    <w:webHidden/>
                  </w:rPr>
                  <w:instrText xml:space="preserve"> PAGEREF _Toc229997692 \h </w:instrText>
                </w:r>
                <w:r>
                  <w:rPr>
                    <w:noProof/>
                    <w:webHidden/>
                  </w:rPr>
                </w:r>
                <w:r>
                  <w:rPr>
                    <w:noProof/>
                    <w:webHidden/>
                  </w:rPr>
                  <w:fldChar w:fldCharType="separate"/>
                </w:r>
                <w:r>
                  <w:rPr>
                    <w:noProof/>
                    <w:webHidden/>
                  </w:rPr>
                  <w:t>123</w:t>
                </w:r>
                <w:r>
                  <w:rPr>
                    <w:noProof/>
                    <w:webHidden/>
                  </w:rPr>
                  <w:fldChar w:fldCharType="end"/>
                </w:r>
              </w:hyperlink>
            </w:p>
            <w:p w14:paraId="56636ADD"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3" w:history="1">
                <w:r w:rsidRPr="00834068">
                  <w:rPr>
                    <w:rStyle w:val="Hyperlink"/>
                    <w:noProof/>
                  </w:rPr>
                  <w:t>6. She Figures: Monitoring gender equality in R&amp;I</w:t>
                </w:r>
                <w:r>
                  <w:rPr>
                    <w:noProof/>
                    <w:webHidden/>
                  </w:rPr>
                  <w:tab/>
                </w:r>
                <w:r>
                  <w:rPr>
                    <w:noProof/>
                    <w:webHidden/>
                  </w:rPr>
                  <w:fldChar w:fldCharType="begin"/>
                </w:r>
                <w:r>
                  <w:rPr>
                    <w:noProof/>
                    <w:webHidden/>
                  </w:rPr>
                  <w:instrText xml:space="preserve"> PAGEREF _Toc229997693 \h </w:instrText>
                </w:r>
                <w:r>
                  <w:rPr>
                    <w:noProof/>
                    <w:webHidden/>
                  </w:rPr>
                </w:r>
                <w:r>
                  <w:rPr>
                    <w:noProof/>
                    <w:webHidden/>
                  </w:rPr>
                  <w:fldChar w:fldCharType="separate"/>
                </w:r>
                <w:r>
                  <w:rPr>
                    <w:noProof/>
                    <w:webHidden/>
                  </w:rPr>
                  <w:t>124</w:t>
                </w:r>
                <w:r>
                  <w:rPr>
                    <w:noProof/>
                    <w:webHidden/>
                  </w:rPr>
                  <w:fldChar w:fldCharType="end"/>
                </w:r>
              </w:hyperlink>
            </w:p>
            <w:p w14:paraId="3F07866A"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4" w:history="1">
                <w:r w:rsidRPr="00834068">
                  <w:rPr>
                    <w:rStyle w:val="Hyperlink"/>
                    <w:noProof/>
                  </w:rPr>
                  <w:t>7. Implementation of ERA monitoring</w:t>
                </w:r>
                <w:r>
                  <w:rPr>
                    <w:noProof/>
                    <w:webHidden/>
                  </w:rPr>
                  <w:tab/>
                </w:r>
                <w:r>
                  <w:rPr>
                    <w:noProof/>
                    <w:webHidden/>
                  </w:rPr>
                  <w:fldChar w:fldCharType="begin"/>
                </w:r>
                <w:r>
                  <w:rPr>
                    <w:noProof/>
                    <w:webHidden/>
                  </w:rPr>
                  <w:instrText xml:space="preserve"> PAGEREF _Toc229997694 \h </w:instrText>
                </w:r>
                <w:r>
                  <w:rPr>
                    <w:noProof/>
                    <w:webHidden/>
                  </w:rPr>
                </w:r>
                <w:r>
                  <w:rPr>
                    <w:noProof/>
                    <w:webHidden/>
                  </w:rPr>
                  <w:fldChar w:fldCharType="separate"/>
                </w:r>
                <w:r>
                  <w:rPr>
                    <w:noProof/>
                    <w:webHidden/>
                  </w:rPr>
                  <w:t>124</w:t>
                </w:r>
                <w:r>
                  <w:rPr>
                    <w:noProof/>
                    <w:webHidden/>
                  </w:rPr>
                  <w:fldChar w:fldCharType="end"/>
                </w:r>
              </w:hyperlink>
            </w:p>
            <w:p w14:paraId="1EBC5A17"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5" w:history="1">
                <w:r w:rsidRPr="00834068">
                  <w:rPr>
                    <w:rStyle w:val="Hyperlink"/>
                    <w:noProof/>
                  </w:rPr>
                  <w:t>8. ERA Talent Platform: Enhancing research careers and mobility in Europe</w:t>
                </w:r>
                <w:r>
                  <w:rPr>
                    <w:noProof/>
                    <w:webHidden/>
                  </w:rPr>
                  <w:tab/>
                </w:r>
                <w:r>
                  <w:rPr>
                    <w:noProof/>
                    <w:webHidden/>
                  </w:rPr>
                  <w:fldChar w:fldCharType="begin"/>
                </w:r>
                <w:r>
                  <w:rPr>
                    <w:noProof/>
                    <w:webHidden/>
                  </w:rPr>
                  <w:instrText xml:space="preserve"> PAGEREF _Toc229997695 \h </w:instrText>
                </w:r>
                <w:r>
                  <w:rPr>
                    <w:noProof/>
                    <w:webHidden/>
                  </w:rPr>
                </w:r>
                <w:r>
                  <w:rPr>
                    <w:noProof/>
                    <w:webHidden/>
                  </w:rPr>
                  <w:fldChar w:fldCharType="separate"/>
                </w:r>
                <w:r>
                  <w:rPr>
                    <w:noProof/>
                    <w:webHidden/>
                  </w:rPr>
                  <w:t>125</w:t>
                </w:r>
                <w:r>
                  <w:rPr>
                    <w:noProof/>
                    <w:webHidden/>
                  </w:rPr>
                  <w:fldChar w:fldCharType="end"/>
                </w:r>
              </w:hyperlink>
            </w:p>
            <w:p w14:paraId="3AD8E611"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6" w:history="1">
                <w:r w:rsidRPr="00834068">
                  <w:rPr>
                    <w:rStyle w:val="Hyperlink"/>
                    <w:noProof/>
                  </w:rPr>
                  <w:t>9. EURAXESS Worldwide - Framework contract (2028-2031)</w:t>
                </w:r>
                <w:r>
                  <w:rPr>
                    <w:noProof/>
                    <w:webHidden/>
                  </w:rPr>
                  <w:tab/>
                </w:r>
                <w:r>
                  <w:rPr>
                    <w:noProof/>
                    <w:webHidden/>
                  </w:rPr>
                  <w:fldChar w:fldCharType="begin"/>
                </w:r>
                <w:r>
                  <w:rPr>
                    <w:noProof/>
                    <w:webHidden/>
                  </w:rPr>
                  <w:instrText xml:space="preserve"> PAGEREF _Toc229997696 \h </w:instrText>
                </w:r>
                <w:r>
                  <w:rPr>
                    <w:noProof/>
                    <w:webHidden/>
                  </w:rPr>
                </w:r>
                <w:r>
                  <w:rPr>
                    <w:noProof/>
                    <w:webHidden/>
                  </w:rPr>
                  <w:fldChar w:fldCharType="separate"/>
                </w:r>
                <w:r>
                  <w:rPr>
                    <w:noProof/>
                    <w:webHidden/>
                  </w:rPr>
                  <w:t>125</w:t>
                </w:r>
                <w:r>
                  <w:rPr>
                    <w:noProof/>
                    <w:webHidden/>
                  </w:rPr>
                  <w:fldChar w:fldCharType="end"/>
                </w:r>
              </w:hyperlink>
            </w:p>
            <w:p w14:paraId="2DFEFF7B"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7" w:history="1">
                <w:r w:rsidRPr="00834068">
                  <w:rPr>
                    <w:rStyle w:val="Hyperlink"/>
                    <w:noProof/>
                  </w:rPr>
                  <w:t>10. Gender Equality Competence Facility - Framework Contract (2027-2030)</w:t>
                </w:r>
                <w:r>
                  <w:rPr>
                    <w:noProof/>
                    <w:webHidden/>
                  </w:rPr>
                  <w:tab/>
                </w:r>
                <w:r>
                  <w:rPr>
                    <w:noProof/>
                    <w:webHidden/>
                  </w:rPr>
                  <w:fldChar w:fldCharType="begin"/>
                </w:r>
                <w:r>
                  <w:rPr>
                    <w:noProof/>
                    <w:webHidden/>
                  </w:rPr>
                  <w:instrText xml:space="preserve"> PAGEREF _Toc229997697 \h </w:instrText>
                </w:r>
                <w:r>
                  <w:rPr>
                    <w:noProof/>
                    <w:webHidden/>
                  </w:rPr>
                </w:r>
                <w:r>
                  <w:rPr>
                    <w:noProof/>
                    <w:webHidden/>
                  </w:rPr>
                  <w:fldChar w:fldCharType="separate"/>
                </w:r>
                <w:r>
                  <w:rPr>
                    <w:noProof/>
                    <w:webHidden/>
                  </w:rPr>
                  <w:t>126</w:t>
                </w:r>
                <w:r>
                  <w:rPr>
                    <w:noProof/>
                    <w:webHidden/>
                  </w:rPr>
                  <w:fldChar w:fldCharType="end"/>
                </w:r>
              </w:hyperlink>
            </w:p>
            <w:p w14:paraId="2A9BDB57"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698" w:history="1">
                <w:r w:rsidRPr="00834068">
                  <w:rPr>
                    <w:rStyle w:val="Hyperlink"/>
                  </w:rPr>
                  <w:t>EXTERNAL EXPERT ACTIONS</w:t>
                </w:r>
                <w:r>
                  <w:rPr>
                    <w:webHidden/>
                  </w:rPr>
                  <w:tab/>
                </w:r>
                <w:r>
                  <w:rPr>
                    <w:webHidden/>
                  </w:rPr>
                  <w:fldChar w:fldCharType="begin"/>
                </w:r>
                <w:r>
                  <w:rPr>
                    <w:webHidden/>
                  </w:rPr>
                  <w:instrText xml:space="preserve"> PAGEREF _Toc229997698 \h </w:instrText>
                </w:r>
                <w:r>
                  <w:rPr>
                    <w:webHidden/>
                  </w:rPr>
                </w:r>
                <w:r>
                  <w:rPr>
                    <w:webHidden/>
                  </w:rPr>
                  <w:fldChar w:fldCharType="separate"/>
                </w:r>
                <w:r>
                  <w:rPr>
                    <w:webHidden/>
                  </w:rPr>
                  <w:t>127</w:t>
                </w:r>
                <w:r>
                  <w:rPr>
                    <w:webHidden/>
                  </w:rPr>
                  <w:fldChar w:fldCharType="end"/>
                </w:r>
              </w:hyperlink>
            </w:p>
            <w:p w14:paraId="383A6149"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699" w:history="1">
                <w:r w:rsidRPr="00834068">
                  <w:rPr>
                    <w:rStyle w:val="Hyperlink"/>
                    <w:noProof/>
                  </w:rPr>
                  <w:t>1. Use of individual experts for ad hoc tasks related to the implementation of the Horizon Europe Ethics Appraisal</w:t>
                </w:r>
                <w:r>
                  <w:rPr>
                    <w:noProof/>
                    <w:webHidden/>
                  </w:rPr>
                  <w:tab/>
                </w:r>
                <w:r>
                  <w:rPr>
                    <w:noProof/>
                    <w:webHidden/>
                  </w:rPr>
                  <w:fldChar w:fldCharType="begin"/>
                </w:r>
                <w:r>
                  <w:rPr>
                    <w:noProof/>
                    <w:webHidden/>
                  </w:rPr>
                  <w:instrText xml:space="preserve"> PAGEREF _Toc229997699 \h </w:instrText>
                </w:r>
                <w:r>
                  <w:rPr>
                    <w:noProof/>
                    <w:webHidden/>
                  </w:rPr>
                </w:r>
                <w:r>
                  <w:rPr>
                    <w:noProof/>
                    <w:webHidden/>
                  </w:rPr>
                  <w:fldChar w:fldCharType="separate"/>
                </w:r>
                <w:r>
                  <w:rPr>
                    <w:noProof/>
                    <w:webHidden/>
                  </w:rPr>
                  <w:t>127</w:t>
                </w:r>
                <w:r>
                  <w:rPr>
                    <w:noProof/>
                    <w:webHidden/>
                  </w:rPr>
                  <w:fldChar w:fldCharType="end"/>
                </w:r>
              </w:hyperlink>
            </w:p>
            <w:p w14:paraId="32B30EB4"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700" w:history="1">
                <w:r w:rsidRPr="00834068">
                  <w:rPr>
                    <w:rStyle w:val="Hyperlink"/>
                    <w:noProof/>
                  </w:rPr>
                  <w:t>2. Use of individual experts in support of the ERA's objectives</w:t>
                </w:r>
                <w:r>
                  <w:rPr>
                    <w:noProof/>
                    <w:webHidden/>
                  </w:rPr>
                  <w:tab/>
                </w:r>
                <w:r>
                  <w:rPr>
                    <w:noProof/>
                    <w:webHidden/>
                  </w:rPr>
                  <w:fldChar w:fldCharType="begin"/>
                </w:r>
                <w:r>
                  <w:rPr>
                    <w:noProof/>
                    <w:webHidden/>
                  </w:rPr>
                  <w:instrText xml:space="preserve"> PAGEREF _Toc229997700 \h </w:instrText>
                </w:r>
                <w:r>
                  <w:rPr>
                    <w:noProof/>
                    <w:webHidden/>
                  </w:rPr>
                </w:r>
                <w:r>
                  <w:rPr>
                    <w:noProof/>
                    <w:webHidden/>
                  </w:rPr>
                  <w:fldChar w:fldCharType="separate"/>
                </w:r>
                <w:r>
                  <w:rPr>
                    <w:noProof/>
                    <w:webHidden/>
                  </w:rPr>
                  <w:t>127</w:t>
                </w:r>
                <w:r>
                  <w:rPr>
                    <w:noProof/>
                    <w:webHidden/>
                  </w:rPr>
                  <w:fldChar w:fldCharType="end"/>
                </w:r>
              </w:hyperlink>
            </w:p>
            <w:p w14:paraId="1A47D96C"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701" w:history="1">
                <w:r w:rsidRPr="00834068">
                  <w:rPr>
                    <w:rStyle w:val="Hyperlink"/>
                    <w:noProof/>
                  </w:rPr>
                  <w:t>3. External expertise for evaluation and monitoring of Widening and ERA actions</w:t>
                </w:r>
                <w:r>
                  <w:rPr>
                    <w:noProof/>
                    <w:webHidden/>
                  </w:rPr>
                  <w:tab/>
                </w:r>
                <w:r>
                  <w:rPr>
                    <w:noProof/>
                    <w:webHidden/>
                  </w:rPr>
                  <w:fldChar w:fldCharType="begin"/>
                </w:r>
                <w:r>
                  <w:rPr>
                    <w:noProof/>
                    <w:webHidden/>
                  </w:rPr>
                  <w:instrText xml:space="preserve"> PAGEREF _Toc229997701 \h </w:instrText>
                </w:r>
                <w:r>
                  <w:rPr>
                    <w:noProof/>
                    <w:webHidden/>
                  </w:rPr>
                </w:r>
                <w:r>
                  <w:rPr>
                    <w:noProof/>
                    <w:webHidden/>
                  </w:rPr>
                  <w:fldChar w:fldCharType="separate"/>
                </w:r>
                <w:r>
                  <w:rPr>
                    <w:noProof/>
                    <w:webHidden/>
                  </w:rPr>
                  <w:t>127</w:t>
                </w:r>
                <w:r>
                  <w:rPr>
                    <w:noProof/>
                    <w:webHidden/>
                  </w:rPr>
                  <w:fldChar w:fldCharType="end"/>
                </w:r>
              </w:hyperlink>
            </w:p>
            <w:p w14:paraId="516CC964"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702" w:history="1">
                <w:r w:rsidRPr="00834068">
                  <w:rPr>
                    <w:rStyle w:val="Hyperlink"/>
                  </w:rPr>
                  <w:t>OTHER ACTIONS NOT SUBJECT TO CALLS FOR PROPOSALS</w:t>
                </w:r>
                <w:r>
                  <w:rPr>
                    <w:webHidden/>
                  </w:rPr>
                  <w:tab/>
                </w:r>
                <w:r>
                  <w:rPr>
                    <w:webHidden/>
                  </w:rPr>
                  <w:fldChar w:fldCharType="begin"/>
                </w:r>
                <w:r>
                  <w:rPr>
                    <w:webHidden/>
                  </w:rPr>
                  <w:instrText xml:space="preserve"> PAGEREF _Toc229997702 \h </w:instrText>
                </w:r>
                <w:r>
                  <w:rPr>
                    <w:webHidden/>
                  </w:rPr>
                </w:r>
                <w:r>
                  <w:rPr>
                    <w:webHidden/>
                  </w:rPr>
                  <w:fldChar w:fldCharType="separate"/>
                </w:r>
                <w:r>
                  <w:rPr>
                    <w:webHidden/>
                  </w:rPr>
                  <w:t>129</w:t>
                </w:r>
                <w:r>
                  <w:rPr>
                    <w:webHidden/>
                  </w:rPr>
                  <w:fldChar w:fldCharType="end"/>
                </w:r>
              </w:hyperlink>
            </w:p>
            <w:p w14:paraId="5576F444" w14:textId="77777777" w:rsidR="00DB4111" w:rsidRDefault="00DB4111" w:rsidP="00DB4111">
              <w:pPr>
                <w:pStyle w:val="TOC3"/>
                <w:tabs>
                  <w:tab w:val="right" w:leader="dot" w:pos="9062"/>
                </w:tabs>
                <w:rPr>
                  <w:rFonts w:asciiTheme="minorHAnsi" w:hAnsiTheme="minorHAnsi"/>
                  <w:noProof/>
                  <w:kern w:val="2"/>
                  <w:szCs w:val="24"/>
                  <w14:ligatures w14:val="standardContextual"/>
                </w:rPr>
              </w:pPr>
              <w:hyperlink w:anchor="_Toc229997703" w:history="1">
                <w:r w:rsidRPr="00834068">
                  <w:rPr>
                    <w:rStyle w:val="Hyperlink"/>
                    <w:noProof/>
                  </w:rPr>
                  <w:t>1. COST (European Co-operation in Science and Technology)</w:t>
                </w:r>
                <w:r>
                  <w:rPr>
                    <w:noProof/>
                    <w:webHidden/>
                  </w:rPr>
                  <w:tab/>
                </w:r>
                <w:r>
                  <w:rPr>
                    <w:noProof/>
                    <w:webHidden/>
                  </w:rPr>
                  <w:fldChar w:fldCharType="begin"/>
                </w:r>
                <w:r>
                  <w:rPr>
                    <w:noProof/>
                    <w:webHidden/>
                  </w:rPr>
                  <w:instrText xml:space="preserve"> PAGEREF _Toc229997703 \h </w:instrText>
                </w:r>
                <w:r>
                  <w:rPr>
                    <w:noProof/>
                    <w:webHidden/>
                  </w:rPr>
                </w:r>
                <w:r>
                  <w:rPr>
                    <w:noProof/>
                    <w:webHidden/>
                  </w:rPr>
                  <w:fldChar w:fldCharType="separate"/>
                </w:r>
                <w:r>
                  <w:rPr>
                    <w:noProof/>
                    <w:webHidden/>
                  </w:rPr>
                  <w:t>129</w:t>
                </w:r>
                <w:r>
                  <w:rPr>
                    <w:noProof/>
                    <w:webHidden/>
                  </w:rPr>
                  <w:fldChar w:fldCharType="end"/>
                </w:r>
              </w:hyperlink>
            </w:p>
            <w:p w14:paraId="4F85C6F8" w14:textId="77777777" w:rsidR="00DB4111" w:rsidRDefault="00DB4111" w:rsidP="00DB4111">
              <w:pPr>
                <w:pStyle w:val="TOC1"/>
                <w:tabs>
                  <w:tab w:val="right" w:leader="dot" w:pos="9062"/>
                </w:tabs>
                <w:rPr>
                  <w:rFonts w:asciiTheme="minorHAnsi" w:hAnsiTheme="minorHAnsi"/>
                  <w:b w:val="0"/>
                  <w:bCs w:val="0"/>
                  <w:kern w:val="2"/>
                  <w:sz w:val="24"/>
                  <w:lang w:val="en-GB"/>
                  <w14:ligatures w14:val="standardContextual"/>
                </w:rPr>
              </w:pPr>
              <w:hyperlink w:anchor="_Toc229997704" w:history="1">
                <w:r w:rsidRPr="00834068">
                  <w:rPr>
                    <w:rStyle w:val="Hyperlink"/>
                  </w:rPr>
                  <w:t>Budget</w:t>
                </w:r>
                <w:r>
                  <w:rPr>
                    <w:webHidden/>
                  </w:rPr>
                  <w:tab/>
                </w:r>
                <w:r>
                  <w:rPr>
                    <w:webHidden/>
                  </w:rPr>
                  <w:fldChar w:fldCharType="begin"/>
                </w:r>
                <w:r>
                  <w:rPr>
                    <w:webHidden/>
                  </w:rPr>
                  <w:instrText xml:space="preserve"> PAGEREF _Toc229997704 \h </w:instrText>
                </w:r>
                <w:r>
                  <w:rPr>
                    <w:webHidden/>
                  </w:rPr>
                </w:r>
                <w:r>
                  <w:rPr>
                    <w:webHidden/>
                  </w:rPr>
                  <w:fldChar w:fldCharType="separate"/>
                </w:r>
                <w:r>
                  <w:rPr>
                    <w:webHidden/>
                  </w:rPr>
                  <w:t>131</w:t>
                </w:r>
                <w:r>
                  <w:rPr>
                    <w:webHidden/>
                  </w:rPr>
                  <w:fldChar w:fldCharType="end"/>
                </w:r>
              </w:hyperlink>
            </w:p>
            <w:p w14:paraId="5A2EF202" w14:textId="77777777" w:rsidR="00DB4111" w:rsidRDefault="00DB4111" w:rsidP="00DB4111">
              <w:pPr>
                <w:rPr>
                  <w:noProof/>
                </w:rPr>
              </w:pPr>
              <w:r>
                <w:rPr>
                  <w:b/>
                  <w:bCs/>
                  <w:noProof/>
                  <w:lang w:val="en-US"/>
                </w:rPr>
                <w:fldChar w:fldCharType="end"/>
              </w:r>
            </w:p>
          </w:sdtContent>
        </w:sdt>
        <w:p w14:paraId="16BCC3B1" w14:textId="56070F5E" w:rsidR="00112F79" w:rsidRDefault="00AE7B71" w:rsidP="00DB4111">
          <w:pPr>
            <w:pStyle w:val="TOCHeading"/>
          </w:pPr>
        </w:p>
      </w:sdtContent>
    </w:sdt>
    <w:p w14:paraId="62AC1891" w14:textId="77777777" w:rsidR="00721C98" w:rsidRDefault="00721C98"/>
    <w:p w14:paraId="7F376683" w14:textId="77777777" w:rsidR="00721C98" w:rsidRDefault="00AE7B71">
      <w:pPr>
        <w:pStyle w:val="HeadingOne"/>
        <w:pageBreakBefore/>
      </w:pPr>
      <w:r>
        <w:lastRenderedPageBreak/>
        <w:t>Introduction</w:t>
      </w:r>
    </w:p>
    <w:p w14:paraId="0B64A8C1" w14:textId="77777777" w:rsidR="00721C98" w:rsidRDefault="00AE7B71">
      <w:r>
        <w:rPr>
          <w:color w:val="000000"/>
        </w:rPr>
        <w:t>This part of the Horizon Europe Work Programme 2026-2027 addresses the area “Widening participation and strengthening the European Research Area” (WIDERA). The work programme includes two components:</w:t>
      </w:r>
    </w:p>
    <w:p w14:paraId="2FAA9CA7" w14:textId="77777777" w:rsidR="00721C98" w:rsidRDefault="00AE7B71">
      <w:r>
        <w:rPr>
          <w:color w:val="000000"/>
        </w:rPr>
        <w:t>I: Widening participation and spreading excellence;</w:t>
      </w:r>
    </w:p>
    <w:p w14:paraId="3F487069" w14:textId="77777777" w:rsidR="00721C98" w:rsidRDefault="00AE7B71">
      <w:r>
        <w:rPr>
          <w:color w:val="000000"/>
        </w:rPr>
        <w:t>II: Strengthening the European Research Area (ERA) by reforming and enhancing the European research and innovation system.</w:t>
      </w:r>
    </w:p>
    <w:p w14:paraId="590D3965" w14:textId="77777777" w:rsidR="00721C98" w:rsidRDefault="00AE7B71">
      <w:r>
        <w:rPr>
          <w:color w:val="000000"/>
        </w:rPr>
        <w:t>The European Commission adopted the</w:t>
      </w:r>
      <w:r>
        <w:rPr>
          <w:b/>
          <w:color w:val="000000"/>
        </w:rPr>
        <w:t xml:space="preserve"> Communication on a New ERA for Research and Innovation</w:t>
      </w:r>
      <w:r>
        <w:rPr>
          <w:color w:val="000000"/>
        </w:rPr>
        <w:t xml:space="preserve"> (2020) to improve the European research and innovation (R&amp;I) landscape, to accelerate the European Union's transition towards climate neutrality and digital leadership, to support recovery from the coronavirus crisis, and to strengthen resilience against future crises</w:t>
      </w:r>
      <w:r>
        <w:rPr>
          <w:vertAlign w:val="superscript"/>
        </w:rPr>
        <w:footnoteReference w:id="1"/>
      </w:r>
      <w:r>
        <w:rPr>
          <w:color w:val="000000"/>
        </w:rPr>
        <w:t xml:space="preserve">. The </w:t>
      </w:r>
      <w:r>
        <w:rPr>
          <w:b/>
          <w:color w:val="000000"/>
        </w:rPr>
        <w:t xml:space="preserve">Communication on the implementation of the ERA </w:t>
      </w:r>
      <w:r>
        <w:rPr>
          <w:color w:val="000000"/>
        </w:rPr>
        <w:t>(2024) takes stock of the progress made since 2020 and highlights areas further actions to achieve ERA’s objectives</w:t>
      </w:r>
      <w:r>
        <w:rPr>
          <w:vertAlign w:val="superscript"/>
        </w:rPr>
        <w:footnoteReference w:id="2"/>
      </w:r>
      <w:r>
        <w:rPr>
          <w:color w:val="000000"/>
        </w:rPr>
        <w:t>.</w:t>
      </w:r>
    </w:p>
    <w:p w14:paraId="6B5FBBF1" w14:textId="77777777" w:rsidR="00721C98" w:rsidRDefault="00AE7B71">
      <w:r>
        <w:rPr>
          <w:color w:val="000000"/>
        </w:rPr>
        <w:t>Aligned with the Competitiveness Compass, the ERA sets sights on a single, borderless market for research, innovation and technology across the European Union, that fosters Europe’s competitiveness and accelerates the green and digital transitions</w:t>
      </w:r>
      <w:r>
        <w:rPr>
          <w:vertAlign w:val="superscript"/>
        </w:rPr>
        <w:footnoteReference w:id="3"/>
      </w:r>
      <w:r>
        <w:rPr>
          <w:color w:val="000000"/>
        </w:rPr>
        <w:t>. It helps Member States to act more effectively together by aligning their research policies and programmes. The free circulation of researchers and knowledge enables better cross-border cooperation, building of critical mass and continent-wide competition. It promotes inclusive gender equality, research ethics and integrity, mobility, skills and career development opportunities within the European Union.</w:t>
      </w:r>
    </w:p>
    <w:p w14:paraId="52BA0E1A" w14:textId="77777777" w:rsidR="00721C98" w:rsidRDefault="00AE7B71">
      <w:r>
        <w:rPr>
          <w:b/>
          <w:color w:val="000000"/>
        </w:rPr>
        <w:t>The Pact for Research and Innovation in Europe</w:t>
      </w:r>
      <w:r>
        <w:rPr>
          <w:color w:val="000000"/>
        </w:rPr>
        <w:t xml:space="preserve"> (Pact for R&amp;I, 2021) demonstrates Member States’ commitment to the ERA</w:t>
      </w:r>
      <w:r>
        <w:rPr>
          <w:vertAlign w:val="superscript"/>
        </w:rPr>
        <w:footnoteReference w:id="4"/>
      </w:r>
      <w:r>
        <w:rPr>
          <w:color w:val="000000"/>
        </w:rPr>
        <w:t>. It defines priority areas for joint action, sets out ambitions for investments and reforms, and introduces simplified coordination and monitoring. It also outlines common values and principles to guide research and innovation in the European Union and its collaboration with the rest of the world.</w:t>
      </w:r>
    </w:p>
    <w:p w14:paraId="46BBD788" w14:textId="77777777" w:rsidR="00721C98" w:rsidRDefault="00AE7B71">
      <w:r>
        <w:rPr>
          <w:color w:val="000000"/>
        </w:rPr>
        <w:t>The calls and other actions in the 2026-2027 WIDERA work programme are designed to contribute toward the implementation of the four priority areas of the Pact for R&amp;I:</w:t>
      </w:r>
    </w:p>
    <w:p w14:paraId="2F485F50" w14:textId="77777777" w:rsidR="00721C98" w:rsidRDefault="00AE7B71">
      <w:r>
        <w:rPr>
          <w:color w:val="000000"/>
        </w:rPr>
        <w:t>Priority I: Deepening a truly functioning internal market for knowledge;</w:t>
      </w:r>
    </w:p>
    <w:p w14:paraId="067D50EA" w14:textId="77777777" w:rsidR="00721C98" w:rsidRDefault="00AE7B71">
      <w:r>
        <w:rPr>
          <w:color w:val="000000"/>
        </w:rPr>
        <w:t>Priority II: Taking up together the green transition and digital transformation and other challenges with impact on society, and increasing society’s participation in the ERA;</w:t>
      </w:r>
    </w:p>
    <w:p w14:paraId="1095D41D" w14:textId="77777777" w:rsidR="00721C98" w:rsidRDefault="00AE7B71">
      <w:r>
        <w:rPr>
          <w:color w:val="000000"/>
        </w:rPr>
        <w:lastRenderedPageBreak/>
        <w:t>Priority III: Enhancing access to R&amp;I excellence across the Union and enhancing interconnections between innovation ecosystems across the Union;</w:t>
      </w:r>
    </w:p>
    <w:p w14:paraId="5EF70B5D" w14:textId="77777777" w:rsidR="00721C98" w:rsidRDefault="00AE7B71">
      <w:r>
        <w:rPr>
          <w:color w:val="000000"/>
        </w:rPr>
        <w:t>Priority IV: Advancing concerted R&amp;I investments and reforms.</w:t>
      </w:r>
    </w:p>
    <w:p w14:paraId="467BDCC8" w14:textId="77777777" w:rsidR="00721C98" w:rsidRDefault="00AE7B71">
      <w:r>
        <w:rPr>
          <w:color w:val="000000"/>
        </w:rPr>
        <w:t xml:space="preserve">The component </w:t>
      </w:r>
      <w:r>
        <w:rPr>
          <w:b/>
          <w:color w:val="000000"/>
        </w:rPr>
        <w:t>“Widening participation and spreading excellence”</w:t>
      </w:r>
      <w:r>
        <w:rPr>
          <w:color w:val="000000"/>
        </w:rPr>
        <w:t xml:space="preserve"> aims to tackle the R&amp;I gap to move towards a truly integrated and cohesive R&amp;I ecosystem in the European Union, addressing especially the third priority area of the Pact for R&amp;I. Disparities between leading and less advanced countries in terms of R&amp;I performance should be tackled through structural policy reforms at national and regional level aimed at, for example, improving the attractiveness of research careers, internationalisation, effectiveness of management and governance of R&amp;I institutions or matc</w:t>
      </w:r>
      <w:r>
        <w:rPr>
          <w:color w:val="000000"/>
        </w:rPr>
        <w:t>hing activities with EU initiatives (e.g., Seals of Excellence). Call topics are bottom-up but applicants are encouraged to take into account key aspects of the political guidelines of the European Commission published in July 2024</w:t>
      </w:r>
      <w:r>
        <w:rPr>
          <w:vertAlign w:val="superscript"/>
        </w:rPr>
        <w:footnoteReference w:id="5"/>
      </w:r>
      <w:r>
        <w:rPr>
          <w:color w:val="000000"/>
        </w:rPr>
        <w:t xml:space="preserve"> and the Competitiveness Compass</w:t>
      </w:r>
      <w:r>
        <w:rPr>
          <w:vertAlign w:val="superscript"/>
        </w:rPr>
        <w:footnoteReference w:id="6"/>
      </w:r>
      <w:r>
        <w:rPr>
          <w:color w:val="000000"/>
        </w:rPr>
        <w:t>.</w:t>
      </w:r>
    </w:p>
    <w:p w14:paraId="18D1B103" w14:textId="77777777" w:rsidR="00721C98" w:rsidRDefault="00AE7B71">
      <w:r>
        <w:rPr>
          <w:color w:val="000000"/>
        </w:rPr>
        <w:t>In this component, the less advanced countries eligible for hosting coordinators of widening actions are Bulgaria, Croatia, Cyprus, Czechia, Estonia, Greece, Hungary, Latvia, Lithuania, Malta, Poland, Portugal, Romania, Slovakia, Slovenia and all Associated Countries with equivalent characteristics in terms of R&amp;I performance (Albania, Armenia, Bosnia &amp; Herzegovina, Egypt, Faroe Islands, Georgia, Kosovo*</w:t>
      </w:r>
      <w:r>
        <w:rPr>
          <w:vertAlign w:val="superscript"/>
        </w:rPr>
        <w:footnoteReference w:id="7"/>
      </w:r>
      <w:r>
        <w:rPr>
          <w:color w:val="000000"/>
        </w:rPr>
        <w:t>, Moldova, Montenegro, North Macedonia, Serbia, Tunisia, Türkiye, Ukraine, and once associated Morocco), as well as the Outermost Regions (defined in Art. 349 TFEU). Hereinafter, these countries, including the Outermost Regions, will be named 'Widening countries'.</w:t>
      </w:r>
    </w:p>
    <w:p w14:paraId="3F807716" w14:textId="77777777" w:rsidR="00721C98" w:rsidRDefault="00AE7B71">
      <w:r>
        <w:rPr>
          <w:color w:val="000000"/>
        </w:rPr>
        <w:t xml:space="preserve">The component </w:t>
      </w:r>
      <w:r>
        <w:rPr>
          <w:b/>
          <w:color w:val="000000"/>
        </w:rPr>
        <w:t>“Strengthening the European Research Area by reforming and enhancing the European research and innovation system”</w:t>
      </w:r>
      <w:r>
        <w:rPr>
          <w:color w:val="000000"/>
        </w:rPr>
        <w:t xml:space="preserve"> is designed to support the implementation of the second </w:t>
      </w:r>
      <w:r>
        <w:rPr>
          <w:b/>
          <w:color w:val="000000"/>
        </w:rPr>
        <w:t>ERA Policy Agenda</w:t>
      </w:r>
      <w:r>
        <w:rPr>
          <w:color w:val="000000"/>
        </w:rPr>
        <w:t>, which outlines ERA Structural Policies and ERA Actions for the period 2025-2027</w:t>
      </w:r>
      <w:r>
        <w:rPr>
          <w:vertAlign w:val="superscript"/>
        </w:rPr>
        <w:footnoteReference w:id="8"/>
      </w:r>
      <w:r>
        <w:rPr>
          <w:color w:val="000000"/>
        </w:rPr>
        <w:t>. It aims to build R&amp;I capacity at the level of institutions and ecosystems to foster the adoption of shared EU values and principles outlined in the Pact for R&amp;I, such as evidence-informed policymaking, freedom of scientific research, societal responsibility, gender equality and inclusiveness.</w:t>
      </w:r>
    </w:p>
    <w:p w14:paraId="3E656D45" w14:textId="77777777" w:rsidR="00721C98" w:rsidRDefault="00AE7B71">
      <w:r>
        <w:rPr>
          <w:color w:val="000000"/>
        </w:rPr>
        <w:t xml:space="preserve">The WIDERA work programme also supports the key strategic orientations presented in the </w:t>
      </w:r>
      <w:r>
        <w:rPr>
          <w:b/>
          <w:color w:val="000000"/>
        </w:rPr>
        <w:t>Horizon Europe strategic plan 2025-2027</w:t>
      </w:r>
      <w:r>
        <w:rPr>
          <w:color w:val="000000"/>
        </w:rPr>
        <w:t xml:space="preserve"> by building up Europe’s R&amp;I capacity to address global challenges and boost its competitiveness</w:t>
      </w:r>
      <w:r>
        <w:rPr>
          <w:vertAlign w:val="superscript"/>
        </w:rPr>
        <w:footnoteReference w:id="9"/>
      </w:r>
      <w:r>
        <w:rPr>
          <w:color w:val="000000"/>
        </w:rPr>
        <w:t>. Synergies with national, regional and other European programmes, in particular under the cohesion policy, will increase the impact of actions implemented under this work programme.</w:t>
      </w:r>
    </w:p>
    <w:p w14:paraId="541DC795" w14:textId="77777777" w:rsidR="00721C98" w:rsidRDefault="00AE7B71">
      <w:r>
        <w:rPr>
          <w:color w:val="000000"/>
        </w:rPr>
        <w:lastRenderedPageBreak/>
        <w:t>Please also note that eligibility to participate is subject to the ‘Participation of Chinese universities linked to the Ministry of Industry and Information Technology (MIIT)’ eligibility condition (see General Annex B of the General Annexes).</w:t>
      </w:r>
    </w:p>
    <w:p w14:paraId="157E7EF7" w14:textId="77777777" w:rsidR="00721C98" w:rsidRDefault="00AE7B71">
      <w:pPr>
        <w:pStyle w:val="HeadingOne"/>
        <w:pageBreakBefore/>
      </w:pPr>
      <w:r>
        <w:lastRenderedPageBreak/>
        <w:t>Calls</w:t>
      </w:r>
    </w:p>
    <w:p w14:paraId="30D9896C" w14:textId="77777777" w:rsidR="00721C98" w:rsidRPr="00DB4111" w:rsidRDefault="00AE7B71">
      <w:pPr>
        <w:pStyle w:val="HeadingTwo"/>
        <w:rPr>
          <w:lang w:val="en-IE"/>
        </w:rPr>
      </w:pPr>
      <w:r w:rsidRPr="00DB4111">
        <w:rPr>
          <w:lang w:val="en-IE"/>
        </w:rPr>
        <w:t>Call - Teaming Synergies</w:t>
      </w:r>
    </w:p>
    <w:p w14:paraId="2479B6D9" w14:textId="77777777" w:rsidR="00721C98" w:rsidRDefault="00AE7B71">
      <w:pPr>
        <w:pStyle w:val="CallIdentifier"/>
      </w:pPr>
      <w:r>
        <w:t>HORIZON-WIDERA-2026-01</w:t>
      </w:r>
    </w:p>
    <w:p w14:paraId="6C6868AA" w14:textId="77777777" w:rsidR="00721C98" w:rsidRDefault="00AE7B71">
      <w:pPr>
        <w:pStyle w:val="HeadingThree"/>
      </w:pPr>
      <w:r>
        <w:t>Overview of this call</w:t>
      </w:r>
      <w:r>
        <w:rPr>
          <w:vertAlign w:val="superscript"/>
        </w:rPr>
        <w:footnoteReference w:id="10"/>
      </w:r>
    </w:p>
    <w:p w14:paraId="7C8426AF"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563BF56A" w14:textId="77777777">
        <w:tc>
          <w:tcPr>
            <w:tcW w:w="2000" w:type="dxa"/>
            <w:vMerge w:val="restart"/>
          </w:tcPr>
          <w:p w14:paraId="74CCFB30" w14:textId="77777777" w:rsidR="00721C98" w:rsidRDefault="00AE7B71">
            <w:pPr>
              <w:pStyle w:val="CellHeaderTextValue"/>
            </w:pPr>
            <w:r>
              <w:t>Topics</w:t>
            </w:r>
          </w:p>
        </w:tc>
        <w:tc>
          <w:tcPr>
            <w:tcW w:w="800" w:type="dxa"/>
            <w:vMerge w:val="restart"/>
          </w:tcPr>
          <w:p w14:paraId="76CD44C3" w14:textId="77777777" w:rsidR="00721C98" w:rsidRDefault="00AE7B71">
            <w:pPr>
              <w:pStyle w:val="CellHeaderTextValue"/>
            </w:pPr>
            <w:r>
              <w:t>Type of Action</w:t>
            </w:r>
          </w:p>
        </w:tc>
        <w:tc>
          <w:tcPr>
            <w:tcW w:w="0" w:type="auto"/>
          </w:tcPr>
          <w:p w14:paraId="3BD3F56F" w14:textId="77777777" w:rsidR="00721C98" w:rsidRDefault="00AE7B71">
            <w:pPr>
              <w:pStyle w:val="CellHeaderTextValue"/>
            </w:pPr>
            <w:r>
              <w:t>Budgets (EUR million)</w:t>
            </w:r>
          </w:p>
        </w:tc>
        <w:tc>
          <w:tcPr>
            <w:tcW w:w="0" w:type="auto"/>
            <w:vMerge w:val="restart"/>
          </w:tcPr>
          <w:p w14:paraId="4D7B8242"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11"/>
            </w:r>
          </w:p>
        </w:tc>
        <w:tc>
          <w:tcPr>
            <w:tcW w:w="800" w:type="dxa"/>
            <w:vMerge w:val="restart"/>
          </w:tcPr>
          <w:p w14:paraId="1640FD23" w14:textId="77777777" w:rsidR="00721C98" w:rsidRDefault="00AE7B71">
            <w:pPr>
              <w:pStyle w:val="CellHeaderTextValue"/>
            </w:pPr>
            <w:r>
              <w:t>Indicative number of projects expected to be funded</w:t>
            </w:r>
          </w:p>
        </w:tc>
      </w:tr>
      <w:tr w:rsidR="00721C98" w14:paraId="4923C9DF" w14:textId="77777777">
        <w:tc>
          <w:tcPr>
            <w:tcW w:w="0" w:type="auto"/>
            <w:vMerge/>
          </w:tcPr>
          <w:p w14:paraId="5542CB35" w14:textId="77777777" w:rsidR="00721C98" w:rsidRDefault="00721C98"/>
        </w:tc>
        <w:tc>
          <w:tcPr>
            <w:tcW w:w="0" w:type="auto"/>
            <w:vMerge/>
          </w:tcPr>
          <w:p w14:paraId="7E7A9913" w14:textId="77777777" w:rsidR="00721C98" w:rsidRDefault="00721C98"/>
        </w:tc>
        <w:tc>
          <w:tcPr>
            <w:tcW w:w="0" w:type="auto"/>
          </w:tcPr>
          <w:p w14:paraId="404F7287" w14:textId="77777777" w:rsidR="00721C98" w:rsidRDefault="00AE7B71">
            <w:pPr>
              <w:pStyle w:val="CellHeaderTextValue"/>
            </w:pPr>
            <w:r>
              <w:t>2026</w:t>
            </w:r>
          </w:p>
        </w:tc>
        <w:tc>
          <w:tcPr>
            <w:tcW w:w="0" w:type="auto"/>
            <w:vMerge/>
          </w:tcPr>
          <w:p w14:paraId="42E96C00" w14:textId="77777777" w:rsidR="00721C98" w:rsidRDefault="00721C98"/>
        </w:tc>
        <w:tc>
          <w:tcPr>
            <w:tcW w:w="0" w:type="auto"/>
            <w:vMerge/>
          </w:tcPr>
          <w:p w14:paraId="0FE1165E" w14:textId="77777777" w:rsidR="00721C98" w:rsidRDefault="00721C98"/>
        </w:tc>
      </w:tr>
      <w:tr w:rsidR="00DB4111" w14:paraId="26F10898" w14:textId="77777777" w:rsidTr="00DB4111">
        <w:tc>
          <w:tcPr>
            <w:tcW w:w="0" w:type="auto"/>
            <w:gridSpan w:val="5"/>
          </w:tcPr>
          <w:p w14:paraId="7D0452EA" w14:textId="77777777" w:rsidR="00721C98" w:rsidRDefault="00AE7B71">
            <w:pPr>
              <w:pStyle w:val="CellTextValue"/>
              <w:jc w:val="center"/>
            </w:pPr>
            <w:r>
              <w:t>Opening: 23 Apr 2026</w:t>
            </w:r>
          </w:p>
          <w:p w14:paraId="29EDD238" w14:textId="77777777" w:rsidR="00721C98" w:rsidRDefault="00AE7B71">
            <w:pPr>
              <w:pStyle w:val="CellTextValue"/>
              <w:jc w:val="center"/>
            </w:pPr>
            <w:r>
              <w:t>Deadline(s): 24 Sep 2026</w:t>
            </w:r>
          </w:p>
        </w:tc>
      </w:tr>
      <w:tr w:rsidR="00DB4111" w14:paraId="67505F16" w14:textId="77777777" w:rsidTr="00DB4111">
        <w:tc>
          <w:tcPr>
            <w:tcW w:w="0" w:type="auto"/>
            <w:gridSpan w:val="5"/>
          </w:tcPr>
          <w:p w14:paraId="07E380E5" w14:textId="77777777" w:rsidR="00721C98" w:rsidRDefault="00AE7B71">
            <w:pPr>
              <w:pStyle w:val="CellTextValue"/>
            </w:pPr>
            <w:r>
              <w:t>Destination: Widening participation and spreading excellence</w:t>
            </w:r>
          </w:p>
        </w:tc>
      </w:tr>
      <w:tr w:rsidR="00721C98" w14:paraId="0A12CFD0" w14:textId="77777777">
        <w:tc>
          <w:tcPr>
            <w:tcW w:w="0" w:type="auto"/>
          </w:tcPr>
          <w:p w14:paraId="115CC9E1" w14:textId="77777777" w:rsidR="00721C98" w:rsidRDefault="00AE7B71">
            <w:pPr>
              <w:pStyle w:val="CellTextValue"/>
            </w:pPr>
            <w:r>
              <w:t>HORIZON-WIDERA-2026-01-WIDENING-01: Teaming Synergies</w:t>
            </w:r>
          </w:p>
        </w:tc>
        <w:tc>
          <w:tcPr>
            <w:tcW w:w="0" w:type="auto"/>
          </w:tcPr>
          <w:p w14:paraId="2FB96C05" w14:textId="77777777" w:rsidR="00721C98" w:rsidRDefault="00AE7B71">
            <w:pPr>
              <w:pStyle w:val="CellTextValue"/>
            </w:pPr>
            <w:r>
              <w:t>CSA</w:t>
            </w:r>
          </w:p>
        </w:tc>
        <w:tc>
          <w:tcPr>
            <w:tcW w:w="0" w:type="auto"/>
            <w:vMerge w:val="restart"/>
          </w:tcPr>
          <w:p w14:paraId="7771C6E4" w14:textId="77777777" w:rsidR="00721C98" w:rsidRDefault="00AE7B71">
            <w:pPr>
              <w:pStyle w:val="CellTextValue"/>
            </w:pPr>
            <w:r>
              <w:t>7.00</w:t>
            </w:r>
          </w:p>
        </w:tc>
        <w:tc>
          <w:tcPr>
            <w:tcW w:w="0" w:type="auto"/>
          </w:tcPr>
          <w:p w14:paraId="62E8192E" w14:textId="77777777" w:rsidR="00721C98" w:rsidRDefault="00AE7B71">
            <w:pPr>
              <w:pStyle w:val="CellTextValue"/>
            </w:pPr>
            <w:r>
              <w:t>Around 7.00</w:t>
            </w:r>
          </w:p>
        </w:tc>
        <w:tc>
          <w:tcPr>
            <w:tcW w:w="0" w:type="auto"/>
          </w:tcPr>
          <w:p w14:paraId="7D1AD964" w14:textId="77777777" w:rsidR="00721C98" w:rsidRDefault="00AE7B71">
            <w:pPr>
              <w:pStyle w:val="CellTextValue"/>
            </w:pPr>
            <w:r>
              <w:t>1</w:t>
            </w:r>
          </w:p>
        </w:tc>
      </w:tr>
      <w:tr w:rsidR="00721C98" w14:paraId="1EB2BAFA" w14:textId="77777777">
        <w:tc>
          <w:tcPr>
            <w:tcW w:w="0" w:type="auto"/>
          </w:tcPr>
          <w:p w14:paraId="0EBB030E" w14:textId="77777777" w:rsidR="00721C98" w:rsidRDefault="00AE7B71">
            <w:pPr>
              <w:pStyle w:val="CellTextValue"/>
            </w:pPr>
            <w:r>
              <w:t>Overall indicative budget</w:t>
            </w:r>
          </w:p>
        </w:tc>
        <w:tc>
          <w:tcPr>
            <w:tcW w:w="0" w:type="auto"/>
          </w:tcPr>
          <w:p w14:paraId="3770F52C" w14:textId="77777777" w:rsidR="00721C98" w:rsidRDefault="00721C98"/>
        </w:tc>
        <w:tc>
          <w:tcPr>
            <w:tcW w:w="0" w:type="auto"/>
          </w:tcPr>
          <w:p w14:paraId="037A5E99" w14:textId="77777777" w:rsidR="00721C98" w:rsidRDefault="00AE7B71">
            <w:pPr>
              <w:pStyle w:val="CellTextValue"/>
            </w:pPr>
            <w:r>
              <w:t>7.00</w:t>
            </w:r>
          </w:p>
        </w:tc>
        <w:tc>
          <w:tcPr>
            <w:tcW w:w="0" w:type="auto"/>
          </w:tcPr>
          <w:p w14:paraId="088BBD3F" w14:textId="77777777" w:rsidR="00721C98" w:rsidRDefault="00721C98"/>
        </w:tc>
        <w:tc>
          <w:tcPr>
            <w:tcW w:w="0" w:type="auto"/>
          </w:tcPr>
          <w:p w14:paraId="73E7CD0F" w14:textId="77777777" w:rsidR="00721C98" w:rsidRDefault="00721C98"/>
        </w:tc>
      </w:tr>
    </w:tbl>
    <w:p w14:paraId="49BBCC7B"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7CFAF4E1" w14:textId="77777777" w:rsidTr="00DB4111">
        <w:tc>
          <w:tcPr>
            <w:tcW w:w="0" w:type="auto"/>
            <w:gridSpan w:val="2"/>
          </w:tcPr>
          <w:p w14:paraId="44A06559" w14:textId="77777777" w:rsidR="00721C98" w:rsidRDefault="00AE7B71">
            <w:pPr>
              <w:pStyle w:val="CellTextValue"/>
            </w:pPr>
            <w:r>
              <w:rPr>
                <w:b/>
              </w:rPr>
              <w:t>General conditions relating to this call</w:t>
            </w:r>
          </w:p>
        </w:tc>
      </w:tr>
      <w:tr w:rsidR="00721C98" w14:paraId="25272CE7" w14:textId="77777777">
        <w:tc>
          <w:tcPr>
            <w:tcW w:w="0" w:type="auto"/>
          </w:tcPr>
          <w:p w14:paraId="42915473" w14:textId="77777777" w:rsidR="00721C98" w:rsidRDefault="00AE7B71">
            <w:pPr>
              <w:pStyle w:val="CellTextValue"/>
              <w:jc w:val="left"/>
            </w:pPr>
            <w:r>
              <w:rPr>
                <w:i/>
              </w:rPr>
              <w:t>Admissibility conditions</w:t>
            </w:r>
          </w:p>
        </w:tc>
        <w:tc>
          <w:tcPr>
            <w:tcW w:w="0" w:type="auto"/>
          </w:tcPr>
          <w:p w14:paraId="5C618B3B" w14:textId="77777777" w:rsidR="00721C98" w:rsidRDefault="00AE7B71">
            <w:pPr>
              <w:pStyle w:val="CellTextValue"/>
            </w:pPr>
            <w:r>
              <w:rPr>
                <w:color w:val="000000"/>
              </w:rPr>
              <w:t>The conditions are described in General Annex A.</w:t>
            </w:r>
          </w:p>
        </w:tc>
      </w:tr>
      <w:tr w:rsidR="00721C98" w14:paraId="2AEFC3D8" w14:textId="77777777">
        <w:tc>
          <w:tcPr>
            <w:tcW w:w="0" w:type="auto"/>
          </w:tcPr>
          <w:p w14:paraId="6AF264EB" w14:textId="77777777" w:rsidR="00721C98" w:rsidRDefault="00AE7B71">
            <w:pPr>
              <w:pStyle w:val="CellTextValue"/>
              <w:jc w:val="left"/>
            </w:pPr>
            <w:r>
              <w:rPr>
                <w:i/>
              </w:rPr>
              <w:t>Eligibility conditions</w:t>
            </w:r>
          </w:p>
        </w:tc>
        <w:tc>
          <w:tcPr>
            <w:tcW w:w="0" w:type="auto"/>
          </w:tcPr>
          <w:p w14:paraId="701684C1" w14:textId="77777777" w:rsidR="00721C98" w:rsidRDefault="00AE7B71">
            <w:pPr>
              <w:pStyle w:val="CellTextValue"/>
            </w:pPr>
            <w:r>
              <w:rPr>
                <w:color w:val="000000"/>
              </w:rPr>
              <w:t>The conditions are described in General Annex B.</w:t>
            </w:r>
          </w:p>
        </w:tc>
      </w:tr>
      <w:tr w:rsidR="00721C98" w14:paraId="4BDE4205" w14:textId="77777777">
        <w:tc>
          <w:tcPr>
            <w:tcW w:w="0" w:type="auto"/>
          </w:tcPr>
          <w:p w14:paraId="4B390651" w14:textId="77777777" w:rsidR="00721C98" w:rsidRDefault="00AE7B71">
            <w:pPr>
              <w:pStyle w:val="CellTextValue"/>
              <w:jc w:val="left"/>
            </w:pPr>
            <w:r>
              <w:rPr>
                <w:i/>
              </w:rPr>
              <w:t>Financial and operational capacity and exclusion</w:t>
            </w:r>
          </w:p>
        </w:tc>
        <w:tc>
          <w:tcPr>
            <w:tcW w:w="0" w:type="auto"/>
          </w:tcPr>
          <w:p w14:paraId="65B42AE3" w14:textId="77777777" w:rsidR="00721C98" w:rsidRDefault="00AE7B71">
            <w:pPr>
              <w:pStyle w:val="CellTextValue"/>
            </w:pPr>
            <w:r>
              <w:rPr>
                <w:color w:val="000000"/>
              </w:rPr>
              <w:t>The criteria are described in General Annex C.</w:t>
            </w:r>
          </w:p>
        </w:tc>
      </w:tr>
      <w:tr w:rsidR="00721C98" w14:paraId="6F2FC85E" w14:textId="77777777">
        <w:tc>
          <w:tcPr>
            <w:tcW w:w="0" w:type="auto"/>
          </w:tcPr>
          <w:p w14:paraId="2897A7D0" w14:textId="77777777" w:rsidR="00721C98" w:rsidRDefault="00AE7B71">
            <w:pPr>
              <w:pStyle w:val="CellTextValue"/>
              <w:jc w:val="left"/>
            </w:pPr>
            <w:r>
              <w:rPr>
                <w:i/>
              </w:rPr>
              <w:lastRenderedPageBreak/>
              <w:t>Award criteria</w:t>
            </w:r>
          </w:p>
        </w:tc>
        <w:tc>
          <w:tcPr>
            <w:tcW w:w="0" w:type="auto"/>
          </w:tcPr>
          <w:p w14:paraId="5D0DA2EA" w14:textId="77777777" w:rsidR="00721C98" w:rsidRDefault="00AE7B71">
            <w:pPr>
              <w:pStyle w:val="CellTextValue"/>
            </w:pPr>
            <w:r>
              <w:rPr>
                <w:color w:val="000000"/>
              </w:rPr>
              <w:t>The criteria are described in General Annex D.</w:t>
            </w:r>
          </w:p>
        </w:tc>
      </w:tr>
      <w:tr w:rsidR="00721C98" w14:paraId="59C6353D" w14:textId="77777777">
        <w:tc>
          <w:tcPr>
            <w:tcW w:w="0" w:type="auto"/>
          </w:tcPr>
          <w:p w14:paraId="1726A46E" w14:textId="77777777" w:rsidR="00721C98" w:rsidRDefault="00AE7B71">
            <w:pPr>
              <w:pStyle w:val="CellTextValue"/>
              <w:jc w:val="left"/>
            </w:pPr>
            <w:r>
              <w:rPr>
                <w:i/>
              </w:rPr>
              <w:t>Documents</w:t>
            </w:r>
          </w:p>
        </w:tc>
        <w:tc>
          <w:tcPr>
            <w:tcW w:w="0" w:type="auto"/>
          </w:tcPr>
          <w:p w14:paraId="407EC130" w14:textId="77777777" w:rsidR="00721C98" w:rsidRDefault="00AE7B71">
            <w:pPr>
              <w:pStyle w:val="CellTextValue"/>
            </w:pPr>
            <w:r>
              <w:rPr>
                <w:color w:val="000000"/>
              </w:rPr>
              <w:t>The documents are described in General Annex E.</w:t>
            </w:r>
          </w:p>
        </w:tc>
      </w:tr>
      <w:tr w:rsidR="00721C98" w14:paraId="279AB011" w14:textId="77777777">
        <w:tc>
          <w:tcPr>
            <w:tcW w:w="0" w:type="auto"/>
          </w:tcPr>
          <w:p w14:paraId="23F54718" w14:textId="77777777" w:rsidR="00721C98" w:rsidRDefault="00AE7B71">
            <w:pPr>
              <w:pStyle w:val="CellTextValue"/>
              <w:jc w:val="left"/>
            </w:pPr>
            <w:r>
              <w:rPr>
                <w:i/>
              </w:rPr>
              <w:t>Procedure</w:t>
            </w:r>
          </w:p>
        </w:tc>
        <w:tc>
          <w:tcPr>
            <w:tcW w:w="0" w:type="auto"/>
          </w:tcPr>
          <w:p w14:paraId="13B526B5" w14:textId="77777777" w:rsidR="00721C98" w:rsidRDefault="00AE7B71">
            <w:pPr>
              <w:pStyle w:val="CellTextValue"/>
            </w:pPr>
            <w:r>
              <w:rPr>
                <w:color w:val="000000"/>
              </w:rPr>
              <w:t>The procedure is described in General Annex F.</w:t>
            </w:r>
          </w:p>
        </w:tc>
      </w:tr>
      <w:tr w:rsidR="00721C98" w14:paraId="1ECF81FA" w14:textId="77777777">
        <w:tc>
          <w:tcPr>
            <w:tcW w:w="0" w:type="auto"/>
          </w:tcPr>
          <w:p w14:paraId="74614C7F" w14:textId="77777777" w:rsidR="00721C98" w:rsidRDefault="00AE7B71">
            <w:pPr>
              <w:pStyle w:val="CellTextValue"/>
              <w:jc w:val="left"/>
            </w:pPr>
            <w:r>
              <w:rPr>
                <w:i/>
              </w:rPr>
              <w:t>Legal and financial set-up of the Grant Agreements</w:t>
            </w:r>
          </w:p>
        </w:tc>
        <w:tc>
          <w:tcPr>
            <w:tcW w:w="0" w:type="auto"/>
          </w:tcPr>
          <w:p w14:paraId="53C0998C" w14:textId="77777777" w:rsidR="00721C98" w:rsidRDefault="00AE7B71">
            <w:pPr>
              <w:pStyle w:val="CellTextValue"/>
            </w:pPr>
            <w:r>
              <w:rPr>
                <w:color w:val="000000"/>
              </w:rPr>
              <w:t>The rules are described in General Annex G.</w:t>
            </w:r>
          </w:p>
        </w:tc>
      </w:tr>
    </w:tbl>
    <w:p w14:paraId="19BA1FCD" w14:textId="77777777" w:rsidR="00721C98" w:rsidRDefault="00721C98">
      <w:pPr>
        <w:spacing w:after="0" w:line="150" w:lineRule="auto"/>
      </w:pPr>
    </w:p>
    <w:p w14:paraId="1462B5FF" w14:textId="77777777" w:rsidR="00721C98" w:rsidRPr="00DB4111" w:rsidRDefault="00AE7B71">
      <w:pPr>
        <w:pStyle w:val="HeadingTwo"/>
        <w:rPr>
          <w:lang w:val="en-IE"/>
        </w:rPr>
      </w:pPr>
      <w:r w:rsidRPr="00DB4111">
        <w:rPr>
          <w:lang w:val="en-IE"/>
        </w:rPr>
        <w:t>Call - Twinning</w:t>
      </w:r>
    </w:p>
    <w:p w14:paraId="29ECA5CB" w14:textId="77777777" w:rsidR="00721C98" w:rsidRDefault="00AE7B71">
      <w:pPr>
        <w:pStyle w:val="CallIdentifier"/>
      </w:pPr>
      <w:r>
        <w:t>HORIZON-WIDERA-2026-02</w:t>
      </w:r>
    </w:p>
    <w:p w14:paraId="76A13263" w14:textId="77777777" w:rsidR="00721C98" w:rsidRDefault="00AE7B71">
      <w:pPr>
        <w:pStyle w:val="HeadingThree"/>
      </w:pPr>
      <w:r>
        <w:t>Overview of this call</w:t>
      </w:r>
      <w:r>
        <w:rPr>
          <w:vertAlign w:val="superscript"/>
        </w:rPr>
        <w:footnoteReference w:id="12"/>
      </w:r>
    </w:p>
    <w:p w14:paraId="2116F169"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164"/>
        <w:gridCol w:w="884"/>
        <w:gridCol w:w="890"/>
        <w:gridCol w:w="770"/>
        <w:gridCol w:w="1404"/>
        <w:gridCol w:w="1190"/>
      </w:tblGrid>
      <w:tr w:rsidR="00DB4111" w14:paraId="557CC443" w14:textId="77777777" w:rsidTr="00DB4111">
        <w:tc>
          <w:tcPr>
            <w:tcW w:w="2000" w:type="dxa"/>
            <w:vMerge w:val="restart"/>
          </w:tcPr>
          <w:p w14:paraId="0837FCEC" w14:textId="77777777" w:rsidR="00721C98" w:rsidRDefault="00AE7B71">
            <w:pPr>
              <w:pStyle w:val="CellHeaderTextValue"/>
            </w:pPr>
            <w:r>
              <w:t>Topics</w:t>
            </w:r>
          </w:p>
        </w:tc>
        <w:tc>
          <w:tcPr>
            <w:tcW w:w="800" w:type="dxa"/>
            <w:vMerge w:val="restart"/>
          </w:tcPr>
          <w:p w14:paraId="66EEB0EA" w14:textId="77777777" w:rsidR="00721C98" w:rsidRDefault="00AE7B71">
            <w:pPr>
              <w:pStyle w:val="CellHeaderTextValue"/>
            </w:pPr>
            <w:r>
              <w:t>Type of Action</w:t>
            </w:r>
          </w:p>
        </w:tc>
        <w:tc>
          <w:tcPr>
            <w:tcW w:w="0" w:type="auto"/>
            <w:gridSpan w:val="2"/>
          </w:tcPr>
          <w:p w14:paraId="6E05F046" w14:textId="77777777" w:rsidR="00721C98" w:rsidRDefault="00AE7B71">
            <w:pPr>
              <w:pStyle w:val="CellHeaderTextValue"/>
            </w:pPr>
            <w:r>
              <w:t>Budgets (EUR million)</w:t>
            </w:r>
          </w:p>
        </w:tc>
        <w:tc>
          <w:tcPr>
            <w:tcW w:w="0" w:type="auto"/>
            <w:vMerge w:val="restart"/>
          </w:tcPr>
          <w:p w14:paraId="4290E2FC"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13"/>
            </w:r>
          </w:p>
        </w:tc>
        <w:tc>
          <w:tcPr>
            <w:tcW w:w="800" w:type="dxa"/>
            <w:vMerge w:val="restart"/>
          </w:tcPr>
          <w:p w14:paraId="4B60A3E7" w14:textId="77777777" w:rsidR="00721C98" w:rsidRDefault="00AE7B71">
            <w:pPr>
              <w:pStyle w:val="CellHeaderTextValue"/>
            </w:pPr>
            <w:r>
              <w:t>Indicative number of projects expected to be funded</w:t>
            </w:r>
          </w:p>
        </w:tc>
      </w:tr>
      <w:tr w:rsidR="00721C98" w14:paraId="70AE1E1E" w14:textId="77777777">
        <w:tc>
          <w:tcPr>
            <w:tcW w:w="0" w:type="auto"/>
            <w:vMerge/>
          </w:tcPr>
          <w:p w14:paraId="2E821509" w14:textId="77777777" w:rsidR="00721C98" w:rsidRDefault="00721C98"/>
        </w:tc>
        <w:tc>
          <w:tcPr>
            <w:tcW w:w="0" w:type="auto"/>
            <w:vMerge/>
          </w:tcPr>
          <w:p w14:paraId="4F6DB3D0" w14:textId="77777777" w:rsidR="00721C98" w:rsidRDefault="00721C98"/>
        </w:tc>
        <w:tc>
          <w:tcPr>
            <w:tcW w:w="0" w:type="auto"/>
          </w:tcPr>
          <w:p w14:paraId="3E981F95" w14:textId="77777777" w:rsidR="00721C98" w:rsidRDefault="00AE7B71">
            <w:pPr>
              <w:pStyle w:val="CellHeaderTextValue"/>
            </w:pPr>
            <w:r>
              <w:t>2026</w:t>
            </w:r>
          </w:p>
        </w:tc>
        <w:tc>
          <w:tcPr>
            <w:tcW w:w="0" w:type="auto"/>
          </w:tcPr>
          <w:p w14:paraId="6D007BFB" w14:textId="77777777" w:rsidR="00721C98" w:rsidRDefault="00AE7B71">
            <w:pPr>
              <w:pStyle w:val="CellHeaderTextValue"/>
            </w:pPr>
            <w:r>
              <w:t>2027</w:t>
            </w:r>
          </w:p>
        </w:tc>
        <w:tc>
          <w:tcPr>
            <w:tcW w:w="0" w:type="auto"/>
            <w:vMerge/>
          </w:tcPr>
          <w:p w14:paraId="46A138C1" w14:textId="77777777" w:rsidR="00721C98" w:rsidRDefault="00721C98"/>
        </w:tc>
        <w:tc>
          <w:tcPr>
            <w:tcW w:w="0" w:type="auto"/>
            <w:vMerge/>
          </w:tcPr>
          <w:p w14:paraId="320B2599" w14:textId="77777777" w:rsidR="00721C98" w:rsidRDefault="00721C98"/>
        </w:tc>
      </w:tr>
      <w:tr w:rsidR="00DB4111" w14:paraId="7A478FFB" w14:textId="77777777" w:rsidTr="00DB4111">
        <w:tc>
          <w:tcPr>
            <w:tcW w:w="0" w:type="auto"/>
            <w:gridSpan w:val="6"/>
          </w:tcPr>
          <w:p w14:paraId="62C6664C" w14:textId="77777777" w:rsidR="00721C98" w:rsidRDefault="00AE7B71">
            <w:pPr>
              <w:pStyle w:val="CellTextValue"/>
              <w:jc w:val="center"/>
            </w:pPr>
            <w:r>
              <w:t>Opening: 08 Jan 2026</w:t>
            </w:r>
          </w:p>
          <w:p w14:paraId="704F661F" w14:textId="77777777" w:rsidR="00721C98" w:rsidRDefault="00AE7B71">
            <w:pPr>
              <w:pStyle w:val="CellTextValue"/>
              <w:jc w:val="center"/>
            </w:pPr>
            <w:r>
              <w:t>Deadline(s): 09 Apr 2026</w:t>
            </w:r>
          </w:p>
        </w:tc>
      </w:tr>
      <w:tr w:rsidR="00DB4111" w14:paraId="0B842331" w14:textId="77777777" w:rsidTr="00DB4111">
        <w:tc>
          <w:tcPr>
            <w:tcW w:w="0" w:type="auto"/>
            <w:gridSpan w:val="6"/>
          </w:tcPr>
          <w:p w14:paraId="266B79AF" w14:textId="77777777" w:rsidR="00721C98" w:rsidRDefault="00AE7B71">
            <w:pPr>
              <w:pStyle w:val="CellTextValue"/>
            </w:pPr>
            <w:r>
              <w:t>Destination: Widening participation and spreading excellence</w:t>
            </w:r>
          </w:p>
        </w:tc>
      </w:tr>
      <w:tr w:rsidR="00721C98" w14:paraId="03E6F161" w14:textId="77777777">
        <w:tc>
          <w:tcPr>
            <w:tcW w:w="0" w:type="auto"/>
          </w:tcPr>
          <w:p w14:paraId="6746C6B3" w14:textId="77777777" w:rsidR="00721C98" w:rsidRDefault="00AE7B71">
            <w:pPr>
              <w:pStyle w:val="CellTextValue"/>
            </w:pPr>
            <w:r>
              <w:t>HORIZON-WIDERA-2026-02-WIDENING-01: Twinning</w:t>
            </w:r>
          </w:p>
        </w:tc>
        <w:tc>
          <w:tcPr>
            <w:tcW w:w="0" w:type="auto"/>
          </w:tcPr>
          <w:p w14:paraId="21419ED5" w14:textId="77777777" w:rsidR="00721C98" w:rsidRDefault="00AE7B71">
            <w:pPr>
              <w:pStyle w:val="CellTextValue"/>
            </w:pPr>
            <w:r>
              <w:t>CSA</w:t>
            </w:r>
          </w:p>
        </w:tc>
        <w:tc>
          <w:tcPr>
            <w:tcW w:w="0" w:type="auto"/>
            <w:vMerge w:val="restart"/>
          </w:tcPr>
          <w:p w14:paraId="6D770574" w14:textId="77777777" w:rsidR="00721C98" w:rsidRDefault="00AE7B71">
            <w:pPr>
              <w:pStyle w:val="CellTextValue"/>
            </w:pPr>
            <w:r>
              <w:t>223.00</w:t>
            </w:r>
          </w:p>
        </w:tc>
        <w:tc>
          <w:tcPr>
            <w:tcW w:w="0" w:type="auto"/>
            <w:vMerge w:val="restart"/>
          </w:tcPr>
          <w:p w14:paraId="0A191633" w14:textId="77777777" w:rsidR="00721C98" w:rsidRDefault="00AE7B71">
            <w:pPr>
              <w:pStyle w:val="CellTextValue"/>
            </w:pPr>
            <w:r>
              <w:t>41.50</w:t>
            </w:r>
          </w:p>
        </w:tc>
        <w:tc>
          <w:tcPr>
            <w:tcW w:w="0" w:type="auto"/>
          </w:tcPr>
          <w:p w14:paraId="7F755B18" w14:textId="77777777" w:rsidR="00721C98" w:rsidRDefault="00AE7B71">
            <w:pPr>
              <w:pStyle w:val="CellTextValue"/>
            </w:pPr>
            <w:r>
              <w:t>0.80 to 1.50</w:t>
            </w:r>
          </w:p>
        </w:tc>
        <w:tc>
          <w:tcPr>
            <w:tcW w:w="0" w:type="auto"/>
          </w:tcPr>
          <w:p w14:paraId="5434AD3D" w14:textId="77777777" w:rsidR="00721C98" w:rsidRDefault="00AE7B71">
            <w:pPr>
              <w:pStyle w:val="CellTextValue"/>
            </w:pPr>
            <w:r>
              <w:t>210</w:t>
            </w:r>
          </w:p>
        </w:tc>
      </w:tr>
      <w:tr w:rsidR="00721C98" w14:paraId="0C0CFF3B" w14:textId="77777777">
        <w:tc>
          <w:tcPr>
            <w:tcW w:w="0" w:type="auto"/>
          </w:tcPr>
          <w:p w14:paraId="4DC6BF26" w14:textId="77777777" w:rsidR="00721C98" w:rsidRDefault="00AE7B71">
            <w:pPr>
              <w:pStyle w:val="CellTextValue"/>
            </w:pPr>
            <w:r>
              <w:t>Overall indicative budget</w:t>
            </w:r>
          </w:p>
        </w:tc>
        <w:tc>
          <w:tcPr>
            <w:tcW w:w="0" w:type="auto"/>
          </w:tcPr>
          <w:p w14:paraId="5C9FF563" w14:textId="77777777" w:rsidR="00721C98" w:rsidRDefault="00721C98"/>
        </w:tc>
        <w:tc>
          <w:tcPr>
            <w:tcW w:w="0" w:type="auto"/>
          </w:tcPr>
          <w:p w14:paraId="7F95B5F8" w14:textId="77777777" w:rsidR="00721C98" w:rsidRDefault="00AE7B71">
            <w:pPr>
              <w:pStyle w:val="CellTextValue"/>
            </w:pPr>
            <w:r>
              <w:t>223.00</w:t>
            </w:r>
          </w:p>
        </w:tc>
        <w:tc>
          <w:tcPr>
            <w:tcW w:w="0" w:type="auto"/>
          </w:tcPr>
          <w:p w14:paraId="2D72F796" w14:textId="77777777" w:rsidR="00721C98" w:rsidRDefault="00AE7B71">
            <w:pPr>
              <w:pStyle w:val="CellTextValue"/>
            </w:pPr>
            <w:r>
              <w:t>41.50</w:t>
            </w:r>
          </w:p>
        </w:tc>
        <w:tc>
          <w:tcPr>
            <w:tcW w:w="0" w:type="auto"/>
          </w:tcPr>
          <w:p w14:paraId="2E90FF26" w14:textId="77777777" w:rsidR="00721C98" w:rsidRDefault="00721C98"/>
        </w:tc>
        <w:tc>
          <w:tcPr>
            <w:tcW w:w="0" w:type="auto"/>
          </w:tcPr>
          <w:p w14:paraId="0B991D7D" w14:textId="77777777" w:rsidR="00721C98" w:rsidRDefault="00721C98"/>
        </w:tc>
      </w:tr>
    </w:tbl>
    <w:p w14:paraId="69A84476"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6E197655" w14:textId="77777777" w:rsidTr="00DB4111">
        <w:tc>
          <w:tcPr>
            <w:tcW w:w="0" w:type="auto"/>
            <w:gridSpan w:val="2"/>
          </w:tcPr>
          <w:p w14:paraId="77574E63" w14:textId="77777777" w:rsidR="00721C98" w:rsidRDefault="00AE7B71">
            <w:pPr>
              <w:pStyle w:val="CellTextValue"/>
            </w:pPr>
            <w:r>
              <w:rPr>
                <w:b/>
              </w:rPr>
              <w:t>General conditions relating to this call</w:t>
            </w:r>
          </w:p>
        </w:tc>
      </w:tr>
      <w:tr w:rsidR="00721C98" w14:paraId="54E1ACA8" w14:textId="77777777">
        <w:tc>
          <w:tcPr>
            <w:tcW w:w="0" w:type="auto"/>
          </w:tcPr>
          <w:p w14:paraId="61DD82CD" w14:textId="77777777" w:rsidR="00721C98" w:rsidRDefault="00AE7B71">
            <w:pPr>
              <w:pStyle w:val="CellTextValue"/>
              <w:jc w:val="left"/>
            </w:pPr>
            <w:r>
              <w:rPr>
                <w:i/>
              </w:rPr>
              <w:lastRenderedPageBreak/>
              <w:t>Admissibility conditions</w:t>
            </w:r>
          </w:p>
        </w:tc>
        <w:tc>
          <w:tcPr>
            <w:tcW w:w="0" w:type="auto"/>
          </w:tcPr>
          <w:p w14:paraId="09EFF048" w14:textId="77777777" w:rsidR="00721C98" w:rsidRDefault="00AE7B71">
            <w:pPr>
              <w:pStyle w:val="CellTextValue"/>
            </w:pPr>
            <w:r>
              <w:rPr>
                <w:color w:val="000000"/>
              </w:rPr>
              <w:t>The conditions are described in General Annex A.</w:t>
            </w:r>
          </w:p>
        </w:tc>
      </w:tr>
      <w:tr w:rsidR="00721C98" w14:paraId="57E21D21" w14:textId="77777777">
        <w:tc>
          <w:tcPr>
            <w:tcW w:w="0" w:type="auto"/>
          </w:tcPr>
          <w:p w14:paraId="70A99334" w14:textId="77777777" w:rsidR="00721C98" w:rsidRDefault="00AE7B71">
            <w:pPr>
              <w:pStyle w:val="CellTextValue"/>
              <w:jc w:val="left"/>
            </w:pPr>
            <w:r>
              <w:rPr>
                <w:i/>
              </w:rPr>
              <w:t>Eligibility conditions</w:t>
            </w:r>
          </w:p>
        </w:tc>
        <w:tc>
          <w:tcPr>
            <w:tcW w:w="0" w:type="auto"/>
          </w:tcPr>
          <w:p w14:paraId="34811A7E" w14:textId="77777777" w:rsidR="00721C98" w:rsidRDefault="00AE7B71">
            <w:pPr>
              <w:pStyle w:val="CellTextValue"/>
            </w:pPr>
            <w:r>
              <w:rPr>
                <w:color w:val="000000"/>
              </w:rPr>
              <w:t>The conditions are described in General Annex B.</w:t>
            </w:r>
          </w:p>
        </w:tc>
      </w:tr>
      <w:tr w:rsidR="00721C98" w14:paraId="600CDB0E" w14:textId="77777777">
        <w:tc>
          <w:tcPr>
            <w:tcW w:w="0" w:type="auto"/>
          </w:tcPr>
          <w:p w14:paraId="18844E29" w14:textId="77777777" w:rsidR="00721C98" w:rsidRDefault="00AE7B71">
            <w:pPr>
              <w:pStyle w:val="CellTextValue"/>
              <w:jc w:val="left"/>
            </w:pPr>
            <w:r>
              <w:rPr>
                <w:i/>
              </w:rPr>
              <w:t>Financial and operational capacity and exclusion</w:t>
            </w:r>
          </w:p>
        </w:tc>
        <w:tc>
          <w:tcPr>
            <w:tcW w:w="0" w:type="auto"/>
          </w:tcPr>
          <w:p w14:paraId="26B74633" w14:textId="77777777" w:rsidR="00721C98" w:rsidRDefault="00AE7B71">
            <w:pPr>
              <w:pStyle w:val="CellTextValue"/>
            </w:pPr>
            <w:r>
              <w:rPr>
                <w:color w:val="000000"/>
              </w:rPr>
              <w:t>The criteria are described in General Annex C.</w:t>
            </w:r>
          </w:p>
        </w:tc>
      </w:tr>
      <w:tr w:rsidR="00721C98" w14:paraId="0EB4EA9A" w14:textId="77777777">
        <w:tc>
          <w:tcPr>
            <w:tcW w:w="0" w:type="auto"/>
          </w:tcPr>
          <w:p w14:paraId="683CA1B1" w14:textId="77777777" w:rsidR="00721C98" w:rsidRDefault="00AE7B71">
            <w:pPr>
              <w:pStyle w:val="CellTextValue"/>
              <w:jc w:val="left"/>
            </w:pPr>
            <w:r>
              <w:rPr>
                <w:i/>
              </w:rPr>
              <w:t>Award criteria</w:t>
            </w:r>
          </w:p>
        </w:tc>
        <w:tc>
          <w:tcPr>
            <w:tcW w:w="0" w:type="auto"/>
          </w:tcPr>
          <w:p w14:paraId="7913FBEF" w14:textId="77777777" w:rsidR="00721C98" w:rsidRDefault="00AE7B71">
            <w:pPr>
              <w:pStyle w:val="CellTextValue"/>
            </w:pPr>
            <w:r>
              <w:rPr>
                <w:color w:val="000000"/>
              </w:rPr>
              <w:t>The criteria are described in General Annex D.</w:t>
            </w:r>
          </w:p>
        </w:tc>
      </w:tr>
      <w:tr w:rsidR="00721C98" w14:paraId="208583A3" w14:textId="77777777">
        <w:tc>
          <w:tcPr>
            <w:tcW w:w="0" w:type="auto"/>
          </w:tcPr>
          <w:p w14:paraId="4D98C347" w14:textId="77777777" w:rsidR="00721C98" w:rsidRDefault="00AE7B71">
            <w:pPr>
              <w:pStyle w:val="CellTextValue"/>
              <w:jc w:val="left"/>
            </w:pPr>
            <w:r>
              <w:rPr>
                <w:i/>
              </w:rPr>
              <w:t>Documents</w:t>
            </w:r>
          </w:p>
        </w:tc>
        <w:tc>
          <w:tcPr>
            <w:tcW w:w="0" w:type="auto"/>
          </w:tcPr>
          <w:p w14:paraId="78885082" w14:textId="77777777" w:rsidR="00721C98" w:rsidRDefault="00AE7B71">
            <w:pPr>
              <w:pStyle w:val="CellTextValue"/>
            </w:pPr>
            <w:r>
              <w:rPr>
                <w:color w:val="000000"/>
              </w:rPr>
              <w:t>The documents are described in General Annex E.</w:t>
            </w:r>
          </w:p>
        </w:tc>
      </w:tr>
      <w:tr w:rsidR="00721C98" w14:paraId="78A6B98C" w14:textId="77777777">
        <w:tc>
          <w:tcPr>
            <w:tcW w:w="0" w:type="auto"/>
          </w:tcPr>
          <w:p w14:paraId="3D17DA28" w14:textId="77777777" w:rsidR="00721C98" w:rsidRDefault="00AE7B71">
            <w:pPr>
              <w:pStyle w:val="CellTextValue"/>
              <w:jc w:val="left"/>
            </w:pPr>
            <w:r>
              <w:rPr>
                <w:i/>
              </w:rPr>
              <w:t>Procedure</w:t>
            </w:r>
          </w:p>
        </w:tc>
        <w:tc>
          <w:tcPr>
            <w:tcW w:w="0" w:type="auto"/>
          </w:tcPr>
          <w:p w14:paraId="5719177B" w14:textId="77777777" w:rsidR="00721C98" w:rsidRDefault="00AE7B71">
            <w:pPr>
              <w:pStyle w:val="CellTextValue"/>
            </w:pPr>
            <w:r>
              <w:rPr>
                <w:color w:val="000000"/>
              </w:rPr>
              <w:t>The procedure is described in General Annex F.</w:t>
            </w:r>
          </w:p>
        </w:tc>
      </w:tr>
      <w:tr w:rsidR="00721C98" w14:paraId="3A4538D5" w14:textId="77777777">
        <w:tc>
          <w:tcPr>
            <w:tcW w:w="0" w:type="auto"/>
          </w:tcPr>
          <w:p w14:paraId="2F293755" w14:textId="77777777" w:rsidR="00721C98" w:rsidRDefault="00AE7B71">
            <w:pPr>
              <w:pStyle w:val="CellTextValue"/>
              <w:jc w:val="left"/>
            </w:pPr>
            <w:r>
              <w:rPr>
                <w:i/>
              </w:rPr>
              <w:t>Legal and financial set-up of the Grant Agreements</w:t>
            </w:r>
          </w:p>
        </w:tc>
        <w:tc>
          <w:tcPr>
            <w:tcW w:w="0" w:type="auto"/>
          </w:tcPr>
          <w:p w14:paraId="5B3C7AF0" w14:textId="77777777" w:rsidR="00721C98" w:rsidRDefault="00AE7B71">
            <w:pPr>
              <w:pStyle w:val="CellTextValue"/>
            </w:pPr>
            <w:r>
              <w:rPr>
                <w:color w:val="000000"/>
              </w:rPr>
              <w:t>The rules are described in General Annex G.</w:t>
            </w:r>
          </w:p>
        </w:tc>
      </w:tr>
    </w:tbl>
    <w:p w14:paraId="0CA20F96" w14:textId="77777777" w:rsidR="00721C98" w:rsidRDefault="00721C98">
      <w:pPr>
        <w:spacing w:after="0" w:line="150" w:lineRule="auto"/>
      </w:pPr>
    </w:p>
    <w:p w14:paraId="403C968E" w14:textId="77777777" w:rsidR="00721C98" w:rsidRPr="00DB4111" w:rsidRDefault="00AE7B71">
      <w:pPr>
        <w:pStyle w:val="HeadingTwo"/>
        <w:rPr>
          <w:lang w:val="en-IE"/>
        </w:rPr>
      </w:pPr>
      <w:r w:rsidRPr="00DB4111">
        <w:rPr>
          <w:lang w:val="en-IE"/>
        </w:rPr>
        <w:t>Call - Hop-on Facility</w:t>
      </w:r>
    </w:p>
    <w:p w14:paraId="6F688DBD" w14:textId="77777777" w:rsidR="00721C98" w:rsidRDefault="00AE7B71">
      <w:pPr>
        <w:pStyle w:val="CallIdentifier"/>
      </w:pPr>
      <w:r>
        <w:t>HORIZON-WIDERA-2026-03</w:t>
      </w:r>
    </w:p>
    <w:p w14:paraId="191288CB" w14:textId="77777777" w:rsidR="00721C98" w:rsidRDefault="00AE7B71">
      <w:pPr>
        <w:pStyle w:val="HeadingThree"/>
      </w:pPr>
      <w:r>
        <w:t>Overview of this call</w:t>
      </w:r>
      <w:r>
        <w:rPr>
          <w:vertAlign w:val="superscript"/>
        </w:rPr>
        <w:footnoteReference w:id="14"/>
      </w:r>
    </w:p>
    <w:p w14:paraId="77169468"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730756BB" w14:textId="77777777">
        <w:tc>
          <w:tcPr>
            <w:tcW w:w="2000" w:type="dxa"/>
            <w:vMerge w:val="restart"/>
          </w:tcPr>
          <w:p w14:paraId="3848509E" w14:textId="77777777" w:rsidR="00721C98" w:rsidRDefault="00AE7B71">
            <w:pPr>
              <w:pStyle w:val="CellHeaderTextValue"/>
            </w:pPr>
            <w:r>
              <w:t>Topics</w:t>
            </w:r>
          </w:p>
        </w:tc>
        <w:tc>
          <w:tcPr>
            <w:tcW w:w="800" w:type="dxa"/>
            <w:vMerge w:val="restart"/>
          </w:tcPr>
          <w:p w14:paraId="49499A89" w14:textId="77777777" w:rsidR="00721C98" w:rsidRDefault="00AE7B71">
            <w:pPr>
              <w:pStyle w:val="CellHeaderTextValue"/>
            </w:pPr>
            <w:r>
              <w:t>Type of Action</w:t>
            </w:r>
          </w:p>
        </w:tc>
        <w:tc>
          <w:tcPr>
            <w:tcW w:w="0" w:type="auto"/>
          </w:tcPr>
          <w:p w14:paraId="27BA4B25" w14:textId="77777777" w:rsidR="00721C98" w:rsidRDefault="00AE7B71">
            <w:pPr>
              <w:pStyle w:val="CellHeaderTextValue"/>
            </w:pPr>
            <w:r>
              <w:t>Budgets (EUR million)</w:t>
            </w:r>
          </w:p>
        </w:tc>
        <w:tc>
          <w:tcPr>
            <w:tcW w:w="0" w:type="auto"/>
            <w:vMerge w:val="restart"/>
          </w:tcPr>
          <w:p w14:paraId="30E187F5"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15"/>
            </w:r>
          </w:p>
        </w:tc>
        <w:tc>
          <w:tcPr>
            <w:tcW w:w="800" w:type="dxa"/>
            <w:vMerge w:val="restart"/>
          </w:tcPr>
          <w:p w14:paraId="5729A0B6" w14:textId="77777777" w:rsidR="00721C98" w:rsidRDefault="00AE7B71">
            <w:pPr>
              <w:pStyle w:val="CellHeaderTextValue"/>
            </w:pPr>
            <w:r>
              <w:t>Indicative number of projects expected to be funded</w:t>
            </w:r>
          </w:p>
        </w:tc>
      </w:tr>
      <w:tr w:rsidR="00721C98" w14:paraId="6940EEF5" w14:textId="77777777">
        <w:tc>
          <w:tcPr>
            <w:tcW w:w="0" w:type="auto"/>
            <w:vMerge/>
          </w:tcPr>
          <w:p w14:paraId="7B97445B" w14:textId="77777777" w:rsidR="00721C98" w:rsidRDefault="00721C98"/>
        </w:tc>
        <w:tc>
          <w:tcPr>
            <w:tcW w:w="0" w:type="auto"/>
            <w:vMerge/>
          </w:tcPr>
          <w:p w14:paraId="75266425" w14:textId="77777777" w:rsidR="00721C98" w:rsidRDefault="00721C98"/>
        </w:tc>
        <w:tc>
          <w:tcPr>
            <w:tcW w:w="0" w:type="auto"/>
          </w:tcPr>
          <w:p w14:paraId="5CDCE0D7" w14:textId="77777777" w:rsidR="00721C98" w:rsidRDefault="00AE7B71">
            <w:pPr>
              <w:pStyle w:val="CellHeaderTextValue"/>
            </w:pPr>
            <w:r>
              <w:t>2026</w:t>
            </w:r>
          </w:p>
        </w:tc>
        <w:tc>
          <w:tcPr>
            <w:tcW w:w="0" w:type="auto"/>
            <w:vMerge/>
          </w:tcPr>
          <w:p w14:paraId="20AA8C9F" w14:textId="77777777" w:rsidR="00721C98" w:rsidRDefault="00721C98"/>
        </w:tc>
        <w:tc>
          <w:tcPr>
            <w:tcW w:w="0" w:type="auto"/>
            <w:vMerge/>
          </w:tcPr>
          <w:p w14:paraId="49E1748C" w14:textId="77777777" w:rsidR="00721C98" w:rsidRDefault="00721C98"/>
        </w:tc>
      </w:tr>
      <w:tr w:rsidR="00DB4111" w14:paraId="797B28A8" w14:textId="77777777" w:rsidTr="00DB4111">
        <w:tc>
          <w:tcPr>
            <w:tcW w:w="0" w:type="auto"/>
            <w:gridSpan w:val="5"/>
          </w:tcPr>
          <w:p w14:paraId="7B1C0D82" w14:textId="77777777" w:rsidR="00721C98" w:rsidRDefault="00AE7B71">
            <w:pPr>
              <w:pStyle w:val="CellTextValue"/>
              <w:jc w:val="center"/>
            </w:pPr>
            <w:r>
              <w:t>Opening: 13 Jan 2026</w:t>
            </w:r>
          </w:p>
          <w:p w14:paraId="7E3F32A1" w14:textId="77777777" w:rsidR="00721C98" w:rsidRDefault="00AE7B71">
            <w:pPr>
              <w:pStyle w:val="CellTextValue"/>
              <w:jc w:val="center"/>
            </w:pPr>
            <w:r>
              <w:t>Deadline(s): 24 Sep 2026</w:t>
            </w:r>
          </w:p>
        </w:tc>
      </w:tr>
      <w:tr w:rsidR="00DB4111" w14:paraId="61A10E7C" w14:textId="77777777" w:rsidTr="00DB4111">
        <w:tc>
          <w:tcPr>
            <w:tcW w:w="0" w:type="auto"/>
            <w:gridSpan w:val="5"/>
          </w:tcPr>
          <w:p w14:paraId="04D39D8F" w14:textId="77777777" w:rsidR="00721C98" w:rsidRDefault="00AE7B71">
            <w:pPr>
              <w:pStyle w:val="CellTextValue"/>
            </w:pPr>
            <w:r>
              <w:lastRenderedPageBreak/>
              <w:t>Destination: Widening participation and spreading excellence</w:t>
            </w:r>
          </w:p>
        </w:tc>
      </w:tr>
      <w:tr w:rsidR="00721C98" w14:paraId="6D9E9515" w14:textId="77777777">
        <w:tc>
          <w:tcPr>
            <w:tcW w:w="0" w:type="auto"/>
          </w:tcPr>
          <w:p w14:paraId="7AB58D46" w14:textId="77777777" w:rsidR="00721C98" w:rsidRDefault="00AE7B71">
            <w:pPr>
              <w:pStyle w:val="CellTextValue"/>
            </w:pPr>
            <w:r>
              <w:t>HORIZON-WIDERA-2026-03-WIDENING-01: Hop-On Facility</w:t>
            </w:r>
          </w:p>
        </w:tc>
        <w:tc>
          <w:tcPr>
            <w:tcW w:w="0" w:type="auto"/>
          </w:tcPr>
          <w:p w14:paraId="21F9BBA8" w14:textId="77777777" w:rsidR="00721C98" w:rsidRDefault="00AE7B71">
            <w:pPr>
              <w:pStyle w:val="CellTextValue"/>
            </w:pPr>
            <w:r>
              <w:t>RIA</w:t>
            </w:r>
          </w:p>
        </w:tc>
        <w:tc>
          <w:tcPr>
            <w:tcW w:w="0" w:type="auto"/>
            <w:vMerge w:val="restart"/>
          </w:tcPr>
          <w:p w14:paraId="04A0CE03" w14:textId="77777777" w:rsidR="00721C98" w:rsidRDefault="00AE7B71">
            <w:pPr>
              <w:pStyle w:val="CellTextValue"/>
            </w:pPr>
            <w:r>
              <w:t>30.00</w:t>
            </w:r>
          </w:p>
        </w:tc>
        <w:tc>
          <w:tcPr>
            <w:tcW w:w="0" w:type="auto"/>
          </w:tcPr>
          <w:p w14:paraId="280C027D" w14:textId="77777777" w:rsidR="00721C98" w:rsidRDefault="00AE7B71">
            <w:pPr>
              <w:pStyle w:val="CellTextValue"/>
            </w:pPr>
            <w:r>
              <w:t>0.20 to 0.60</w:t>
            </w:r>
          </w:p>
        </w:tc>
        <w:tc>
          <w:tcPr>
            <w:tcW w:w="0" w:type="auto"/>
          </w:tcPr>
          <w:p w14:paraId="6FC82E21" w14:textId="77777777" w:rsidR="00721C98" w:rsidRDefault="00AE7B71">
            <w:pPr>
              <w:pStyle w:val="CellTextValue"/>
            </w:pPr>
            <w:r>
              <w:t>60</w:t>
            </w:r>
          </w:p>
        </w:tc>
      </w:tr>
      <w:tr w:rsidR="00721C98" w14:paraId="26B0054B" w14:textId="77777777">
        <w:tc>
          <w:tcPr>
            <w:tcW w:w="0" w:type="auto"/>
          </w:tcPr>
          <w:p w14:paraId="77CA3273" w14:textId="77777777" w:rsidR="00721C98" w:rsidRDefault="00AE7B71">
            <w:pPr>
              <w:pStyle w:val="CellTextValue"/>
            </w:pPr>
            <w:r>
              <w:t>Overall indicative budget</w:t>
            </w:r>
          </w:p>
        </w:tc>
        <w:tc>
          <w:tcPr>
            <w:tcW w:w="0" w:type="auto"/>
          </w:tcPr>
          <w:p w14:paraId="22FE4E4E" w14:textId="77777777" w:rsidR="00721C98" w:rsidRDefault="00721C98"/>
        </w:tc>
        <w:tc>
          <w:tcPr>
            <w:tcW w:w="0" w:type="auto"/>
          </w:tcPr>
          <w:p w14:paraId="110EC8CD" w14:textId="77777777" w:rsidR="00721C98" w:rsidRDefault="00AE7B71">
            <w:pPr>
              <w:pStyle w:val="CellTextValue"/>
            </w:pPr>
            <w:r>
              <w:t>30.00</w:t>
            </w:r>
          </w:p>
        </w:tc>
        <w:tc>
          <w:tcPr>
            <w:tcW w:w="0" w:type="auto"/>
          </w:tcPr>
          <w:p w14:paraId="7F3A185E" w14:textId="77777777" w:rsidR="00721C98" w:rsidRDefault="00721C98"/>
        </w:tc>
        <w:tc>
          <w:tcPr>
            <w:tcW w:w="0" w:type="auto"/>
          </w:tcPr>
          <w:p w14:paraId="72C5BB51" w14:textId="77777777" w:rsidR="00721C98" w:rsidRDefault="00721C98"/>
        </w:tc>
      </w:tr>
    </w:tbl>
    <w:p w14:paraId="49C7D341"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31A8DBA9" w14:textId="77777777" w:rsidTr="00DB4111">
        <w:tc>
          <w:tcPr>
            <w:tcW w:w="0" w:type="auto"/>
            <w:gridSpan w:val="2"/>
          </w:tcPr>
          <w:p w14:paraId="1200499F" w14:textId="77777777" w:rsidR="00721C98" w:rsidRDefault="00AE7B71">
            <w:pPr>
              <w:pStyle w:val="CellTextValue"/>
            </w:pPr>
            <w:r>
              <w:rPr>
                <w:b/>
              </w:rPr>
              <w:t>General conditions relating to this call</w:t>
            </w:r>
          </w:p>
        </w:tc>
      </w:tr>
      <w:tr w:rsidR="00721C98" w14:paraId="3FCFE775" w14:textId="77777777">
        <w:tc>
          <w:tcPr>
            <w:tcW w:w="0" w:type="auto"/>
          </w:tcPr>
          <w:p w14:paraId="35FFC214" w14:textId="77777777" w:rsidR="00721C98" w:rsidRDefault="00AE7B71">
            <w:pPr>
              <w:pStyle w:val="CellTextValue"/>
              <w:jc w:val="left"/>
            </w:pPr>
            <w:r>
              <w:rPr>
                <w:i/>
              </w:rPr>
              <w:t>Admissibility conditions</w:t>
            </w:r>
          </w:p>
        </w:tc>
        <w:tc>
          <w:tcPr>
            <w:tcW w:w="0" w:type="auto"/>
          </w:tcPr>
          <w:p w14:paraId="2FC55162" w14:textId="77777777" w:rsidR="00721C98" w:rsidRDefault="00AE7B71">
            <w:pPr>
              <w:pStyle w:val="CellTextValue"/>
            </w:pPr>
            <w:r>
              <w:rPr>
                <w:color w:val="000000"/>
              </w:rPr>
              <w:t>The conditions are described in General Annex A.</w:t>
            </w:r>
          </w:p>
        </w:tc>
      </w:tr>
      <w:tr w:rsidR="00721C98" w14:paraId="6549AB40" w14:textId="77777777">
        <w:tc>
          <w:tcPr>
            <w:tcW w:w="0" w:type="auto"/>
          </w:tcPr>
          <w:p w14:paraId="25EF3897" w14:textId="77777777" w:rsidR="00721C98" w:rsidRDefault="00AE7B71">
            <w:pPr>
              <w:pStyle w:val="CellTextValue"/>
              <w:jc w:val="left"/>
            </w:pPr>
            <w:r>
              <w:rPr>
                <w:i/>
              </w:rPr>
              <w:t>Eligibility conditions</w:t>
            </w:r>
          </w:p>
        </w:tc>
        <w:tc>
          <w:tcPr>
            <w:tcW w:w="0" w:type="auto"/>
          </w:tcPr>
          <w:p w14:paraId="655ABE76" w14:textId="77777777" w:rsidR="00721C98" w:rsidRDefault="00AE7B71">
            <w:pPr>
              <w:pStyle w:val="CellTextValue"/>
            </w:pPr>
            <w:r>
              <w:rPr>
                <w:color w:val="000000"/>
              </w:rPr>
              <w:t>The conditions are described in General Annex B.</w:t>
            </w:r>
          </w:p>
        </w:tc>
      </w:tr>
      <w:tr w:rsidR="00721C98" w14:paraId="4BDCCA64" w14:textId="77777777">
        <w:tc>
          <w:tcPr>
            <w:tcW w:w="0" w:type="auto"/>
          </w:tcPr>
          <w:p w14:paraId="563BB627" w14:textId="77777777" w:rsidR="00721C98" w:rsidRDefault="00AE7B71">
            <w:pPr>
              <w:pStyle w:val="CellTextValue"/>
              <w:jc w:val="left"/>
            </w:pPr>
            <w:r>
              <w:rPr>
                <w:i/>
              </w:rPr>
              <w:t>Financial and operational capacity and exclusion</w:t>
            </w:r>
          </w:p>
        </w:tc>
        <w:tc>
          <w:tcPr>
            <w:tcW w:w="0" w:type="auto"/>
          </w:tcPr>
          <w:p w14:paraId="4BC7D254" w14:textId="77777777" w:rsidR="00721C98" w:rsidRDefault="00AE7B71">
            <w:pPr>
              <w:pStyle w:val="CellTextValue"/>
            </w:pPr>
            <w:r>
              <w:rPr>
                <w:color w:val="000000"/>
              </w:rPr>
              <w:t>The criteria are described in General Annex C.</w:t>
            </w:r>
          </w:p>
        </w:tc>
      </w:tr>
      <w:tr w:rsidR="00721C98" w14:paraId="61E002D8" w14:textId="77777777">
        <w:tc>
          <w:tcPr>
            <w:tcW w:w="0" w:type="auto"/>
          </w:tcPr>
          <w:p w14:paraId="704D2B0D" w14:textId="77777777" w:rsidR="00721C98" w:rsidRDefault="00AE7B71">
            <w:pPr>
              <w:pStyle w:val="CellTextValue"/>
              <w:jc w:val="left"/>
            </w:pPr>
            <w:r>
              <w:rPr>
                <w:i/>
              </w:rPr>
              <w:t>Award criteria</w:t>
            </w:r>
          </w:p>
        </w:tc>
        <w:tc>
          <w:tcPr>
            <w:tcW w:w="0" w:type="auto"/>
          </w:tcPr>
          <w:p w14:paraId="5B7991EC" w14:textId="77777777" w:rsidR="00721C98" w:rsidRDefault="00AE7B71">
            <w:pPr>
              <w:pStyle w:val="CellTextValue"/>
            </w:pPr>
            <w:r>
              <w:rPr>
                <w:color w:val="000000"/>
              </w:rPr>
              <w:t>The criteria are described in General Annex D.</w:t>
            </w:r>
          </w:p>
        </w:tc>
      </w:tr>
      <w:tr w:rsidR="00721C98" w14:paraId="27B71C64" w14:textId="77777777">
        <w:tc>
          <w:tcPr>
            <w:tcW w:w="0" w:type="auto"/>
          </w:tcPr>
          <w:p w14:paraId="69D9F8D3" w14:textId="77777777" w:rsidR="00721C98" w:rsidRDefault="00AE7B71">
            <w:pPr>
              <w:pStyle w:val="CellTextValue"/>
              <w:jc w:val="left"/>
            </w:pPr>
            <w:r>
              <w:rPr>
                <w:i/>
              </w:rPr>
              <w:t>Documents</w:t>
            </w:r>
          </w:p>
        </w:tc>
        <w:tc>
          <w:tcPr>
            <w:tcW w:w="0" w:type="auto"/>
          </w:tcPr>
          <w:p w14:paraId="6A2BA71E" w14:textId="77777777" w:rsidR="00721C98" w:rsidRDefault="00AE7B71">
            <w:pPr>
              <w:pStyle w:val="CellTextValue"/>
            </w:pPr>
            <w:r>
              <w:rPr>
                <w:color w:val="000000"/>
              </w:rPr>
              <w:t>The documents are described in General Annex E.</w:t>
            </w:r>
          </w:p>
        </w:tc>
      </w:tr>
      <w:tr w:rsidR="00721C98" w14:paraId="45860900" w14:textId="77777777">
        <w:tc>
          <w:tcPr>
            <w:tcW w:w="0" w:type="auto"/>
          </w:tcPr>
          <w:p w14:paraId="36C8F0C9" w14:textId="77777777" w:rsidR="00721C98" w:rsidRDefault="00AE7B71">
            <w:pPr>
              <w:pStyle w:val="CellTextValue"/>
              <w:jc w:val="left"/>
            </w:pPr>
            <w:r>
              <w:rPr>
                <w:i/>
              </w:rPr>
              <w:t>Procedure</w:t>
            </w:r>
          </w:p>
        </w:tc>
        <w:tc>
          <w:tcPr>
            <w:tcW w:w="0" w:type="auto"/>
          </w:tcPr>
          <w:p w14:paraId="55CA1B4C" w14:textId="77777777" w:rsidR="00721C98" w:rsidRDefault="00AE7B71">
            <w:pPr>
              <w:pStyle w:val="CellTextValue"/>
            </w:pPr>
            <w:r>
              <w:rPr>
                <w:color w:val="000000"/>
              </w:rPr>
              <w:t>The procedure is described in General Annex F.</w:t>
            </w:r>
          </w:p>
        </w:tc>
      </w:tr>
      <w:tr w:rsidR="00721C98" w14:paraId="7A97E884" w14:textId="77777777">
        <w:tc>
          <w:tcPr>
            <w:tcW w:w="0" w:type="auto"/>
          </w:tcPr>
          <w:p w14:paraId="42142F66" w14:textId="77777777" w:rsidR="00721C98" w:rsidRDefault="00AE7B71">
            <w:pPr>
              <w:pStyle w:val="CellTextValue"/>
              <w:jc w:val="left"/>
            </w:pPr>
            <w:r>
              <w:rPr>
                <w:i/>
              </w:rPr>
              <w:t>Legal and financial set-up of the Grant Agreements</w:t>
            </w:r>
          </w:p>
        </w:tc>
        <w:tc>
          <w:tcPr>
            <w:tcW w:w="0" w:type="auto"/>
          </w:tcPr>
          <w:p w14:paraId="1B6B3333" w14:textId="77777777" w:rsidR="00721C98" w:rsidRDefault="00AE7B71">
            <w:pPr>
              <w:pStyle w:val="CellTextValue"/>
            </w:pPr>
            <w:r>
              <w:rPr>
                <w:color w:val="000000"/>
              </w:rPr>
              <w:t>The rules are described in General Annex G.</w:t>
            </w:r>
          </w:p>
        </w:tc>
      </w:tr>
    </w:tbl>
    <w:p w14:paraId="30C00A9D" w14:textId="77777777" w:rsidR="00721C98" w:rsidRDefault="00721C98">
      <w:pPr>
        <w:spacing w:after="0" w:line="150" w:lineRule="auto"/>
      </w:pPr>
    </w:p>
    <w:p w14:paraId="5263E9D9" w14:textId="77777777" w:rsidR="00721C98" w:rsidRPr="00DB4111" w:rsidRDefault="00AE7B71">
      <w:pPr>
        <w:pStyle w:val="HeadingTwo"/>
        <w:rPr>
          <w:lang w:val="en-IE"/>
        </w:rPr>
      </w:pPr>
      <w:r w:rsidRPr="00DB4111">
        <w:rPr>
          <w:lang w:val="en-IE"/>
        </w:rPr>
        <w:t>Call - Research Management Facility</w:t>
      </w:r>
    </w:p>
    <w:p w14:paraId="5E0F083D" w14:textId="77777777" w:rsidR="00721C98" w:rsidRDefault="00AE7B71">
      <w:pPr>
        <w:pStyle w:val="CallIdentifier"/>
      </w:pPr>
      <w:r>
        <w:t>HORIZON-WIDERA-2026-04</w:t>
      </w:r>
    </w:p>
    <w:p w14:paraId="01BC0745" w14:textId="77777777" w:rsidR="00721C98" w:rsidRDefault="00AE7B71">
      <w:pPr>
        <w:pStyle w:val="HeadingThree"/>
      </w:pPr>
      <w:r>
        <w:t>Overview of this call</w:t>
      </w:r>
      <w:r>
        <w:rPr>
          <w:vertAlign w:val="superscript"/>
        </w:rPr>
        <w:footnoteReference w:id="16"/>
      </w:r>
    </w:p>
    <w:p w14:paraId="256FA641"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78F30F53" w14:textId="77777777">
        <w:tc>
          <w:tcPr>
            <w:tcW w:w="2000" w:type="dxa"/>
            <w:vMerge w:val="restart"/>
          </w:tcPr>
          <w:p w14:paraId="4749CA55" w14:textId="77777777" w:rsidR="00721C98" w:rsidRDefault="00AE7B71">
            <w:pPr>
              <w:pStyle w:val="CellHeaderTextValue"/>
            </w:pPr>
            <w:r>
              <w:t>Topics</w:t>
            </w:r>
          </w:p>
        </w:tc>
        <w:tc>
          <w:tcPr>
            <w:tcW w:w="800" w:type="dxa"/>
            <w:vMerge w:val="restart"/>
          </w:tcPr>
          <w:p w14:paraId="74E3EAA1" w14:textId="77777777" w:rsidR="00721C98" w:rsidRDefault="00AE7B71">
            <w:pPr>
              <w:pStyle w:val="CellHeaderTextValue"/>
            </w:pPr>
            <w:r>
              <w:t>Type of Action</w:t>
            </w:r>
          </w:p>
        </w:tc>
        <w:tc>
          <w:tcPr>
            <w:tcW w:w="0" w:type="auto"/>
          </w:tcPr>
          <w:p w14:paraId="66AD14D4" w14:textId="77777777" w:rsidR="00721C98" w:rsidRDefault="00AE7B71">
            <w:pPr>
              <w:pStyle w:val="CellHeaderTextValue"/>
            </w:pPr>
            <w:r>
              <w:t>Budgets (EUR million)</w:t>
            </w:r>
          </w:p>
        </w:tc>
        <w:tc>
          <w:tcPr>
            <w:tcW w:w="0" w:type="auto"/>
            <w:vMerge w:val="restart"/>
          </w:tcPr>
          <w:p w14:paraId="1904EA0D" w14:textId="77777777" w:rsidR="00721C98" w:rsidRPr="00DB4111" w:rsidRDefault="00AE7B71">
            <w:pPr>
              <w:pStyle w:val="CellHeaderTextValue"/>
              <w:rPr>
                <w:lang w:val="fr-BE"/>
              </w:rPr>
            </w:pPr>
            <w:r w:rsidRPr="00DB4111">
              <w:rPr>
                <w:lang w:val="fr-BE"/>
              </w:rPr>
              <w:t xml:space="preserve">Expected EU contribution </w:t>
            </w:r>
            <w:r w:rsidRPr="00DB4111">
              <w:rPr>
                <w:lang w:val="fr-BE"/>
              </w:rPr>
              <w:lastRenderedPageBreak/>
              <w:t>per project</w:t>
            </w:r>
            <w:r w:rsidRPr="00DB4111">
              <w:rPr>
                <w:lang w:val="fr-BE"/>
              </w:rPr>
              <w:t xml:space="preserve"> (EUR million)</w:t>
            </w:r>
            <w:r>
              <w:rPr>
                <w:vertAlign w:val="superscript"/>
              </w:rPr>
              <w:footnoteReference w:id="17"/>
            </w:r>
          </w:p>
        </w:tc>
        <w:tc>
          <w:tcPr>
            <w:tcW w:w="800" w:type="dxa"/>
            <w:vMerge w:val="restart"/>
          </w:tcPr>
          <w:p w14:paraId="6C93B0D0" w14:textId="77777777" w:rsidR="00721C98" w:rsidRDefault="00AE7B71">
            <w:pPr>
              <w:pStyle w:val="CellHeaderTextValue"/>
            </w:pPr>
            <w:r>
              <w:lastRenderedPageBreak/>
              <w:t xml:space="preserve">Indicative number of </w:t>
            </w:r>
            <w:r>
              <w:lastRenderedPageBreak/>
              <w:t>projects expected to be funded</w:t>
            </w:r>
          </w:p>
        </w:tc>
      </w:tr>
      <w:tr w:rsidR="00721C98" w14:paraId="1E895EE5" w14:textId="77777777">
        <w:tc>
          <w:tcPr>
            <w:tcW w:w="0" w:type="auto"/>
            <w:vMerge/>
          </w:tcPr>
          <w:p w14:paraId="1F9FD56C" w14:textId="77777777" w:rsidR="00721C98" w:rsidRDefault="00721C98"/>
        </w:tc>
        <w:tc>
          <w:tcPr>
            <w:tcW w:w="0" w:type="auto"/>
            <w:vMerge/>
          </w:tcPr>
          <w:p w14:paraId="51CB43DC" w14:textId="77777777" w:rsidR="00721C98" w:rsidRDefault="00721C98"/>
        </w:tc>
        <w:tc>
          <w:tcPr>
            <w:tcW w:w="0" w:type="auto"/>
          </w:tcPr>
          <w:p w14:paraId="7DF72E87" w14:textId="77777777" w:rsidR="00721C98" w:rsidRDefault="00AE7B71">
            <w:pPr>
              <w:pStyle w:val="CellHeaderTextValue"/>
            </w:pPr>
            <w:r>
              <w:t>2026</w:t>
            </w:r>
          </w:p>
        </w:tc>
        <w:tc>
          <w:tcPr>
            <w:tcW w:w="0" w:type="auto"/>
            <w:vMerge/>
          </w:tcPr>
          <w:p w14:paraId="0EC0E88F" w14:textId="77777777" w:rsidR="00721C98" w:rsidRDefault="00721C98"/>
        </w:tc>
        <w:tc>
          <w:tcPr>
            <w:tcW w:w="0" w:type="auto"/>
            <w:vMerge/>
          </w:tcPr>
          <w:p w14:paraId="19A65EA3" w14:textId="77777777" w:rsidR="00721C98" w:rsidRDefault="00721C98"/>
        </w:tc>
      </w:tr>
      <w:tr w:rsidR="00DB4111" w14:paraId="219CD709" w14:textId="77777777" w:rsidTr="00DB4111">
        <w:tc>
          <w:tcPr>
            <w:tcW w:w="0" w:type="auto"/>
            <w:gridSpan w:val="5"/>
          </w:tcPr>
          <w:p w14:paraId="170A3C34" w14:textId="77777777" w:rsidR="00721C98" w:rsidRDefault="00AE7B71">
            <w:pPr>
              <w:pStyle w:val="CellTextValue"/>
              <w:jc w:val="center"/>
            </w:pPr>
            <w:r>
              <w:t>Opening: 23 Apr 2026</w:t>
            </w:r>
          </w:p>
          <w:p w14:paraId="7EB45587" w14:textId="77777777" w:rsidR="00721C98" w:rsidRDefault="00AE7B71">
            <w:pPr>
              <w:pStyle w:val="CellTextValue"/>
              <w:jc w:val="center"/>
            </w:pPr>
            <w:r>
              <w:t>Deadline(s): 24 Sep 2026</w:t>
            </w:r>
          </w:p>
        </w:tc>
      </w:tr>
      <w:tr w:rsidR="00DB4111" w14:paraId="5CB56788" w14:textId="77777777" w:rsidTr="00DB4111">
        <w:tc>
          <w:tcPr>
            <w:tcW w:w="0" w:type="auto"/>
            <w:gridSpan w:val="5"/>
          </w:tcPr>
          <w:p w14:paraId="18F22D98" w14:textId="77777777" w:rsidR="00721C98" w:rsidRDefault="00AE7B71">
            <w:pPr>
              <w:pStyle w:val="CellTextValue"/>
            </w:pPr>
            <w:r>
              <w:t>Destination: Widening participation and spreading excellence</w:t>
            </w:r>
          </w:p>
        </w:tc>
      </w:tr>
      <w:tr w:rsidR="00721C98" w14:paraId="67887F97" w14:textId="77777777">
        <w:tc>
          <w:tcPr>
            <w:tcW w:w="0" w:type="auto"/>
          </w:tcPr>
          <w:p w14:paraId="3651A5F2" w14:textId="77777777" w:rsidR="00721C98" w:rsidRDefault="00AE7B71">
            <w:pPr>
              <w:pStyle w:val="CellTextValue"/>
            </w:pPr>
            <w:r>
              <w:t>HORIZON-WIDERA-2026-04-WIDENING-01: Research Management Facility</w:t>
            </w:r>
          </w:p>
        </w:tc>
        <w:tc>
          <w:tcPr>
            <w:tcW w:w="0" w:type="auto"/>
          </w:tcPr>
          <w:p w14:paraId="75581113" w14:textId="77777777" w:rsidR="00721C98" w:rsidRDefault="00AE7B71">
            <w:pPr>
              <w:pStyle w:val="CellTextValue"/>
            </w:pPr>
            <w:r>
              <w:t>CSA</w:t>
            </w:r>
          </w:p>
        </w:tc>
        <w:tc>
          <w:tcPr>
            <w:tcW w:w="0" w:type="auto"/>
            <w:vMerge w:val="restart"/>
          </w:tcPr>
          <w:p w14:paraId="4E93EFC7" w14:textId="77777777" w:rsidR="00721C98" w:rsidRDefault="00AE7B71">
            <w:pPr>
              <w:pStyle w:val="CellTextValue"/>
            </w:pPr>
            <w:r>
              <w:t>7.00</w:t>
            </w:r>
          </w:p>
        </w:tc>
        <w:tc>
          <w:tcPr>
            <w:tcW w:w="0" w:type="auto"/>
          </w:tcPr>
          <w:p w14:paraId="1C627219" w14:textId="77777777" w:rsidR="00721C98" w:rsidRDefault="00AE7B71">
            <w:pPr>
              <w:pStyle w:val="CellTextValue"/>
            </w:pPr>
            <w:r>
              <w:t>Around 7.00</w:t>
            </w:r>
          </w:p>
        </w:tc>
        <w:tc>
          <w:tcPr>
            <w:tcW w:w="0" w:type="auto"/>
          </w:tcPr>
          <w:p w14:paraId="07BFE388" w14:textId="77777777" w:rsidR="00721C98" w:rsidRDefault="00AE7B71">
            <w:pPr>
              <w:pStyle w:val="CellTextValue"/>
            </w:pPr>
            <w:r>
              <w:t>1</w:t>
            </w:r>
          </w:p>
        </w:tc>
      </w:tr>
      <w:tr w:rsidR="00721C98" w14:paraId="283B8844" w14:textId="77777777">
        <w:tc>
          <w:tcPr>
            <w:tcW w:w="0" w:type="auto"/>
          </w:tcPr>
          <w:p w14:paraId="7A93C3FB" w14:textId="77777777" w:rsidR="00721C98" w:rsidRDefault="00AE7B71">
            <w:pPr>
              <w:pStyle w:val="CellTextValue"/>
            </w:pPr>
            <w:r>
              <w:t>Overall indicative budget</w:t>
            </w:r>
          </w:p>
        </w:tc>
        <w:tc>
          <w:tcPr>
            <w:tcW w:w="0" w:type="auto"/>
          </w:tcPr>
          <w:p w14:paraId="11D26541" w14:textId="77777777" w:rsidR="00721C98" w:rsidRDefault="00721C98"/>
        </w:tc>
        <w:tc>
          <w:tcPr>
            <w:tcW w:w="0" w:type="auto"/>
          </w:tcPr>
          <w:p w14:paraId="4F8325D6" w14:textId="77777777" w:rsidR="00721C98" w:rsidRDefault="00AE7B71">
            <w:pPr>
              <w:pStyle w:val="CellTextValue"/>
            </w:pPr>
            <w:r>
              <w:t>7.00</w:t>
            </w:r>
          </w:p>
        </w:tc>
        <w:tc>
          <w:tcPr>
            <w:tcW w:w="0" w:type="auto"/>
          </w:tcPr>
          <w:p w14:paraId="754F578F" w14:textId="77777777" w:rsidR="00721C98" w:rsidRDefault="00721C98"/>
        </w:tc>
        <w:tc>
          <w:tcPr>
            <w:tcW w:w="0" w:type="auto"/>
          </w:tcPr>
          <w:p w14:paraId="7FDEFA76" w14:textId="77777777" w:rsidR="00721C98" w:rsidRDefault="00721C98"/>
        </w:tc>
      </w:tr>
    </w:tbl>
    <w:p w14:paraId="0EE754E0"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44B40005" w14:textId="77777777" w:rsidTr="00DB4111">
        <w:tc>
          <w:tcPr>
            <w:tcW w:w="0" w:type="auto"/>
            <w:gridSpan w:val="2"/>
          </w:tcPr>
          <w:p w14:paraId="5BAFC361" w14:textId="77777777" w:rsidR="00721C98" w:rsidRDefault="00AE7B71">
            <w:pPr>
              <w:pStyle w:val="CellTextValue"/>
            </w:pPr>
            <w:r>
              <w:rPr>
                <w:b/>
              </w:rPr>
              <w:t>General conditions relating to this call</w:t>
            </w:r>
          </w:p>
        </w:tc>
      </w:tr>
      <w:tr w:rsidR="00721C98" w14:paraId="1153B6DF" w14:textId="77777777">
        <w:tc>
          <w:tcPr>
            <w:tcW w:w="0" w:type="auto"/>
          </w:tcPr>
          <w:p w14:paraId="4871990F" w14:textId="77777777" w:rsidR="00721C98" w:rsidRDefault="00AE7B71">
            <w:pPr>
              <w:pStyle w:val="CellTextValue"/>
              <w:jc w:val="left"/>
            </w:pPr>
            <w:r>
              <w:rPr>
                <w:i/>
              </w:rPr>
              <w:t>Admissibility conditions</w:t>
            </w:r>
          </w:p>
        </w:tc>
        <w:tc>
          <w:tcPr>
            <w:tcW w:w="0" w:type="auto"/>
          </w:tcPr>
          <w:p w14:paraId="4909A034" w14:textId="77777777" w:rsidR="00721C98" w:rsidRDefault="00AE7B71">
            <w:pPr>
              <w:pStyle w:val="CellTextValue"/>
            </w:pPr>
            <w:r>
              <w:rPr>
                <w:color w:val="000000"/>
              </w:rPr>
              <w:t>The conditions are described in General Annex A.</w:t>
            </w:r>
          </w:p>
        </w:tc>
      </w:tr>
      <w:tr w:rsidR="00721C98" w14:paraId="267D35BE" w14:textId="77777777">
        <w:tc>
          <w:tcPr>
            <w:tcW w:w="0" w:type="auto"/>
          </w:tcPr>
          <w:p w14:paraId="539B4388" w14:textId="77777777" w:rsidR="00721C98" w:rsidRDefault="00AE7B71">
            <w:pPr>
              <w:pStyle w:val="CellTextValue"/>
              <w:jc w:val="left"/>
            </w:pPr>
            <w:r>
              <w:rPr>
                <w:i/>
              </w:rPr>
              <w:t>Eligibility conditions</w:t>
            </w:r>
          </w:p>
        </w:tc>
        <w:tc>
          <w:tcPr>
            <w:tcW w:w="0" w:type="auto"/>
          </w:tcPr>
          <w:p w14:paraId="067A8CEE" w14:textId="77777777" w:rsidR="00721C98" w:rsidRDefault="00AE7B71">
            <w:pPr>
              <w:pStyle w:val="CellTextValue"/>
            </w:pPr>
            <w:r>
              <w:rPr>
                <w:color w:val="000000"/>
              </w:rPr>
              <w:t>The conditions are described in General Annex B.</w:t>
            </w:r>
          </w:p>
        </w:tc>
      </w:tr>
      <w:tr w:rsidR="00721C98" w14:paraId="340151EF" w14:textId="77777777">
        <w:tc>
          <w:tcPr>
            <w:tcW w:w="0" w:type="auto"/>
          </w:tcPr>
          <w:p w14:paraId="2C83851A" w14:textId="77777777" w:rsidR="00721C98" w:rsidRDefault="00AE7B71">
            <w:pPr>
              <w:pStyle w:val="CellTextValue"/>
              <w:jc w:val="left"/>
            </w:pPr>
            <w:r>
              <w:rPr>
                <w:i/>
              </w:rPr>
              <w:t>Financial and operational capacity and exclusion</w:t>
            </w:r>
          </w:p>
        </w:tc>
        <w:tc>
          <w:tcPr>
            <w:tcW w:w="0" w:type="auto"/>
          </w:tcPr>
          <w:p w14:paraId="4C96106F" w14:textId="77777777" w:rsidR="00721C98" w:rsidRDefault="00AE7B71">
            <w:pPr>
              <w:pStyle w:val="CellTextValue"/>
            </w:pPr>
            <w:r>
              <w:rPr>
                <w:color w:val="000000"/>
              </w:rPr>
              <w:t>The criteria are described in General Annex C.</w:t>
            </w:r>
          </w:p>
        </w:tc>
      </w:tr>
      <w:tr w:rsidR="00721C98" w14:paraId="1A46A809" w14:textId="77777777">
        <w:tc>
          <w:tcPr>
            <w:tcW w:w="0" w:type="auto"/>
          </w:tcPr>
          <w:p w14:paraId="31B10EF9" w14:textId="77777777" w:rsidR="00721C98" w:rsidRDefault="00AE7B71">
            <w:pPr>
              <w:pStyle w:val="CellTextValue"/>
              <w:jc w:val="left"/>
            </w:pPr>
            <w:r>
              <w:rPr>
                <w:i/>
              </w:rPr>
              <w:t>Award criteria</w:t>
            </w:r>
          </w:p>
        </w:tc>
        <w:tc>
          <w:tcPr>
            <w:tcW w:w="0" w:type="auto"/>
          </w:tcPr>
          <w:p w14:paraId="7098356E" w14:textId="77777777" w:rsidR="00721C98" w:rsidRDefault="00AE7B71">
            <w:pPr>
              <w:pStyle w:val="CellTextValue"/>
            </w:pPr>
            <w:r>
              <w:rPr>
                <w:color w:val="000000"/>
              </w:rPr>
              <w:t>The criteria are described in General Annex D.</w:t>
            </w:r>
          </w:p>
        </w:tc>
      </w:tr>
      <w:tr w:rsidR="00721C98" w14:paraId="4B2BCE21" w14:textId="77777777">
        <w:tc>
          <w:tcPr>
            <w:tcW w:w="0" w:type="auto"/>
          </w:tcPr>
          <w:p w14:paraId="23A92A7A" w14:textId="77777777" w:rsidR="00721C98" w:rsidRDefault="00AE7B71">
            <w:pPr>
              <w:pStyle w:val="CellTextValue"/>
              <w:jc w:val="left"/>
            </w:pPr>
            <w:r>
              <w:rPr>
                <w:i/>
              </w:rPr>
              <w:t>Documents</w:t>
            </w:r>
          </w:p>
        </w:tc>
        <w:tc>
          <w:tcPr>
            <w:tcW w:w="0" w:type="auto"/>
          </w:tcPr>
          <w:p w14:paraId="2BCF4F8E" w14:textId="77777777" w:rsidR="00721C98" w:rsidRDefault="00AE7B71">
            <w:pPr>
              <w:pStyle w:val="CellTextValue"/>
            </w:pPr>
            <w:r>
              <w:rPr>
                <w:color w:val="000000"/>
              </w:rPr>
              <w:t>The documents are described in General Annex E.</w:t>
            </w:r>
          </w:p>
        </w:tc>
      </w:tr>
      <w:tr w:rsidR="00721C98" w14:paraId="28CA38B3" w14:textId="77777777">
        <w:tc>
          <w:tcPr>
            <w:tcW w:w="0" w:type="auto"/>
          </w:tcPr>
          <w:p w14:paraId="6A8FB621" w14:textId="77777777" w:rsidR="00721C98" w:rsidRDefault="00AE7B71">
            <w:pPr>
              <w:pStyle w:val="CellTextValue"/>
              <w:jc w:val="left"/>
            </w:pPr>
            <w:r>
              <w:rPr>
                <w:i/>
              </w:rPr>
              <w:t>Procedure</w:t>
            </w:r>
          </w:p>
        </w:tc>
        <w:tc>
          <w:tcPr>
            <w:tcW w:w="0" w:type="auto"/>
          </w:tcPr>
          <w:p w14:paraId="264B10A4" w14:textId="77777777" w:rsidR="00721C98" w:rsidRDefault="00AE7B71">
            <w:pPr>
              <w:pStyle w:val="CellTextValue"/>
            </w:pPr>
            <w:r>
              <w:rPr>
                <w:color w:val="000000"/>
              </w:rPr>
              <w:t>The procedure is described in General Annex F.</w:t>
            </w:r>
          </w:p>
        </w:tc>
      </w:tr>
      <w:tr w:rsidR="00721C98" w14:paraId="75854A10" w14:textId="77777777">
        <w:tc>
          <w:tcPr>
            <w:tcW w:w="0" w:type="auto"/>
          </w:tcPr>
          <w:p w14:paraId="70EDEBB0" w14:textId="77777777" w:rsidR="00721C98" w:rsidRDefault="00AE7B71">
            <w:pPr>
              <w:pStyle w:val="CellTextValue"/>
              <w:jc w:val="left"/>
            </w:pPr>
            <w:r>
              <w:rPr>
                <w:i/>
              </w:rPr>
              <w:t>Legal and financial set-up of the Grant Agreements</w:t>
            </w:r>
          </w:p>
        </w:tc>
        <w:tc>
          <w:tcPr>
            <w:tcW w:w="0" w:type="auto"/>
          </w:tcPr>
          <w:p w14:paraId="7277B5C5" w14:textId="77777777" w:rsidR="00721C98" w:rsidRDefault="00AE7B71">
            <w:pPr>
              <w:pStyle w:val="CellTextValue"/>
            </w:pPr>
            <w:r>
              <w:rPr>
                <w:color w:val="000000"/>
              </w:rPr>
              <w:t>The rules are described in General Annex G.</w:t>
            </w:r>
          </w:p>
        </w:tc>
      </w:tr>
    </w:tbl>
    <w:p w14:paraId="15773FA0" w14:textId="77777777" w:rsidR="00721C98" w:rsidRDefault="00721C98">
      <w:pPr>
        <w:spacing w:after="0" w:line="150" w:lineRule="auto"/>
      </w:pPr>
    </w:p>
    <w:p w14:paraId="1AD0A1B0" w14:textId="77777777" w:rsidR="00721C98" w:rsidRPr="00DB4111" w:rsidRDefault="00AE7B71">
      <w:pPr>
        <w:pStyle w:val="HeadingTwo"/>
        <w:rPr>
          <w:lang w:val="en-IE"/>
        </w:rPr>
      </w:pPr>
      <w:r w:rsidRPr="00DB4111">
        <w:rPr>
          <w:lang w:val="en-IE"/>
        </w:rPr>
        <w:t>Call - ERA Fellowships</w:t>
      </w:r>
    </w:p>
    <w:p w14:paraId="50D79821" w14:textId="77777777" w:rsidR="00721C98" w:rsidRDefault="00AE7B71">
      <w:pPr>
        <w:pStyle w:val="CallIdentifier"/>
      </w:pPr>
      <w:r>
        <w:t>HORIZON-WIDERA-2026-05</w:t>
      </w:r>
    </w:p>
    <w:p w14:paraId="79F416DB" w14:textId="77777777" w:rsidR="00721C98" w:rsidRDefault="00AE7B71">
      <w:pPr>
        <w:pStyle w:val="HeadingThree"/>
      </w:pPr>
      <w:r>
        <w:lastRenderedPageBreak/>
        <w:t>Overview of this call</w:t>
      </w:r>
      <w:r>
        <w:rPr>
          <w:vertAlign w:val="superscript"/>
        </w:rPr>
        <w:footnoteReference w:id="18"/>
      </w:r>
    </w:p>
    <w:p w14:paraId="241DCCD7"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044"/>
        <w:gridCol w:w="2647"/>
        <w:gridCol w:w="1017"/>
        <w:gridCol w:w="1404"/>
        <w:gridCol w:w="1190"/>
      </w:tblGrid>
      <w:tr w:rsidR="00721C98" w14:paraId="7FB07C43" w14:textId="77777777">
        <w:tc>
          <w:tcPr>
            <w:tcW w:w="2000" w:type="dxa"/>
            <w:vMerge w:val="restart"/>
          </w:tcPr>
          <w:p w14:paraId="2648228F" w14:textId="77777777" w:rsidR="00721C98" w:rsidRDefault="00AE7B71">
            <w:pPr>
              <w:pStyle w:val="CellHeaderTextValue"/>
            </w:pPr>
            <w:r>
              <w:t>Topics</w:t>
            </w:r>
          </w:p>
        </w:tc>
        <w:tc>
          <w:tcPr>
            <w:tcW w:w="800" w:type="dxa"/>
            <w:vMerge w:val="restart"/>
          </w:tcPr>
          <w:p w14:paraId="3862823F" w14:textId="77777777" w:rsidR="00721C98" w:rsidRDefault="00AE7B71">
            <w:pPr>
              <w:pStyle w:val="CellHeaderTextValue"/>
            </w:pPr>
            <w:r>
              <w:t>Type of Action</w:t>
            </w:r>
          </w:p>
        </w:tc>
        <w:tc>
          <w:tcPr>
            <w:tcW w:w="0" w:type="auto"/>
          </w:tcPr>
          <w:p w14:paraId="362B6A80" w14:textId="77777777" w:rsidR="00721C98" w:rsidRDefault="00AE7B71">
            <w:pPr>
              <w:pStyle w:val="CellHeaderTextValue"/>
            </w:pPr>
            <w:r>
              <w:t>Budgets (EUR million)</w:t>
            </w:r>
          </w:p>
        </w:tc>
        <w:tc>
          <w:tcPr>
            <w:tcW w:w="0" w:type="auto"/>
            <w:vMerge w:val="restart"/>
          </w:tcPr>
          <w:p w14:paraId="3AA19282" w14:textId="77777777" w:rsidR="00721C98" w:rsidRPr="00DB4111" w:rsidRDefault="00AE7B71">
            <w:pPr>
              <w:pStyle w:val="CellHeaderTextValue"/>
              <w:rPr>
                <w:lang w:val="fr-BE"/>
              </w:rPr>
            </w:pPr>
            <w:r w:rsidRPr="00DB4111">
              <w:rPr>
                <w:lang w:val="fr-BE"/>
              </w:rPr>
              <w:t>Expected EU contribution per project (EUR million)</w:t>
            </w:r>
          </w:p>
        </w:tc>
        <w:tc>
          <w:tcPr>
            <w:tcW w:w="800" w:type="dxa"/>
            <w:vMerge w:val="restart"/>
          </w:tcPr>
          <w:p w14:paraId="637E4F2E" w14:textId="77777777" w:rsidR="00721C98" w:rsidRDefault="00AE7B71">
            <w:pPr>
              <w:pStyle w:val="CellHeaderTextValue"/>
            </w:pPr>
            <w:r>
              <w:t>Indicative number of projects expected to be funded</w:t>
            </w:r>
          </w:p>
        </w:tc>
      </w:tr>
      <w:tr w:rsidR="00721C98" w14:paraId="21C9DC79" w14:textId="77777777">
        <w:tc>
          <w:tcPr>
            <w:tcW w:w="0" w:type="auto"/>
            <w:vMerge/>
          </w:tcPr>
          <w:p w14:paraId="309C0D67" w14:textId="77777777" w:rsidR="00721C98" w:rsidRDefault="00721C98"/>
        </w:tc>
        <w:tc>
          <w:tcPr>
            <w:tcW w:w="0" w:type="auto"/>
            <w:vMerge/>
          </w:tcPr>
          <w:p w14:paraId="6DBAF405" w14:textId="77777777" w:rsidR="00721C98" w:rsidRDefault="00721C98"/>
        </w:tc>
        <w:tc>
          <w:tcPr>
            <w:tcW w:w="0" w:type="auto"/>
          </w:tcPr>
          <w:p w14:paraId="38304839" w14:textId="77777777" w:rsidR="00721C98" w:rsidRDefault="00AE7B71">
            <w:pPr>
              <w:pStyle w:val="CellHeaderTextValue"/>
            </w:pPr>
            <w:r>
              <w:t>2026</w:t>
            </w:r>
          </w:p>
        </w:tc>
        <w:tc>
          <w:tcPr>
            <w:tcW w:w="0" w:type="auto"/>
            <w:vMerge/>
          </w:tcPr>
          <w:p w14:paraId="2F4F7578" w14:textId="77777777" w:rsidR="00721C98" w:rsidRDefault="00721C98"/>
        </w:tc>
        <w:tc>
          <w:tcPr>
            <w:tcW w:w="0" w:type="auto"/>
            <w:vMerge/>
          </w:tcPr>
          <w:p w14:paraId="165A505E" w14:textId="77777777" w:rsidR="00721C98" w:rsidRDefault="00721C98"/>
        </w:tc>
      </w:tr>
      <w:tr w:rsidR="00DB4111" w14:paraId="7DFB129B" w14:textId="77777777" w:rsidTr="00DB4111">
        <w:tc>
          <w:tcPr>
            <w:tcW w:w="0" w:type="auto"/>
            <w:gridSpan w:val="5"/>
          </w:tcPr>
          <w:p w14:paraId="581BDBE2" w14:textId="77777777" w:rsidR="00721C98" w:rsidRDefault="00AE7B71">
            <w:pPr>
              <w:pStyle w:val="CellTextValue"/>
              <w:jc w:val="center"/>
            </w:pPr>
            <w:r>
              <w:t>Opening: 09 Apr 2026</w:t>
            </w:r>
          </w:p>
          <w:p w14:paraId="3FCF4358" w14:textId="77777777" w:rsidR="00721C98" w:rsidRDefault="00AE7B71">
            <w:pPr>
              <w:pStyle w:val="CellTextValue"/>
              <w:jc w:val="center"/>
            </w:pPr>
            <w:r>
              <w:t>Deadline(s): 09 Sep 2026</w:t>
            </w:r>
          </w:p>
        </w:tc>
      </w:tr>
      <w:tr w:rsidR="00DB4111" w14:paraId="1CEC7F53" w14:textId="77777777" w:rsidTr="00DB4111">
        <w:tc>
          <w:tcPr>
            <w:tcW w:w="0" w:type="auto"/>
            <w:gridSpan w:val="5"/>
          </w:tcPr>
          <w:p w14:paraId="2405BE5E" w14:textId="77777777" w:rsidR="00721C98" w:rsidRDefault="00AE7B71">
            <w:pPr>
              <w:pStyle w:val="CellTextValue"/>
            </w:pPr>
            <w:r>
              <w:t>Destination: Widening participation and spreading excellence</w:t>
            </w:r>
          </w:p>
        </w:tc>
      </w:tr>
      <w:tr w:rsidR="00721C98" w14:paraId="02EE9047" w14:textId="77777777">
        <w:tc>
          <w:tcPr>
            <w:tcW w:w="0" w:type="auto"/>
          </w:tcPr>
          <w:p w14:paraId="37DD5F48" w14:textId="77777777" w:rsidR="00721C98" w:rsidRDefault="00AE7B71">
            <w:pPr>
              <w:pStyle w:val="CellTextValue"/>
            </w:pPr>
            <w:r>
              <w:t>HORIZON-WIDERA-2026-05-WIDENING-01: ERA Fellowships</w:t>
            </w:r>
          </w:p>
        </w:tc>
        <w:tc>
          <w:tcPr>
            <w:tcW w:w="0" w:type="auto"/>
          </w:tcPr>
          <w:p w14:paraId="429D159D" w14:textId="77777777" w:rsidR="00721C98" w:rsidRDefault="00AE7B71">
            <w:pPr>
              <w:pStyle w:val="CellTextValue"/>
            </w:pPr>
            <w:r>
              <w:t>TMA Postdoctoral Fellowships - European Fellowships</w:t>
            </w:r>
          </w:p>
        </w:tc>
        <w:tc>
          <w:tcPr>
            <w:tcW w:w="0" w:type="auto"/>
            <w:vMerge w:val="restart"/>
          </w:tcPr>
          <w:p w14:paraId="1F52F451" w14:textId="77777777" w:rsidR="00721C98" w:rsidRDefault="00AE7B71">
            <w:pPr>
              <w:pStyle w:val="CellTextValue"/>
            </w:pPr>
            <w:r>
              <w:t>8.00</w:t>
            </w:r>
          </w:p>
        </w:tc>
        <w:tc>
          <w:tcPr>
            <w:tcW w:w="0" w:type="auto"/>
          </w:tcPr>
          <w:p w14:paraId="4C737774" w14:textId="77777777" w:rsidR="00721C98" w:rsidRDefault="00721C98"/>
        </w:tc>
        <w:tc>
          <w:tcPr>
            <w:tcW w:w="0" w:type="auto"/>
          </w:tcPr>
          <w:p w14:paraId="04BA878B" w14:textId="77777777" w:rsidR="00721C98" w:rsidRDefault="00AE7B71">
            <w:pPr>
              <w:pStyle w:val="CellTextValue"/>
            </w:pPr>
            <w:r>
              <w:t>50</w:t>
            </w:r>
          </w:p>
        </w:tc>
      </w:tr>
      <w:tr w:rsidR="00721C98" w14:paraId="397FDB40" w14:textId="77777777">
        <w:tc>
          <w:tcPr>
            <w:tcW w:w="0" w:type="auto"/>
          </w:tcPr>
          <w:p w14:paraId="1521B0CA" w14:textId="77777777" w:rsidR="00721C98" w:rsidRDefault="00AE7B71">
            <w:pPr>
              <w:pStyle w:val="CellTextValue"/>
            </w:pPr>
            <w:r>
              <w:t>Overall indicative budget</w:t>
            </w:r>
          </w:p>
        </w:tc>
        <w:tc>
          <w:tcPr>
            <w:tcW w:w="0" w:type="auto"/>
          </w:tcPr>
          <w:p w14:paraId="4887E351" w14:textId="77777777" w:rsidR="00721C98" w:rsidRDefault="00721C98"/>
        </w:tc>
        <w:tc>
          <w:tcPr>
            <w:tcW w:w="0" w:type="auto"/>
          </w:tcPr>
          <w:p w14:paraId="2028722B" w14:textId="77777777" w:rsidR="00721C98" w:rsidRDefault="00AE7B71">
            <w:pPr>
              <w:pStyle w:val="CellTextValue"/>
            </w:pPr>
            <w:r>
              <w:t>8.00</w:t>
            </w:r>
          </w:p>
        </w:tc>
        <w:tc>
          <w:tcPr>
            <w:tcW w:w="0" w:type="auto"/>
          </w:tcPr>
          <w:p w14:paraId="4AB0A9FF" w14:textId="77777777" w:rsidR="00721C98" w:rsidRDefault="00721C98"/>
        </w:tc>
        <w:tc>
          <w:tcPr>
            <w:tcW w:w="0" w:type="auto"/>
          </w:tcPr>
          <w:p w14:paraId="76767553" w14:textId="77777777" w:rsidR="00721C98" w:rsidRDefault="00721C98"/>
        </w:tc>
      </w:tr>
    </w:tbl>
    <w:p w14:paraId="790B07E1"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497188E1" w14:textId="77777777" w:rsidTr="00DB4111">
        <w:tc>
          <w:tcPr>
            <w:tcW w:w="0" w:type="auto"/>
            <w:gridSpan w:val="2"/>
          </w:tcPr>
          <w:p w14:paraId="373A3694" w14:textId="77777777" w:rsidR="00721C98" w:rsidRDefault="00AE7B71">
            <w:pPr>
              <w:pStyle w:val="CellTextValue"/>
            </w:pPr>
            <w:r>
              <w:rPr>
                <w:b/>
              </w:rPr>
              <w:t>General conditions relating to this call</w:t>
            </w:r>
          </w:p>
        </w:tc>
      </w:tr>
      <w:tr w:rsidR="00721C98" w14:paraId="5B9B794B" w14:textId="77777777">
        <w:tc>
          <w:tcPr>
            <w:tcW w:w="0" w:type="auto"/>
          </w:tcPr>
          <w:p w14:paraId="239CF4A2" w14:textId="77777777" w:rsidR="00721C98" w:rsidRDefault="00AE7B71">
            <w:pPr>
              <w:pStyle w:val="CellTextValue"/>
              <w:jc w:val="left"/>
            </w:pPr>
            <w:r>
              <w:rPr>
                <w:i/>
              </w:rPr>
              <w:t>Admissibility conditions</w:t>
            </w:r>
          </w:p>
        </w:tc>
        <w:tc>
          <w:tcPr>
            <w:tcW w:w="0" w:type="auto"/>
          </w:tcPr>
          <w:p w14:paraId="5761BCF9" w14:textId="77777777" w:rsidR="00721C98" w:rsidRDefault="00AE7B71">
            <w:pPr>
              <w:pStyle w:val="CellTextValue"/>
            </w:pPr>
            <w:r>
              <w:rPr>
                <w:color w:val="000000"/>
              </w:rPr>
              <w:t>The conditions are described in General Annex A.</w:t>
            </w:r>
          </w:p>
        </w:tc>
      </w:tr>
      <w:tr w:rsidR="00721C98" w14:paraId="29327346" w14:textId="77777777">
        <w:tc>
          <w:tcPr>
            <w:tcW w:w="0" w:type="auto"/>
          </w:tcPr>
          <w:p w14:paraId="76890E1B" w14:textId="77777777" w:rsidR="00721C98" w:rsidRDefault="00AE7B71">
            <w:pPr>
              <w:pStyle w:val="CellTextValue"/>
              <w:jc w:val="left"/>
            </w:pPr>
            <w:r>
              <w:rPr>
                <w:i/>
              </w:rPr>
              <w:t>Eligibility conditions</w:t>
            </w:r>
          </w:p>
        </w:tc>
        <w:tc>
          <w:tcPr>
            <w:tcW w:w="0" w:type="auto"/>
          </w:tcPr>
          <w:p w14:paraId="02EF162D" w14:textId="77777777" w:rsidR="00721C98" w:rsidRDefault="00AE7B71">
            <w:pPr>
              <w:pStyle w:val="CellTextValue"/>
            </w:pPr>
            <w:r>
              <w:rPr>
                <w:color w:val="000000"/>
              </w:rPr>
              <w:t>The conditions are described in General Annex B.</w:t>
            </w:r>
          </w:p>
        </w:tc>
      </w:tr>
      <w:tr w:rsidR="00721C98" w14:paraId="35982459" w14:textId="77777777">
        <w:tc>
          <w:tcPr>
            <w:tcW w:w="0" w:type="auto"/>
          </w:tcPr>
          <w:p w14:paraId="0F7CFD61" w14:textId="77777777" w:rsidR="00721C98" w:rsidRDefault="00AE7B71">
            <w:pPr>
              <w:pStyle w:val="CellTextValue"/>
              <w:jc w:val="left"/>
            </w:pPr>
            <w:r>
              <w:rPr>
                <w:i/>
              </w:rPr>
              <w:t>Financial and operational capacity and exclusion</w:t>
            </w:r>
          </w:p>
        </w:tc>
        <w:tc>
          <w:tcPr>
            <w:tcW w:w="0" w:type="auto"/>
          </w:tcPr>
          <w:p w14:paraId="49113E84" w14:textId="77777777" w:rsidR="00721C98" w:rsidRDefault="00AE7B71">
            <w:pPr>
              <w:pStyle w:val="CellTextValue"/>
            </w:pPr>
            <w:r>
              <w:rPr>
                <w:color w:val="000000"/>
              </w:rPr>
              <w:t>The criteria are described in General Annex C.</w:t>
            </w:r>
          </w:p>
        </w:tc>
      </w:tr>
      <w:tr w:rsidR="00721C98" w14:paraId="79D7313C" w14:textId="77777777">
        <w:tc>
          <w:tcPr>
            <w:tcW w:w="0" w:type="auto"/>
          </w:tcPr>
          <w:p w14:paraId="28B72E5E" w14:textId="77777777" w:rsidR="00721C98" w:rsidRDefault="00AE7B71">
            <w:pPr>
              <w:pStyle w:val="CellTextValue"/>
              <w:jc w:val="left"/>
            </w:pPr>
            <w:r>
              <w:rPr>
                <w:i/>
              </w:rPr>
              <w:t>Award criteria</w:t>
            </w:r>
          </w:p>
        </w:tc>
        <w:tc>
          <w:tcPr>
            <w:tcW w:w="0" w:type="auto"/>
          </w:tcPr>
          <w:p w14:paraId="167AA34B" w14:textId="77777777" w:rsidR="00721C98" w:rsidRDefault="00AE7B71">
            <w:pPr>
              <w:pStyle w:val="CellTextValue"/>
            </w:pPr>
            <w:r>
              <w:rPr>
                <w:color w:val="000000"/>
              </w:rPr>
              <w:t>The criteria are described in General Annex D.</w:t>
            </w:r>
          </w:p>
        </w:tc>
      </w:tr>
      <w:tr w:rsidR="00721C98" w14:paraId="5AC333D6" w14:textId="77777777">
        <w:tc>
          <w:tcPr>
            <w:tcW w:w="0" w:type="auto"/>
          </w:tcPr>
          <w:p w14:paraId="4F88C574" w14:textId="77777777" w:rsidR="00721C98" w:rsidRDefault="00AE7B71">
            <w:pPr>
              <w:pStyle w:val="CellTextValue"/>
              <w:jc w:val="left"/>
            </w:pPr>
            <w:r>
              <w:rPr>
                <w:i/>
              </w:rPr>
              <w:t>Documents</w:t>
            </w:r>
          </w:p>
        </w:tc>
        <w:tc>
          <w:tcPr>
            <w:tcW w:w="0" w:type="auto"/>
          </w:tcPr>
          <w:p w14:paraId="4D0BDA51" w14:textId="77777777" w:rsidR="00721C98" w:rsidRDefault="00AE7B71">
            <w:pPr>
              <w:pStyle w:val="CellTextValue"/>
            </w:pPr>
            <w:r>
              <w:rPr>
                <w:color w:val="000000"/>
              </w:rPr>
              <w:t>The documents are described in General Annex E.</w:t>
            </w:r>
          </w:p>
        </w:tc>
      </w:tr>
      <w:tr w:rsidR="00721C98" w14:paraId="0725644D" w14:textId="77777777">
        <w:tc>
          <w:tcPr>
            <w:tcW w:w="0" w:type="auto"/>
          </w:tcPr>
          <w:p w14:paraId="0DA86D7D" w14:textId="77777777" w:rsidR="00721C98" w:rsidRDefault="00AE7B71">
            <w:pPr>
              <w:pStyle w:val="CellTextValue"/>
              <w:jc w:val="left"/>
            </w:pPr>
            <w:r>
              <w:rPr>
                <w:i/>
              </w:rPr>
              <w:t>Procedure</w:t>
            </w:r>
          </w:p>
        </w:tc>
        <w:tc>
          <w:tcPr>
            <w:tcW w:w="0" w:type="auto"/>
          </w:tcPr>
          <w:p w14:paraId="117D1899" w14:textId="77777777" w:rsidR="00721C98" w:rsidRDefault="00AE7B71">
            <w:pPr>
              <w:pStyle w:val="CellTextValue"/>
            </w:pPr>
            <w:r>
              <w:rPr>
                <w:color w:val="000000"/>
              </w:rPr>
              <w:t xml:space="preserve">The procedure is described in General </w:t>
            </w:r>
            <w:r>
              <w:rPr>
                <w:color w:val="000000"/>
              </w:rPr>
              <w:lastRenderedPageBreak/>
              <w:t>Annex F.</w:t>
            </w:r>
          </w:p>
        </w:tc>
      </w:tr>
      <w:tr w:rsidR="00721C98" w14:paraId="318FAF4F" w14:textId="77777777">
        <w:tc>
          <w:tcPr>
            <w:tcW w:w="0" w:type="auto"/>
          </w:tcPr>
          <w:p w14:paraId="408592B9" w14:textId="77777777" w:rsidR="00721C98" w:rsidRDefault="00AE7B71">
            <w:pPr>
              <w:pStyle w:val="CellTextValue"/>
              <w:jc w:val="left"/>
            </w:pPr>
            <w:r>
              <w:rPr>
                <w:i/>
              </w:rPr>
              <w:lastRenderedPageBreak/>
              <w:t>Legal and financial set-up of the Grant Agreements</w:t>
            </w:r>
          </w:p>
        </w:tc>
        <w:tc>
          <w:tcPr>
            <w:tcW w:w="0" w:type="auto"/>
          </w:tcPr>
          <w:p w14:paraId="5F5A9840" w14:textId="77777777" w:rsidR="00721C98" w:rsidRDefault="00AE7B71">
            <w:pPr>
              <w:pStyle w:val="CellTextValue"/>
            </w:pPr>
            <w:r>
              <w:rPr>
                <w:color w:val="000000"/>
              </w:rPr>
              <w:t>The rules are described in General Annex G.</w:t>
            </w:r>
          </w:p>
        </w:tc>
      </w:tr>
    </w:tbl>
    <w:p w14:paraId="70453E4A" w14:textId="77777777" w:rsidR="00721C98" w:rsidRDefault="00721C98">
      <w:pPr>
        <w:spacing w:after="0" w:line="150" w:lineRule="auto"/>
      </w:pPr>
    </w:p>
    <w:p w14:paraId="2B739FDC" w14:textId="77777777" w:rsidR="00721C98" w:rsidRPr="00DB4111" w:rsidRDefault="00AE7B71">
      <w:pPr>
        <w:pStyle w:val="HeadingTwo"/>
        <w:rPr>
          <w:lang w:val="en-IE"/>
        </w:rPr>
      </w:pPr>
      <w:r w:rsidRPr="00DB4111">
        <w:rPr>
          <w:lang w:val="en-IE"/>
        </w:rPr>
        <w:t>Call - Enhancing the European R&amp;I system</w:t>
      </w:r>
    </w:p>
    <w:p w14:paraId="0DC881E2" w14:textId="77777777" w:rsidR="00721C98" w:rsidRDefault="00AE7B71">
      <w:pPr>
        <w:pStyle w:val="CallIdentifier"/>
      </w:pPr>
      <w:r>
        <w:t>HORIZON-WIDERA-2026-06</w:t>
      </w:r>
    </w:p>
    <w:p w14:paraId="602B6F1A" w14:textId="77777777" w:rsidR="00721C98" w:rsidRDefault="00AE7B71">
      <w:pPr>
        <w:pStyle w:val="HeadingThree"/>
      </w:pPr>
      <w:r>
        <w:t>Overview of this call</w:t>
      </w:r>
      <w:r>
        <w:rPr>
          <w:vertAlign w:val="superscript"/>
        </w:rPr>
        <w:footnoteReference w:id="19"/>
      </w:r>
    </w:p>
    <w:p w14:paraId="7D521487"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300DA603" w14:textId="77777777">
        <w:tc>
          <w:tcPr>
            <w:tcW w:w="2000" w:type="dxa"/>
            <w:vMerge w:val="restart"/>
          </w:tcPr>
          <w:p w14:paraId="50EA8850" w14:textId="77777777" w:rsidR="00721C98" w:rsidRDefault="00AE7B71">
            <w:pPr>
              <w:pStyle w:val="CellHeaderTextValue"/>
            </w:pPr>
            <w:r>
              <w:t>Topics</w:t>
            </w:r>
          </w:p>
        </w:tc>
        <w:tc>
          <w:tcPr>
            <w:tcW w:w="800" w:type="dxa"/>
            <w:vMerge w:val="restart"/>
          </w:tcPr>
          <w:p w14:paraId="507C35E9" w14:textId="77777777" w:rsidR="00721C98" w:rsidRDefault="00AE7B71">
            <w:pPr>
              <w:pStyle w:val="CellHeaderTextValue"/>
            </w:pPr>
            <w:r>
              <w:t>Type of Action</w:t>
            </w:r>
          </w:p>
        </w:tc>
        <w:tc>
          <w:tcPr>
            <w:tcW w:w="0" w:type="auto"/>
          </w:tcPr>
          <w:p w14:paraId="482D051C" w14:textId="77777777" w:rsidR="00721C98" w:rsidRDefault="00AE7B71">
            <w:pPr>
              <w:pStyle w:val="CellHeaderTextValue"/>
            </w:pPr>
            <w:r>
              <w:t>Budgets (EUR million)</w:t>
            </w:r>
          </w:p>
        </w:tc>
        <w:tc>
          <w:tcPr>
            <w:tcW w:w="0" w:type="auto"/>
            <w:vMerge w:val="restart"/>
          </w:tcPr>
          <w:p w14:paraId="0229D85F"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20"/>
            </w:r>
          </w:p>
        </w:tc>
        <w:tc>
          <w:tcPr>
            <w:tcW w:w="800" w:type="dxa"/>
            <w:vMerge w:val="restart"/>
          </w:tcPr>
          <w:p w14:paraId="1A5E55C8" w14:textId="77777777" w:rsidR="00721C98" w:rsidRDefault="00AE7B71">
            <w:pPr>
              <w:pStyle w:val="CellHeaderTextValue"/>
            </w:pPr>
            <w:r>
              <w:t>Indicative number of projects expected to be funded</w:t>
            </w:r>
          </w:p>
        </w:tc>
      </w:tr>
      <w:tr w:rsidR="00721C98" w14:paraId="3C06E020" w14:textId="77777777">
        <w:tc>
          <w:tcPr>
            <w:tcW w:w="0" w:type="auto"/>
            <w:vMerge/>
          </w:tcPr>
          <w:p w14:paraId="16A68F18" w14:textId="77777777" w:rsidR="00721C98" w:rsidRDefault="00721C98"/>
        </w:tc>
        <w:tc>
          <w:tcPr>
            <w:tcW w:w="0" w:type="auto"/>
            <w:vMerge/>
          </w:tcPr>
          <w:p w14:paraId="0ECC4292" w14:textId="77777777" w:rsidR="00721C98" w:rsidRDefault="00721C98"/>
        </w:tc>
        <w:tc>
          <w:tcPr>
            <w:tcW w:w="0" w:type="auto"/>
          </w:tcPr>
          <w:p w14:paraId="4D228D04" w14:textId="77777777" w:rsidR="00721C98" w:rsidRDefault="00AE7B71">
            <w:pPr>
              <w:pStyle w:val="CellHeaderTextValue"/>
            </w:pPr>
            <w:r>
              <w:t>2026</w:t>
            </w:r>
          </w:p>
        </w:tc>
        <w:tc>
          <w:tcPr>
            <w:tcW w:w="0" w:type="auto"/>
            <w:vMerge/>
          </w:tcPr>
          <w:p w14:paraId="4188B236" w14:textId="77777777" w:rsidR="00721C98" w:rsidRDefault="00721C98"/>
        </w:tc>
        <w:tc>
          <w:tcPr>
            <w:tcW w:w="0" w:type="auto"/>
            <w:vMerge/>
          </w:tcPr>
          <w:p w14:paraId="3429A0B4" w14:textId="77777777" w:rsidR="00721C98" w:rsidRDefault="00721C98"/>
        </w:tc>
      </w:tr>
      <w:tr w:rsidR="00DB4111" w14:paraId="44B5C598" w14:textId="77777777" w:rsidTr="00DB4111">
        <w:tc>
          <w:tcPr>
            <w:tcW w:w="0" w:type="auto"/>
            <w:gridSpan w:val="5"/>
          </w:tcPr>
          <w:p w14:paraId="6ED0F115" w14:textId="77777777" w:rsidR="00721C98" w:rsidRDefault="00AE7B71">
            <w:pPr>
              <w:pStyle w:val="CellTextValue"/>
              <w:jc w:val="center"/>
            </w:pPr>
            <w:r>
              <w:t>Opening: 10 Dec 2025</w:t>
            </w:r>
          </w:p>
          <w:p w14:paraId="60BD9B14" w14:textId="77777777" w:rsidR="00721C98" w:rsidRDefault="00AE7B71">
            <w:pPr>
              <w:pStyle w:val="CellTextValue"/>
              <w:jc w:val="center"/>
            </w:pPr>
            <w:r>
              <w:t>Deadline(s): 12 Mar 2026</w:t>
            </w:r>
          </w:p>
        </w:tc>
      </w:tr>
      <w:tr w:rsidR="00DB4111" w14:paraId="02882E7C" w14:textId="77777777" w:rsidTr="00DB4111">
        <w:tc>
          <w:tcPr>
            <w:tcW w:w="0" w:type="auto"/>
            <w:gridSpan w:val="5"/>
          </w:tcPr>
          <w:p w14:paraId="0C6A23FA" w14:textId="77777777" w:rsidR="00721C98" w:rsidRDefault="00AE7B71">
            <w:pPr>
              <w:pStyle w:val="CellTextValue"/>
            </w:pPr>
            <w:r>
              <w:t>Destination: Reforming and enhancing the European research and innovation system</w:t>
            </w:r>
          </w:p>
        </w:tc>
      </w:tr>
      <w:tr w:rsidR="00721C98" w14:paraId="703286E7" w14:textId="77777777">
        <w:tc>
          <w:tcPr>
            <w:tcW w:w="0" w:type="auto"/>
          </w:tcPr>
          <w:p w14:paraId="3D6BFEAC" w14:textId="77777777" w:rsidR="00721C98" w:rsidRDefault="00AE7B71">
            <w:pPr>
              <w:pStyle w:val="CellTextValue"/>
            </w:pPr>
            <w:r>
              <w:t>HORIZON-WIDERA-2026-06-ERA-01: Pillar I: Accelerating open access and research assessment reforms in ERA</w:t>
            </w:r>
          </w:p>
        </w:tc>
        <w:tc>
          <w:tcPr>
            <w:tcW w:w="0" w:type="auto"/>
          </w:tcPr>
          <w:p w14:paraId="7315EC18" w14:textId="77777777" w:rsidR="00721C98" w:rsidRDefault="00AE7B71">
            <w:pPr>
              <w:pStyle w:val="CellTextValue"/>
            </w:pPr>
            <w:r>
              <w:t>CSA</w:t>
            </w:r>
          </w:p>
        </w:tc>
        <w:tc>
          <w:tcPr>
            <w:tcW w:w="0" w:type="auto"/>
            <w:vMerge w:val="restart"/>
          </w:tcPr>
          <w:p w14:paraId="2B0F3CDF" w14:textId="77777777" w:rsidR="00721C98" w:rsidRDefault="00AE7B71">
            <w:pPr>
              <w:pStyle w:val="CellTextValue"/>
            </w:pPr>
            <w:r>
              <w:t>6.00</w:t>
            </w:r>
          </w:p>
        </w:tc>
        <w:tc>
          <w:tcPr>
            <w:tcW w:w="0" w:type="auto"/>
          </w:tcPr>
          <w:p w14:paraId="029EFD13" w14:textId="77777777" w:rsidR="00721C98" w:rsidRDefault="00AE7B71">
            <w:pPr>
              <w:pStyle w:val="CellTextValue"/>
            </w:pPr>
            <w:r>
              <w:t>2.00 to 3.00</w:t>
            </w:r>
          </w:p>
        </w:tc>
        <w:tc>
          <w:tcPr>
            <w:tcW w:w="0" w:type="auto"/>
          </w:tcPr>
          <w:p w14:paraId="285F6F03" w14:textId="77777777" w:rsidR="00721C98" w:rsidRDefault="00AE7B71">
            <w:pPr>
              <w:pStyle w:val="CellTextValue"/>
            </w:pPr>
            <w:r>
              <w:t>2</w:t>
            </w:r>
          </w:p>
        </w:tc>
      </w:tr>
      <w:tr w:rsidR="00721C98" w14:paraId="458F466B" w14:textId="77777777">
        <w:tc>
          <w:tcPr>
            <w:tcW w:w="0" w:type="auto"/>
          </w:tcPr>
          <w:p w14:paraId="5D6E4154" w14:textId="77777777" w:rsidR="00721C98" w:rsidRDefault="00AE7B71">
            <w:pPr>
              <w:pStyle w:val="CellTextValue"/>
            </w:pPr>
            <w:r>
              <w:t>HORIZON-WIDERA-2026-06-ERA-02: Pillar I: Building institutional capacities for ethical, equitable, open, and inclusive ERA</w:t>
            </w:r>
          </w:p>
        </w:tc>
        <w:tc>
          <w:tcPr>
            <w:tcW w:w="0" w:type="auto"/>
          </w:tcPr>
          <w:p w14:paraId="69CD25A1" w14:textId="77777777" w:rsidR="00721C98" w:rsidRDefault="00AE7B71">
            <w:pPr>
              <w:pStyle w:val="CellTextValue"/>
            </w:pPr>
            <w:r>
              <w:t>CSA</w:t>
            </w:r>
          </w:p>
        </w:tc>
        <w:tc>
          <w:tcPr>
            <w:tcW w:w="0" w:type="auto"/>
            <w:vMerge w:val="restart"/>
          </w:tcPr>
          <w:p w14:paraId="7E2983D3" w14:textId="77777777" w:rsidR="00721C98" w:rsidRDefault="00AE7B71">
            <w:pPr>
              <w:pStyle w:val="CellTextValue"/>
            </w:pPr>
            <w:r>
              <w:t>9.00</w:t>
            </w:r>
          </w:p>
        </w:tc>
        <w:tc>
          <w:tcPr>
            <w:tcW w:w="0" w:type="auto"/>
          </w:tcPr>
          <w:p w14:paraId="19B33CE7" w14:textId="77777777" w:rsidR="00721C98" w:rsidRDefault="00AE7B71">
            <w:pPr>
              <w:pStyle w:val="CellTextValue"/>
            </w:pPr>
            <w:r>
              <w:t>1.50 to 2.00</w:t>
            </w:r>
          </w:p>
        </w:tc>
        <w:tc>
          <w:tcPr>
            <w:tcW w:w="0" w:type="auto"/>
          </w:tcPr>
          <w:p w14:paraId="0C341827" w14:textId="77777777" w:rsidR="00721C98" w:rsidRDefault="00AE7B71">
            <w:pPr>
              <w:pStyle w:val="CellTextValue"/>
            </w:pPr>
            <w:r>
              <w:t>6</w:t>
            </w:r>
          </w:p>
        </w:tc>
      </w:tr>
      <w:tr w:rsidR="00721C98" w14:paraId="487F7913" w14:textId="77777777">
        <w:tc>
          <w:tcPr>
            <w:tcW w:w="0" w:type="auto"/>
          </w:tcPr>
          <w:p w14:paraId="248D3DD5" w14:textId="77777777" w:rsidR="00721C98" w:rsidRDefault="00AE7B71">
            <w:pPr>
              <w:pStyle w:val="CellTextValue"/>
            </w:pPr>
            <w:r>
              <w:t>HORIZON-WIDERA-2026-06-ERA-03: Pillar II: Strengthening ecosystems for open, ethical, and sustainable ERA</w:t>
            </w:r>
          </w:p>
        </w:tc>
        <w:tc>
          <w:tcPr>
            <w:tcW w:w="0" w:type="auto"/>
          </w:tcPr>
          <w:p w14:paraId="5989C861" w14:textId="77777777" w:rsidR="00721C98" w:rsidRDefault="00AE7B71">
            <w:pPr>
              <w:pStyle w:val="CellTextValue"/>
            </w:pPr>
            <w:r>
              <w:t>CSA</w:t>
            </w:r>
          </w:p>
        </w:tc>
        <w:tc>
          <w:tcPr>
            <w:tcW w:w="0" w:type="auto"/>
            <w:vMerge w:val="restart"/>
          </w:tcPr>
          <w:p w14:paraId="15D90D54" w14:textId="77777777" w:rsidR="00721C98" w:rsidRDefault="00AE7B71">
            <w:pPr>
              <w:pStyle w:val="CellTextValue"/>
            </w:pPr>
            <w:r>
              <w:t>6.00</w:t>
            </w:r>
          </w:p>
        </w:tc>
        <w:tc>
          <w:tcPr>
            <w:tcW w:w="0" w:type="auto"/>
          </w:tcPr>
          <w:p w14:paraId="42E10C0F" w14:textId="77777777" w:rsidR="00721C98" w:rsidRDefault="00AE7B71">
            <w:pPr>
              <w:pStyle w:val="CellTextValue"/>
            </w:pPr>
            <w:r>
              <w:t>Around 2.00</w:t>
            </w:r>
          </w:p>
        </w:tc>
        <w:tc>
          <w:tcPr>
            <w:tcW w:w="0" w:type="auto"/>
          </w:tcPr>
          <w:p w14:paraId="4E986C4C" w14:textId="77777777" w:rsidR="00721C98" w:rsidRDefault="00AE7B71">
            <w:pPr>
              <w:pStyle w:val="CellTextValue"/>
            </w:pPr>
            <w:r>
              <w:t>3</w:t>
            </w:r>
          </w:p>
        </w:tc>
      </w:tr>
      <w:tr w:rsidR="00721C98" w14:paraId="284A93B5" w14:textId="77777777">
        <w:tc>
          <w:tcPr>
            <w:tcW w:w="0" w:type="auto"/>
          </w:tcPr>
          <w:p w14:paraId="5D54A318" w14:textId="77777777" w:rsidR="00721C98" w:rsidRDefault="00AE7B71">
            <w:pPr>
              <w:pStyle w:val="CellTextValue"/>
            </w:pPr>
            <w:r>
              <w:t xml:space="preserve">HORIZON-WIDERA-2026-06-ERA-04: Pillar </w:t>
            </w:r>
            <w:r>
              <w:lastRenderedPageBreak/>
              <w:t>II: Piloting innovative approaches to support academic startups and spinoffs</w:t>
            </w:r>
          </w:p>
        </w:tc>
        <w:tc>
          <w:tcPr>
            <w:tcW w:w="0" w:type="auto"/>
          </w:tcPr>
          <w:p w14:paraId="1301BDB7" w14:textId="77777777" w:rsidR="00721C98" w:rsidRDefault="00AE7B71">
            <w:pPr>
              <w:pStyle w:val="CellTextValue"/>
            </w:pPr>
            <w:r>
              <w:lastRenderedPageBreak/>
              <w:t>CSA</w:t>
            </w:r>
          </w:p>
        </w:tc>
        <w:tc>
          <w:tcPr>
            <w:tcW w:w="0" w:type="auto"/>
            <w:vMerge w:val="restart"/>
          </w:tcPr>
          <w:p w14:paraId="44D7E1D5" w14:textId="77777777" w:rsidR="00721C98" w:rsidRDefault="00AE7B71">
            <w:pPr>
              <w:pStyle w:val="CellTextValue"/>
            </w:pPr>
            <w:r>
              <w:t>4.00</w:t>
            </w:r>
          </w:p>
        </w:tc>
        <w:tc>
          <w:tcPr>
            <w:tcW w:w="0" w:type="auto"/>
          </w:tcPr>
          <w:p w14:paraId="28FF85BE" w14:textId="77777777" w:rsidR="00721C98" w:rsidRDefault="00AE7B71">
            <w:pPr>
              <w:pStyle w:val="CellTextValue"/>
            </w:pPr>
            <w:r>
              <w:t xml:space="preserve">Around </w:t>
            </w:r>
            <w:r>
              <w:lastRenderedPageBreak/>
              <w:t>2.00</w:t>
            </w:r>
          </w:p>
        </w:tc>
        <w:tc>
          <w:tcPr>
            <w:tcW w:w="0" w:type="auto"/>
          </w:tcPr>
          <w:p w14:paraId="6DBA89EF" w14:textId="77777777" w:rsidR="00721C98" w:rsidRDefault="00AE7B71">
            <w:pPr>
              <w:pStyle w:val="CellTextValue"/>
            </w:pPr>
            <w:r>
              <w:lastRenderedPageBreak/>
              <w:t>2</w:t>
            </w:r>
          </w:p>
        </w:tc>
      </w:tr>
      <w:tr w:rsidR="00721C98" w14:paraId="53211A24" w14:textId="77777777">
        <w:tc>
          <w:tcPr>
            <w:tcW w:w="0" w:type="auto"/>
          </w:tcPr>
          <w:p w14:paraId="50114039" w14:textId="77777777" w:rsidR="00721C98" w:rsidRDefault="00AE7B71">
            <w:pPr>
              <w:pStyle w:val="CellTextValue"/>
            </w:pPr>
            <w:r>
              <w:t>HORIZON-WIDERA-2026-06-ERA-05: Pillar III: Fostering citizen engagement for more responsible and democratic R&amp;I</w:t>
            </w:r>
          </w:p>
        </w:tc>
        <w:tc>
          <w:tcPr>
            <w:tcW w:w="0" w:type="auto"/>
          </w:tcPr>
          <w:p w14:paraId="40D9B0C2" w14:textId="77777777" w:rsidR="00721C98" w:rsidRDefault="00AE7B71">
            <w:pPr>
              <w:pStyle w:val="CellTextValue"/>
            </w:pPr>
            <w:r>
              <w:t>CSA</w:t>
            </w:r>
          </w:p>
        </w:tc>
        <w:tc>
          <w:tcPr>
            <w:tcW w:w="0" w:type="auto"/>
            <w:vMerge w:val="restart"/>
          </w:tcPr>
          <w:p w14:paraId="7A5EEB73" w14:textId="77777777" w:rsidR="00721C98" w:rsidRDefault="00AE7B71">
            <w:pPr>
              <w:pStyle w:val="CellTextValue"/>
            </w:pPr>
            <w:r>
              <w:t>2.00</w:t>
            </w:r>
          </w:p>
        </w:tc>
        <w:tc>
          <w:tcPr>
            <w:tcW w:w="0" w:type="auto"/>
          </w:tcPr>
          <w:p w14:paraId="267B86FA" w14:textId="77777777" w:rsidR="00721C98" w:rsidRDefault="00AE7B71">
            <w:pPr>
              <w:pStyle w:val="CellTextValue"/>
            </w:pPr>
            <w:r>
              <w:t>Around 1.00</w:t>
            </w:r>
          </w:p>
        </w:tc>
        <w:tc>
          <w:tcPr>
            <w:tcW w:w="0" w:type="auto"/>
          </w:tcPr>
          <w:p w14:paraId="6BF5E362" w14:textId="77777777" w:rsidR="00721C98" w:rsidRDefault="00AE7B71">
            <w:pPr>
              <w:pStyle w:val="CellTextValue"/>
            </w:pPr>
            <w:r>
              <w:t>2</w:t>
            </w:r>
          </w:p>
        </w:tc>
      </w:tr>
      <w:tr w:rsidR="00721C98" w14:paraId="5AB6DE12" w14:textId="77777777">
        <w:tc>
          <w:tcPr>
            <w:tcW w:w="0" w:type="auto"/>
          </w:tcPr>
          <w:p w14:paraId="37F4B484" w14:textId="77777777" w:rsidR="00721C98" w:rsidRDefault="00AE7B71">
            <w:pPr>
              <w:pStyle w:val="CellTextValue"/>
            </w:pPr>
            <w:r>
              <w:t>HORIZON-WIDERA-2026-06-ERA-06: Pillar III: European Citizens' Hackathon Championship</w:t>
            </w:r>
          </w:p>
        </w:tc>
        <w:tc>
          <w:tcPr>
            <w:tcW w:w="0" w:type="auto"/>
          </w:tcPr>
          <w:p w14:paraId="41BDF2D6" w14:textId="77777777" w:rsidR="00721C98" w:rsidRDefault="00AE7B71">
            <w:pPr>
              <w:pStyle w:val="CellTextValue"/>
            </w:pPr>
            <w:r>
              <w:t>CSA</w:t>
            </w:r>
          </w:p>
        </w:tc>
        <w:tc>
          <w:tcPr>
            <w:tcW w:w="0" w:type="auto"/>
            <w:vMerge w:val="restart"/>
          </w:tcPr>
          <w:p w14:paraId="2F19CF24" w14:textId="77777777" w:rsidR="00721C98" w:rsidRDefault="00AE7B71">
            <w:pPr>
              <w:pStyle w:val="CellTextValue"/>
            </w:pPr>
            <w:r>
              <w:t>3.00</w:t>
            </w:r>
          </w:p>
        </w:tc>
        <w:tc>
          <w:tcPr>
            <w:tcW w:w="0" w:type="auto"/>
          </w:tcPr>
          <w:p w14:paraId="0C2C51ED" w14:textId="77777777" w:rsidR="00721C98" w:rsidRDefault="00AE7B71">
            <w:pPr>
              <w:pStyle w:val="CellTextValue"/>
            </w:pPr>
            <w:r>
              <w:t>Around 3.00</w:t>
            </w:r>
          </w:p>
        </w:tc>
        <w:tc>
          <w:tcPr>
            <w:tcW w:w="0" w:type="auto"/>
          </w:tcPr>
          <w:p w14:paraId="1B4FAD45" w14:textId="77777777" w:rsidR="00721C98" w:rsidRDefault="00AE7B71">
            <w:pPr>
              <w:pStyle w:val="CellTextValue"/>
            </w:pPr>
            <w:r>
              <w:t>1</w:t>
            </w:r>
          </w:p>
        </w:tc>
      </w:tr>
      <w:tr w:rsidR="00721C98" w14:paraId="02DC658C" w14:textId="77777777">
        <w:tc>
          <w:tcPr>
            <w:tcW w:w="0" w:type="auto"/>
          </w:tcPr>
          <w:p w14:paraId="3472469C" w14:textId="77777777" w:rsidR="00721C98" w:rsidRDefault="00AE7B71">
            <w:pPr>
              <w:pStyle w:val="CellTextValue"/>
            </w:pPr>
            <w:r>
              <w:t>HORIZON-WIDERA-2026-06-ERA-07: Pillar III: Science comes to town 2028</w:t>
            </w:r>
          </w:p>
        </w:tc>
        <w:tc>
          <w:tcPr>
            <w:tcW w:w="0" w:type="auto"/>
          </w:tcPr>
          <w:p w14:paraId="1F0BA1FF" w14:textId="77777777" w:rsidR="00721C98" w:rsidRDefault="00AE7B71">
            <w:pPr>
              <w:pStyle w:val="CellTextValue"/>
            </w:pPr>
            <w:r>
              <w:t>CSA</w:t>
            </w:r>
          </w:p>
        </w:tc>
        <w:tc>
          <w:tcPr>
            <w:tcW w:w="0" w:type="auto"/>
            <w:vMerge w:val="restart"/>
          </w:tcPr>
          <w:p w14:paraId="1C526684" w14:textId="77777777" w:rsidR="00721C98" w:rsidRDefault="00AE7B71">
            <w:pPr>
              <w:pStyle w:val="CellTextValue"/>
            </w:pPr>
            <w:r>
              <w:t>6.00</w:t>
            </w:r>
          </w:p>
        </w:tc>
        <w:tc>
          <w:tcPr>
            <w:tcW w:w="0" w:type="auto"/>
          </w:tcPr>
          <w:p w14:paraId="2033963E" w14:textId="77777777" w:rsidR="00721C98" w:rsidRDefault="00AE7B71">
            <w:pPr>
              <w:pStyle w:val="CellTextValue"/>
            </w:pPr>
            <w:r>
              <w:t>Around 6.00</w:t>
            </w:r>
          </w:p>
        </w:tc>
        <w:tc>
          <w:tcPr>
            <w:tcW w:w="0" w:type="auto"/>
          </w:tcPr>
          <w:p w14:paraId="76179C84" w14:textId="77777777" w:rsidR="00721C98" w:rsidRDefault="00AE7B71">
            <w:pPr>
              <w:pStyle w:val="CellTextValue"/>
            </w:pPr>
            <w:r>
              <w:t>1</w:t>
            </w:r>
          </w:p>
        </w:tc>
      </w:tr>
      <w:tr w:rsidR="00721C98" w14:paraId="7E38B06E" w14:textId="77777777">
        <w:tc>
          <w:tcPr>
            <w:tcW w:w="0" w:type="auto"/>
          </w:tcPr>
          <w:p w14:paraId="5C306D6C" w14:textId="77777777" w:rsidR="00721C98" w:rsidRDefault="00AE7B71">
            <w:pPr>
              <w:pStyle w:val="CellTextValue"/>
            </w:pPr>
            <w:r>
              <w:t>HORIZON-WIDERA-2026-06-ERA-08: Pillar IV: Advancing Knowledge for ERA</w:t>
            </w:r>
          </w:p>
        </w:tc>
        <w:tc>
          <w:tcPr>
            <w:tcW w:w="0" w:type="auto"/>
          </w:tcPr>
          <w:p w14:paraId="48E29F9A" w14:textId="77777777" w:rsidR="00721C98" w:rsidRDefault="00AE7B71">
            <w:pPr>
              <w:pStyle w:val="CellTextValue"/>
            </w:pPr>
            <w:r>
              <w:t>RIA</w:t>
            </w:r>
          </w:p>
        </w:tc>
        <w:tc>
          <w:tcPr>
            <w:tcW w:w="0" w:type="auto"/>
            <w:vMerge w:val="restart"/>
          </w:tcPr>
          <w:p w14:paraId="3911BFD8" w14:textId="77777777" w:rsidR="00721C98" w:rsidRDefault="00AE7B71">
            <w:pPr>
              <w:pStyle w:val="CellTextValue"/>
            </w:pPr>
            <w:r>
              <w:t>16.00</w:t>
            </w:r>
          </w:p>
        </w:tc>
        <w:tc>
          <w:tcPr>
            <w:tcW w:w="0" w:type="auto"/>
          </w:tcPr>
          <w:p w14:paraId="78F9A6B2" w14:textId="77777777" w:rsidR="00721C98" w:rsidRDefault="00AE7B71">
            <w:pPr>
              <w:pStyle w:val="CellTextValue"/>
            </w:pPr>
            <w:r>
              <w:t>1.50 to 2.50</w:t>
            </w:r>
          </w:p>
        </w:tc>
        <w:tc>
          <w:tcPr>
            <w:tcW w:w="0" w:type="auto"/>
          </w:tcPr>
          <w:p w14:paraId="1C7CE3B7" w14:textId="77777777" w:rsidR="00721C98" w:rsidRDefault="00AE7B71">
            <w:pPr>
              <w:pStyle w:val="CellTextValue"/>
            </w:pPr>
            <w:r>
              <w:t>8</w:t>
            </w:r>
          </w:p>
        </w:tc>
      </w:tr>
      <w:tr w:rsidR="00721C98" w14:paraId="281AB96D" w14:textId="77777777">
        <w:tc>
          <w:tcPr>
            <w:tcW w:w="0" w:type="auto"/>
          </w:tcPr>
          <w:p w14:paraId="5FD55AB4" w14:textId="77777777" w:rsidR="00721C98" w:rsidRDefault="00AE7B71">
            <w:pPr>
              <w:pStyle w:val="CellTextValue"/>
            </w:pPr>
            <w:r>
              <w:t>Overall indicative budget</w:t>
            </w:r>
          </w:p>
        </w:tc>
        <w:tc>
          <w:tcPr>
            <w:tcW w:w="0" w:type="auto"/>
          </w:tcPr>
          <w:p w14:paraId="17059737" w14:textId="77777777" w:rsidR="00721C98" w:rsidRDefault="00721C98"/>
        </w:tc>
        <w:tc>
          <w:tcPr>
            <w:tcW w:w="0" w:type="auto"/>
          </w:tcPr>
          <w:p w14:paraId="4C86DB11" w14:textId="77777777" w:rsidR="00721C98" w:rsidRDefault="00AE7B71">
            <w:pPr>
              <w:pStyle w:val="CellTextValue"/>
            </w:pPr>
            <w:r>
              <w:t>52.00</w:t>
            </w:r>
          </w:p>
        </w:tc>
        <w:tc>
          <w:tcPr>
            <w:tcW w:w="0" w:type="auto"/>
          </w:tcPr>
          <w:p w14:paraId="6C8EFCF4" w14:textId="77777777" w:rsidR="00721C98" w:rsidRDefault="00721C98"/>
        </w:tc>
        <w:tc>
          <w:tcPr>
            <w:tcW w:w="0" w:type="auto"/>
          </w:tcPr>
          <w:p w14:paraId="448B1E6B" w14:textId="77777777" w:rsidR="00721C98" w:rsidRDefault="00721C98"/>
        </w:tc>
      </w:tr>
    </w:tbl>
    <w:p w14:paraId="24485A2C"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5E87C602" w14:textId="77777777" w:rsidTr="00DB4111">
        <w:tc>
          <w:tcPr>
            <w:tcW w:w="0" w:type="auto"/>
            <w:gridSpan w:val="2"/>
          </w:tcPr>
          <w:p w14:paraId="06B82015" w14:textId="77777777" w:rsidR="00721C98" w:rsidRDefault="00AE7B71">
            <w:pPr>
              <w:pStyle w:val="CellTextValue"/>
            </w:pPr>
            <w:r>
              <w:rPr>
                <w:b/>
              </w:rPr>
              <w:t>General conditions relating to this call</w:t>
            </w:r>
          </w:p>
        </w:tc>
      </w:tr>
      <w:tr w:rsidR="00721C98" w14:paraId="18950206" w14:textId="77777777">
        <w:tc>
          <w:tcPr>
            <w:tcW w:w="0" w:type="auto"/>
          </w:tcPr>
          <w:p w14:paraId="19C41C96" w14:textId="77777777" w:rsidR="00721C98" w:rsidRDefault="00AE7B71">
            <w:pPr>
              <w:pStyle w:val="CellTextValue"/>
              <w:jc w:val="left"/>
            </w:pPr>
            <w:r>
              <w:rPr>
                <w:i/>
              </w:rPr>
              <w:t>Admissibility conditions</w:t>
            </w:r>
          </w:p>
        </w:tc>
        <w:tc>
          <w:tcPr>
            <w:tcW w:w="0" w:type="auto"/>
          </w:tcPr>
          <w:p w14:paraId="13896283" w14:textId="77777777" w:rsidR="00721C98" w:rsidRDefault="00AE7B71">
            <w:pPr>
              <w:pStyle w:val="CellTextValue"/>
            </w:pPr>
            <w:r>
              <w:rPr>
                <w:color w:val="000000"/>
              </w:rPr>
              <w:t>The conditions are described in General Annex A.</w:t>
            </w:r>
          </w:p>
        </w:tc>
      </w:tr>
      <w:tr w:rsidR="00721C98" w14:paraId="4549723B" w14:textId="77777777">
        <w:tc>
          <w:tcPr>
            <w:tcW w:w="0" w:type="auto"/>
          </w:tcPr>
          <w:p w14:paraId="277B7021" w14:textId="77777777" w:rsidR="00721C98" w:rsidRDefault="00AE7B71">
            <w:pPr>
              <w:pStyle w:val="CellTextValue"/>
              <w:jc w:val="left"/>
            </w:pPr>
            <w:r>
              <w:rPr>
                <w:i/>
              </w:rPr>
              <w:t>Eligibility conditions</w:t>
            </w:r>
          </w:p>
        </w:tc>
        <w:tc>
          <w:tcPr>
            <w:tcW w:w="0" w:type="auto"/>
          </w:tcPr>
          <w:p w14:paraId="4589748F" w14:textId="77777777" w:rsidR="00721C98" w:rsidRDefault="00AE7B71">
            <w:pPr>
              <w:pStyle w:val="CellTextValue"/>
            </w:pPr>
            <w:r>
              <w:rPr>
                <w:color w:val="000000"/>
              </w:rPr>
              <w:t>The conditions are described in General Annex B.</w:t>
            </w:r>
          </w:p>
        </w:tc>
      </w:tr>
      <w:tr w:rsidR="00721C98" w14:paraId="77F317FB" w14:textId="77777777">
        <w:tc>
          <w:tcPr>
            <w:tcW w:w="0" w:type="auto"/>
          </w:tcPr>
          <w:p w14:paraId="2DB02AEF" w14:textId="77777777" w:rsidR="00721C98" w:rsidRDefault="00AE7B71">
            <w:pPr>
              <w:pStyle w:val="CellTextValue"/>
              <w:jc w:val="left"/>
            </w:pPr>
            <w:r>
              <w:rPr>
                <w:i/>
              </w:rPr>
              <w:t>Financial and operational capacity and exclusion</w:t>
            </w:r>
          </w:p>
        </w:tc>
        <w:tc>
          <w:tcPr>
            <w:tcW w:w="0" w:type="auto"/>
          </w:tcPr>
          <w:p w14:paraId="5A6BE312" w14:textId="77777777" w:rsidR="00721C98" w:rsidRDefault="00AE7B71">
            <w:pPr>
              <w:pStyle w:val="CellTextValue"/>
            </w:pPr>
            <w:r>
              <w:rPr>
                <w:color w:val="000000"/>
              </w:rPr>
              <w:t>The criteria are described in General Annex C.</w:t>
            </w:r>
          </w:p>
        </w:tc>
      </w:tr>
      <w:tr w:rsidR="00721C98" w14:paraId="68801C20" w14:textId="77777777">
        <w:tc>
          <w:tcPr>
            <w:tcW w:w="0" w:type="auto"/>
          </w:tcPr>
          <w:p w14:paraId="43EBEE58" w14:textId="77777777" w:rsidR="00721C98" w:rsidRDefault="00AE7B71">
            <w:pPr>
              <w:pStyle w:val="CellTextValue"/>
              <w:jc w:val="left"/>
            </w:pPr>
            <w:r>
              <w:rPr>
                <w:i/>
              </w:rPr>
              <w:t>Award criteria</w:t>
            </w:r>
          </w:p>
        </w:tc>
        <w:tc>
          <w:tcPr>
            <w:tcW w:w="0" w:type="auto"/>
          </w:tcPr>
          <w:p w14:paraId="4D23910A" w14:textId="77777777" w:rsidR="00721C98" w:rsidRDefault="00AE7B71">
            <w:pPr>
              <w:pStyle w:val="CellTextValue"/>
            </w:pPr>
            <w:r>
              <w:rPr>
                <w:color w:val="000000"/>
              </w:rPr>
              <w:t>The criteria are described in General Annex D.</w:t>
            </w:r>
          </w:p>
        </w:tc>
      </w:tr>
      <w:tr w:rsidR="00721C98" w14:paraId="209D6E91" w14:textId="77777777">
        <w:tc>
          <w:tcPr>
            <w:tcW w:w="0" w:type="auto"/>
          </w:tcPr>
          <w:p w14:paraId="15C3DC42" w14:textId="77777777" w:rsidR="00721C98" w:rsidRDefault="00AE7B71">
            <w:pPr>
              <w:pStyle w:val="CellTextValue"/>
              <w:jc w:val="left"/>
            </w:pPr>
            <w:r>
              <w:rPr>
                <w:i/>
              </w:rPr>
              <w:t>Documents</w:t>
            </w:r>
          </w:p>
        </w:tc>
        <w:tc>
          <w:tcPr>
            <w:tcW w:w="0" w:type="auto"/>
          </w:tcPr>
          <w:p w14:paraId="15E58148" w14:textId="77777777" w:rsidR="00721C98" w:rsidRDefault="00AE7B71">
            <w:pPr>
              <w:pStyle w:val="CellTextValue"/>
            </w:pPr>
            <w:r>
              <w:rPr>
                <w:color w:val="000000"/>
              </w:rPr>
              <w:t>The documents are described in General Annex E.</w:t>
            </w:r>
          </w:p>
        </w:tc>
      </w:tr>
      <w:tr w:rsidR="00721C98" w14:paraId="20DFE6B4" w14:textId="77777777">
        <w:tc>
          <w:tcPr>
            <w:tcW w:w="0" w:type="auto"/>
          </w:tcPr>
          <w:p w14:paraId="52A7681F" w14:textId="77777777" w:rsidR="00721C98" w:rsidRDefault="00AE7B71">
            <w:pPr>
              <w:pStyle w:val="CellTextValue"/>
              <w:jc w:val="left"/>
            </w:pPr>
            <w:r>
              <w:rPr>
                <w:i/>
              </w:rPr>
              <w:t>Procedure</w:t>
            </w:r>
          </w:p>
        </w:tc>
        <w:tc>
          <w:tcPr>
            <w:tcW w:w="0" w:type="auto"/>
          </w:tcPr>
          <w:p w14:paraId="7B5256FB" w14:textId="77777777" w:rsidR="00721C98" w:rsidRDefault="00AE7B71">
            <w:pPr>
              <w:pStyle w:val="CellTextValue"/>
            </w:pPr>
            <w:r>
              <w:rPr>
                <w:color w:val="000000"/>
              </w:rPr>
              <w:t>The procedure is described in General Annex F.</w:t>
            </w:r>
          </w:p>
        </w:tc>
      </w:tr>
      <w:tr w:rsidR="00721C98" w14:paraId="231AFEEF" w14:textId="77777777">
        <w:tc>
          <w:tcPr>
            <w:tcW w:w="0" w:type="auto"/>
          </w:tcPr>
          <w:p w14:paraId="48A24342" w14:textId="77777777" w:rsidR="00721C98" w:rsidRDefault="00AE7B71">
            <w:pPr>
              <w:pStyle w:val="CellTextValue"/>
              <w:jc w:val="left"/>
            </w:pPr>
            <w:r>
              <w:rPr>
                <w:i/>
              </w:rPr>
              <w:t>Legal and financial set-up of the Grant Agreements</w:t>
            </w:r>
          </w:p>
        </w:tc>
        <w:tc>
          <w:tcPr>
            <w:tcW w:w="0" w:type="auto"/>
          </w:tcPr>
          <w:p w14:paraId="13FB19D7" w14:textId="77777777" w:rsidR="00721C98" w:rsidRDefault="00AE7B71">
            <w:pPr>
              <w:pStyle w:val="CellTextValue"/>
            </w:pPr>
            <w:r>
              <w:rPr>
                <w:color w:val="000000"/>
              </w:rPr>
              <w:t>The rules are described in General Annex G.</w:t>
            </w:r>
          </w:p>
        </w:tc>
      </w:tr>
    </w:tbl>
    <w:p w14:paraId="5DB2E8A5" w14:textId="77777777" w:rsidR="00721C98" w:rsidRDefault="00721C98">
      <w:pPr>
        <w:spacing w:after="0" w:line="150" w:lineRule="auto"/>
      </w:pPr>
    </w:p>
    <w:p w14:paraId="3393E945" w14:textId="77777777" w:rsidR="00721C98" w:rsidRPr="00DB4111" w:rsidRDefault="00AE7B71">
      <w:pPr>
        <w:pStyle w:val="HeadingTwo"/>
        <w:rPr>
          <w:lang w:val="en-IE"/>
        </w:rPr>
      </w:pPr>
      <w:r w:rsidRPr="00DB4111">
        <w:rPr>
          <w:lang w:val="en-IE"/>
        </w:rPr>
        <w:t>Call - EIC Pre-accelerator - Widening</w:t>
      </w:r>
    </w:p>
    <w:p w14:paraId="4C68C20D" w14:textId="77777777" w:rsidR="00721C98" w:rsidRDefault="00AE7B71">
      <w:pPr>
        <w:pStyle w:val="CallIdentifier"/>
      </w:pPr>
      <w:r>
        <w:t>HORIZON-WIDERA-2027-01</w:t>
      </w:r>
    </w:p>
    <w:p w14:paraId="69E93939" w14:textId="77777777" w:rsidR="00721C98" w:rsidRDefault="00AE7B71">
      <w:pPr>
        <w:pStyle w:val="HeadingThree"/>
      </w:pPr>
      <w:r>
        <w:lastRenderedPageBreak/>
        <w:t>Overview of this call</w:t>
      </w:r>
      <w:r>
        <w:rPr>
          <w:vertAlign w:val="superscript"/>
        </w:rPr>
        <w:footnoteReference w:id="21"/>
      </w:r>
    </w:p>
    <w:p w14:paraId="33452B01"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34918B0E" w14:textId="77777777">
        <w:tc>
          <w:tcPr>
            <w:tcW w:w="2000" w:type="dxa"/>
            <w:vMerge w:val="restart"/>
          </w:tcPr>
          <w:p w14:paraId="7F8FA365" w14:textId="77777777" w:rsidR="00721C98" w:rsidRDefault="00AE7B71">
            <w:pPr>
              <w:pStyle w:val="CellHeaderTextValue"/>
            </w:pPr>
            <w:r>
              <w:t>Topics</w:t>
            </w:r>
          </w:p>
        </w:tc>
        <w:tc>
          <w:tcPr>
            <w:tcW w:w="800" w:type="dxa"/>
            <w:vMerge w:val="restart"/>
          </w:tcPr>
          <w:p w14:paraId="447C5852" w14:textId="77777777" w:rsidR="00721C98" w:rsidRDefault="00AE7B71">
            <w:pPr>
              <w:pStyle w:val="CellHeaderTextValue"/>
            </w:pPr>
            <w:r>
              <w:t>Type of Action</w:t>
            </w:r>
          </w:p>
        </w:tc>
        <w:tc>
          <w:tcPr>
            <w:tcW w:w="0" w:type="auto"/>
          </w:tcPr>
          <w:p w14:paraId="71551ABA" w14:textId="77777777" w:rsidR="00721C98" w:rsidRDefault="00AE7B71">
            <w:pPr>
              <w:pStyle w:val="CellHeaderTextValue"/>
            </w:pPr>
            <w:r>
              <w:t>Budgets (EUR million)</w:t>
            </w:r>
          </w:p>
        </w:tc>
        <w:tc>
          <w:tcPr>
            <w:tcW w:w="0" w:type="auto"/>
            <w:vMerge w:val="restart"/>
          </w:tcPr>
          <w:p w14:paraId="68EF42B6"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22"/>
            </w:r>
          </w:p>
        </w:tc>
        <w:tc>
          <w:tcPr>
            <w:tcW w:w="800" w:type="dxa"/>
            <w:vMerge w:val="restart"/>
          </w:tcPr>
          <w:p w14:paraId="3DDF24BF" w14:textId="77777777" w:rsidR="00721C98" w:rsidRDefault="00AE7B71">
            <w:pPr>
              <w:pStyle w:val="CellHeaderTextValue"/>
            </w:pPr>
            <w:r>
              <w:t>Indicative number of projects expected to be funded</w:t>
            </w:r>
          </w:p>
        </w:tc>
      </w:tr>
      <w:tr w:rsidR="00721C98" w14:paraId="36912E6E" w14:textId="77777777">
        <w:tc>
          <w:tcPr>
            <w:tcW w:w="0" w:type="auto"/>
            <w:vMerge/>
          </w:tcPr>
          <w:p w14:paraId="4E905F7E" w14:textId="77777777" w:rsidR="00721C98" w:rsidRDefault="00721C98"/>
        </w:tc>
        <w:tc>
          <w:tcPr>
            <w:tcW w:w="0" w:type="auto"/>
            <w:vMerge/>
          </w:tcPr>
          <w:p w14:paraId="13AC4296" w14:textId="77777777" w:rsidR="00721C98" w:rsidRDefault="00721C98"/>
        </w:tc>
        <w:tc>
          <w:tcPr>
            <w:tcW w:w="0" w:type="auto"/>
          </w:tcPr>
          <w:p w14:paraId="528337DA" w14:textId="77777777" w:rsidR="00721C98" w:rsidRDefault="00AE7B71">
            <w:pPr>
              <w:pStyle w:val="CellHeaderTextValue"/>
            </w:pPr>
            <w:r>
              <w:t>2027</w:t>
            </w:r>
          </w:p>
        </w:tc>
        <w:tc>
          <w:tcPr>
            <w:tcW w:w="0" w:type="auto"/>
            <w:vMerge/>
          </w:tcPr>
          <w:p w14:paraId="0F028B5A" w14:textId="77777777" w:rsidR="00721C98" w:rsidRDefault="00721C98"/>
        </w:tc>
        <w:tc>
          <w:tcPr>
            <w:tcW w:w="0" w:type="auto"/>
            <w:vMerge/>
          </w:tcPr>
          <w:p w14:paraId="6FA8B769" w14:textId="77777777" w:rsidR="00721C98" w:rsidRDefault="00721C98"/>
        </w:tc>
      </w:tr>
      <w:tr w:rsidR="00DB4111" w14:paraId="3A695B8B" w14:textId="77777777" w:rsidTr="00DB4111">
        <w:tc>
          <w:tcPr>
            <w:tcW w:w="0" w:type="auto"/>
            <w:gridSpan w:val="5"/>
          </w:tcPr>
          <w:p w14:paraId="7AAF1264" w14:textId="77777777" w:rsidR="00721C98" w:rsidRDefault="00AE7B71">
            <w:pPr>
              <w:pStyle w:val="CellTextValue"/>
              <w:jc w:val="center"/>
            </w:pPr>
            <w:r>
              <w:t>Opening: 05 May 2027</w:t>
            </w:r>
          </w:p>
          <w:p w14:paraId="29617DC4" w14:textId="77777777" w:rsidR="00721C98" w:rsidRDefault="00AE7B71">
            <w:pPr>
              <w:pStyle w:val="CellTextValue"/>
              <w:jc w:val="center"/>
            </w:pPr>
            <w:r>
              <w:t>Deadline(s): 18 Nov 2027</w:t>
            </w:r>
          </w:p>
        </w:tc>
      </w:tr>
      <w:tr w:rsidR="00DB4111" w14:paraId="33AB3EC6" w14:textId="77777777" w:rsidTr="00DB4111">
        <w:tc>
          <w:tcPr>
            <w:tcW w:w="0" w:type="auto"/>
            <w:gridSpan w:val="5"/>
          </w:tcPr>
          <w:p w14:paraId="76E9A91A" w14:textId="77777777" w:rsidR="00721C98" w:rsidRDefault="00AE7B71">
            <w:pPr>
              <w:pStyle w:val="CellTextValue"/>
            </w:pPr>
            <w:r>
              <w:t>Destination: Widening participation and spreading excellence</w:t>
            </w:r>
          </w:p>
        </w:tc>
      </w:tr>
      <w:tr w:rsidR="00721C98" w14:paraId="7CF4D4EA" w14:textId="77777777">
        <w:tc>
          <w:tcPr>
            <w:tcW w:w="0" w:type="auto"/>
          </w:tcPr>
          <w:p w14:paraId="4B940C25" w14:textId="77777777" w:rsidR="00721C98" w:rsidRDefault="00AE7B71">
            <w:pPr>
              <w:pStyle w:val="CellTextValue"/>
            </w:pPr>
            <w:r>
              <w:t>HORIZON-WIDERA-2027-01-WIDENING-01: EIC Pre-accelerator - Widening</w:t>
            </w:r>
          </w:p>
        </w:tc>
        <w:tc>
          <w:tcPr>
            <w:tcW w:w="0" w:type="auto"/>
          </w:tcPr>
          <w:p w14:paraId="09A2B598" w14:textId="77777777" w:rsidR="00721C98" w:rsidRDefault="00AE7B71">
            <w:pPr>
              <w:pStyle w:val="CellTextValue"/>
            </w:pPr>
            <w:r>
              <w:t>CSA</w:t>
            </w:r>
          </w:p>
        </w:tc>
        <w:tc>
          <w:tcPr>
            <w:tcW w:w="0" w:type="auto"/>
            <w:vMerge w:val="restart"/>
          </w:tcPr>
          <w:p w14:paraId="421D4D01" w14:textId="77777777" w:rsidR="00721C98" w:rsidRDefault="00AE7B71">
            <w:pPr>
              <w:pStyle w:val="CellTextValue"/>
            </w:pPr>
            <w:r>
              <w:t>40.00</w:t>
            </w:r>
          </w:p>
        </w:tc>
        <w:tc>
          <w:tcPr>
            <w:tcW w:w="0" w:type="auto"/>
          </w:tcPr>
          <w:p w14:paraId="791FEF75" w14:textId="77777777" w:rsidR="00721C98" w:rsidRDefault="00AE7B71">
            <w:pPr>
              <w:pStyle w:val="CellTextValue"/>
            </w:pPr>
            <w:r>
              <w:t>0.50 to 1.00</w:t>
            </w:r>
          </w:p>
        </w:tc>
        <w:tc>
          <w:tcPr>
            <w:tcW w:w="0" w:type="auto"/>
          </w:tcPr>
          <w:p w14:paraId="59326260" w14:textId="77777777" w:rsidR="00721C98" w:rsidRDefault="00AE7B71">
            <w:pPr>
              <w:pStyle w:val="CellTextValue"/>
            </w:pPr>
            <w:r>
              <w:t>60</w:t>
            </w:r>
          </w:p>
        </w:tc>
      </w:tr>
      <w:tr w:rsidR="00721C98" w14:paraId="32935B26" w14:textId="77777777">
        <w:tc>
          <w:tcPr>
            <w:tcW w:w="0" w:type="auto"/>
          </w:tcPr>
          <w:p w14:paraId="5798FF41" w14:textId="77777777" w:rsidR="00721C98" w:rsidRDefault="00AE7B71">
            <w:pPr>
              <w:pStyle w:val="CellTextValue"/>
            </w:pPr>
            <w:r>
              <w:t>Overall indicative budget</w:t>
            </w:r>
          </w:p>
        </w:tc>
        <w:tc>
          <w:tcPr>
            <w:tcW w:w="0" w:type="auto"/>
          </w:tcPr>
          <w:p w14:paraId="23855055" w14:textId="77777777" w:rsidR="00721C98" w:rsidRDefault="00721C98"/>
        </w:tc>
        <w:tc>
          <w:tcPr>
            <w:tcW w:w="0" w:type="auto"/>
          </w:tcPr>
          <w:p w14:paraId="4C67A00D" w14:textId="77777777" w:rsidR="00721C98" w:rsidRDefault="00AE7B71">
            <w:pPr>
              <w:pStyle w:val="CellTextValue"/>
            </w:pPr>
            <w:r>
              <w:t>40.00</w:t>
            </w:r>
          </w:p>
        </w:tc>
        <w:tc>
          <w:tcPr>
            <w:tcW w:w="0" w:type="auto"/>
          </w:tcPr>
          <w:p w14:paraId="3E73DE07" w14:textId="77777777" w:rsidR="00721C98" w:rsidRDefault="00721C98"/>
        </w:tc>
        <w:tc>
          <w:tcPr>
            <w:tcW w:w="0" w:type="auto"/>
          </w:tcPr>
          <w:p w14:paraId="7E197B12" w14:textId="77777777" w:rsidR="00721C98" w:rsidRDefault="00721C98"/>
        </w:tc>
      </w:tr>
    </w:tbl>
    <w:p w14:paraId="5A1C9326"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59BCD48B" w14:textId="77777777" w:rsidTr="00DB4111">
        <w:tc>
          <w:tcPr>
            <w:tcW w:w="0" w:type="auto"/>
            <w:gridSpan w:val="2"/>
          </w:tcPr>
          <w:p w14:paraId="15460A8C" w14:textId="77777777" w:rsidR="00721C98" w:rsidRDefault="00AE7B71">
            <w:pPr>
              <w:pStyle w:val="CellTextValue"/>
            </w:pPr>
            <w:r>
              <w:rPr>
                <w:b/>
              </w:rPr>
              <w:t>General conditions relating to this call</w:t>
            </w:r>
          </w:p>
        </w:tc>
      </w:tr>
      <w:tr w:rsidR="00721C98" w14:paraId="75E222E9" w14:textId="77777777">
        <w:tc>
          <w:tcPr>
            <w:tcW w:w="0" w:type="auto"/>
          </w:tcPr>
          <w:p w14:paraId="3C32D181" w14:textId="77777777" w:rsidR="00721C98" w:rsidRDefault="00AE7B71">
            <w:pPr>
              <w:pStyle w:val="CellTextValue"/>
              <w:jc w:val="left"/>
            </w:pPr>
            <w:r>
              <w:rPr>
                <w:i/>
              </w:rPr>
              <w:t>Admissibility conditions</w:t>
            </w:r>
          </w:p>
        </w:tc>
        <w:tc>
          <w:tcPr>
            <w:tcW w:w="0" w:type="auto"/>
          </w:tcPr>
          <w:p w14:paraId="049C291E" w14:textId="77777777" w:rsidR="00721C98" w:rsidRDefault="00AE7B71">
            <w:pPr>
              <w:pStyle w:val="CellTextValue"/>
            </w:pPr>
            <w:r>
              <w:rPr>
                <w:color w:val="000000"/>
              </w:rPr>
              <w:t>The conditions are described in General Annex A.</w:t>
            </w:r>
          </w:p>
        </w:tc>
      </w:tr>
      <w:tr w:rsidR="00721C98" w14:paraId="05E2EFC8" w14:textId="77777777">
        <w:tc>
          <w:tcPr>
            <w:tcW w:w="0" w:type="auto"/>
          </w:tcPr>
          <w:p w14:paraId="7F623BA1" w14:textId="77777777" w:rsidR="00721C98" w:rsidRDefault="00AE7B71">
            <w:pPr>
              <w:pStyle w:val="CellTextValue"/>
              <w:jc w:val="left"/>
            </w:pPr>
            <w:r>
              <w:rPr>
                <w:i/>
              </w:rPr>
              <w:t>Eligibility conditions</w:t>
            </w:r>
          </w:p>
        </w:tc>
        <w:tc>
          <w:tcPr>
            <w:tcW w:w="0" w:type="auto"/>
          </w:tcPr>
          <w:p w14:paraId="76967A68" w14:textId="77777777" w:rsidR="00721C98" w:rsidRDefault="00AE7B71">
            <w:pPr>
              <w:pStyle w:val="CellTextValue"/>
            </w:pPr>
            <w:r>
              <w:rPr>
                <w:color w:val="000000"/>
              </w:rPr>
              <w:t>The conditions are described in General Annex B.</w:t>
            </w:r>
          </w:p>
        </w:tc>
      </w:tr>
      <w:tr w:rsidR="00721C98" w14:paraId="02D3A2A8" w14:textId="77777777">
        <w:tc>
          <w:tcPr>
            <w:tcW w:w="0" w:type="auto"/>
          </w:tcPr>
          <w:p w14:paraId="6E1572D7" w14:textId="77777777" w:rsidR="00721C98" w:rsidRDefault="00AE7B71">
            <w:pPr>
              <w:pStyle w:val="CellTextValue"/>
              <w:jc w:val="left"/>
            </w:pPr>
            <w:r>
              <w:rPr>
                <w:i/>
              </w:rPr>
              <w:t>Financial and operational capacity and exclusion</w:t>
            </w:r>
          </w:p>
        </w:tc>
        <w:tc>
          <w:tcPr>
            <w:tcW w:w="0" w:type="auto"/>
          </w:tcPr>
          <w:p w14:paraId="47E3A23C" w14:textId="77777777" w:rsidR="00721C98" w:rsidRDefault="00AE7B71">
            <w:pPr>
              <w:pStyle w:val="CellTextValue"/>
            </w:pPr>
            <w:r>
              <w:rPr>
                <w:color w:val="000000"/>
              </w:rPr>
              <w:t>The criteria are described in General Annex C.</w:t>
            </w:r>
          </w:p>
        </w:tc>
      </w:tr>
      <w:tr w:rsidR="00721C98" w14:paraId="40D17A39" w14:textId="77777777">
        <w:tc>
          <w:tcPr>
            <w:tcW w:w="0" w:type="auto"/>
          </w:tcPr>
          <w:p w14:paraId="0C13A5C1" w14:textId="77777777" w:rsidR="00721C98" w:rsidRDefault="00AE7B71">
            <w:pPr>
              <w:pStyle w:val="CellTextValue"/>
              <w:jc w:val="left"/>
            </w:pPr>
            <w:r>
              <w:rPr>
                <w:i/>
              </w:rPr>
              <w:t>Award criteria</w:t>
            </w:r>
          </w:p>
        </w:tc>
        <w:tc>
          <w:tcPr>
            <w:tcW w:w="0" w:type="auto"/>
          </w:tcPr>
          <w:p w14:paraId="68CAA2B9" w14:textId="77777777" w:rsidR="00721C98" w:rsidRDefault="00AE7B71">
            <w:pPr>
              <w:pStyle w:val="CellTextValue"/>
            </w:pPr>
            <w:r>
              <w:rPr>
                <w:color w:val="000000"/>
              </w:rPr>
              <w:t>The criteria are described in General Annex D.</w:t>
            </w:r>
          </w:p>
        </w:tc>
      </w:tr>
      <w:tr w:rsidR="00721C98" w14:paraId="730CEEC9" w14:textId="77777777">
        <w:tc>
          <w:tcPr>
            <w:tcW w:w="0" w:type="auto"/>
          </w:tcPr>
          <w:p w14:paraId="3F4AC442" w14:textId="77777777" w:rsidR="00721C98" w:rsidRDefault="00AE7B71">
            <w:pPr>
              <w:pStyle w:val="CellTextValue"/>
              <w:jc w:val="left"/>
            </w:pPr>
            <w:r>
              <w:rPr>
                <w:i/>
              </w:rPr>
              <w:t>Documents</w:t>
            </w:r>
          </w:p>
        </w:tc>
        <w:tc>
          <w:tcPr>
            <w:tcW w:w="0" w:type="auto"/>
          </w:tcPr>
          <w:p w14:paraId="3257F2DE" w14:textId="77777777" w:rsidR="00721C98" w:rsidRDefault="00AE7B71">
            <w:pPr>
              <w:pStyle w:val="CellTextValue"/>
            </w:pPr>
            <w:r>
              <w:rPr>
                <w:color w:val="000000"/>
              </w:rPr>
              <w:t>The documents are described in General Annex E.</w:t>
            </w:r>
          </w:p>
        </w:tc>
      </w:tr>
      <w:tr w:rsidR="00721C98" w14:paraId="33DA785D" w14:textId="77777777">
        <w:tc>
          <w:tcPr>
            <w:tcW w:w="0" w:type="auto"/>
          </w:tcPr>
          <w:p w14:paraId="52318171" w14:textId="77777777" w:rsidR="00721C98" w:rsidRDefault="00AE7B71">
            <w:pPr>
              <w:pStyle w:val="CellTextValue"/>
              <w:jc w:val="left"/>
            </w:pPr>
            <w:r>
              <w:rPr>
                <w:i/>
              </w:rPr>
              <w:t>Procedure</w:t>
            </w:r>
          </w:p>
        </w:tc>
        <w:tc>
          <w:tcPr>
            <w:tcW w:w="0" w:type="auto"/>
          </w:tcPr>
          <w:p w14:paraId="503F9F98" w14:textId="77777777" w:rsidR="00721C98" w:rsidRDefault="00AE7B71">
            <w:pPr>
              <w:pStyle w:val="CellTextValue"/>
            </w:pPr>
            <w:r>
              <w:rPr>
                <w:color w:val="000000"/>
              </w:rPr>
              <w:t xml:space="preserve">The procedure is described in General </w:t>
            </w:r>
            <w:r>
              <w:rPr>
                <w:color w:val="000000"/>
              </w:rPr>
              <w:lastRenderedPageBreak/>
              <w:t>Annex F.</w:t>
            </w:r>
          </w:p>
        </w:tc>
      </w:tr>
      <w:tr w:rsidR="00721C98" w14:paraId="21C2CED8" w14:textId="77777777">
        <w:tc>
          <w:tcPr>
            <w:tcW w:w="0" w:type="auto"/>
          </w:tcPr>
          <w:p w14:paraId="5F486212" w14:textId="77777777" w:rsidR="00721C98" w:rsidRDefault="00AE7B71">
            <w:pPr>
              <w:pStyle w:val="CellTextValue"/>
              <w:jc w:val="left"/>
            </w:pPr>
            <w:r>
              <w:rPr>
                <w:i/>
              </w:rPr>
              <w:lastRenderedPageBreak/>
              <w:t>Legal and financial set-up of the Grant Agreements</w:t>
            </w:r>
          </w:p>
        </w:tc>
        <w:tc>
          <w:tcPr>
            <w:tcW w:w="0" w:type="auto"/>
          </w:tcPr>
          <w:p w14:paraId="76E74805" w14:textId="77777777" w:rsidR="00721C98" w:rsidRDefault="00AE7B71">
            <w:pPr>
              <w:pStyle w:val="CellTextValue"/>
            </w:pPr>
            <w:r>
              <w:rPr>
                <w:color w:val="000000"/>
              </w:rPr>
              <w:t>The rules are described in General Annex G.</w:t>
            </w:r>
          </w:p>
        </w:tc>
      </w:tr>
    </w:tbl>
    <w:p w14:paraId="49860504" w14:textId="77777777" w:rsidR="00721C98" w:rsidRDefault="00721C98">
      <w:pPr>
        <w:spacing w:after="0" w:line="150" w:lineRule="auto"/>
      </w:pPr>
    </w:p>
    <w:p w14:paraId="357B4E69" w14:textId="77777777" w:rsidR="00721C98" w:rsidRPr="00DB4111" w:rsidRDefault="00AE7B71">
      <w:pPr>
        <w:pStyle w:val="HeadingTwo"/>
        <w:rPr>
          <w:lang w:val="en-IE"/>
        </w:rPr>
      </w:pPr>
      <w:r w:rsidRPr="00DB4111">
        <w:rPr>
          <w:lang w:val="en-IE"/>
        </w:rPr>
        <w:t>Call - ERA Chairs and Research Managers</w:t>
      </w:r>
    </w:p>
    <w:p w14:paraId="567BD175" w14:textId="77777777" w:rsidR="00721C98" w:rsidRDefault="00AE7B71">
      <w:pPr>
        <w:pStyle w:val="CallIdentifier"/>
      </w:pPr>
      <w:r>
        <w:t>HORIZON-WIDERA-2027-02</w:t>
      </w:r>
    </w:p>
    <w:p w14:paraId="671F61FF" w14:textId="77777777" w:rsidR="00721C98" w:rsidRDefault="00AE7B71">
      <w:pPr>
        <w:pStyle w:val="HeadingThree"/>
      </w:pPr>
      <w:r>
        <w:t>Overview of this call</w:t>
      </w:r>
      <w:r>
        <w:rPr>
          <w:vertAlign w:val="superscript"/>
        </w:rPr>
        <w:footnoteReference w:id="23"/>
      </w:r>
    </w:p>
    <w:p w14:paraId="39FF7470"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3F3D097A" w14:textId="77777777">
        <w:tc>
          <w:tcPr>
            <w:tcW w:w="2000" w:type="dxa"/>
            <w:vMerge w:val="restart"/>
          </w:tcPr>
          <w:p w14:paraId="1822CFBF" w14:textId="77777777" w:rsidR="00721C98" w:rsidRDefault="00AE7B71">
            <w:pPr>
              <w:pStyle w:val="CellHeaderTextValue"/>
            </w:pPr>
            <w:r>
              <w:t>Topics</w:t>
            </w:r>
          </w:p>
        </w:tc>
        <w:tc>
          <w:tcPr>
            <w:tcW w:w="800" w:type="dxa"/>
            <w:vMerge w:val="restart"/>
          </w:tcPr>
          <w:p w14:paraId="0A888AD0" w14:textId="77777777" w:rsidR="00721C98" w:rsidRDefault="00AE7B71">
            <w:pPr>
              <w:pStyle w:val="CellHeaderTextValue"/>
            </w:pPr>
            <w:r>
              <w:t>Type of Action</w:t>
            </w:r>
          </w:p>
        </w:tc>
        <w:tc>
          <w:tcPr>
            <w:tcW w:w="0" w:type="auto"/>
          </w:tcPr>
          <w:p w14:paraId="3341F86C" w14:textId="77777777" w:rsidR="00721C98" w:rsidRDefault="00AE7B71">
            <w:pPr>
              <w:pStyle w:val="CellHeaderTextValue"/>
            </w:pPr>
            <w:r>
              <w:t>Budgets (EUR million)</w:t>
            </w:r>
          </w:p>
        </w:tc>
        <w:tc>
          <w:tcPr>
            <w:tcW w:w="0" w:type="auto"/>
            <w:vMerge w:val="restart"/>
          </w:tcPr>
          <w:p w14:paraId="04E41D2E"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24"/>
            </w:r>
          </w:p>
        </w:tc>
        <w:tc>
          <w:tcPr>
            <w:tcW w:w="800" w:type="dxa"/>
            <w:vMerge w:val="restart"/>
          </w:tcPr>
          <w:p w14:paraId="3E402E4D" w14:textId="77777777" w:rsidR="00721C98" w:rsidRDefault="00AE7B71">
            <w:pPr>
              <w:pStyle w:val="CellHeaderTextValue"/>
            </w:pPr>
            <w:r>
              <w:t>Indicative number of projects expected to be funded</w:t>
            </w:r>
          </w:p>
        </w:tc>
      </w:tr>
      <w:tr w:rsidR="00721C98" w14:paraId="5A9A082C" w14:textId="77777777">
        <w:tc>
          <w:tcPr>
            <w:tcW w:w="0" w:type="auto"/>
            <w:vMerge/>
          </w:tcPr>
          <w:p w14:paraId="23A16E6E" w14:textId="77777777" w:rsidR="00721C98" w:rsidRDefault="00721C98"/>
        </w:tc>
        <w:tc>
          <w:tcPr>
            <w:tcW w:w="0" w:type="auto"/>
            <w:vMerge/>
          </w:tcPr>
          <w:p w14:paraId="03163507" w14:textId="77777777" w:rsidR="00721C98" w:rsidRDefault="00721C98"/>
        </w:tc>
        <w:tc>
          <w:tcPr>
            <w:tcW w:w="0" w:type="auto"/>
          </w:tcPr>
          <w:p w14:paraId="05FCF077" w14:textId="77777777" w:rsidR="00721C98" w:rsidRDefault="00AE7B71">
            <w:pPr>
              <w:pStyle w:val="CellHeaderTextValue"/>
            </w:pPr>
            <w:r>
              <w:t>2027</w:t>
            </w:r>
          </w:p>
        </w:tc>
        <w:tc>
          <w:tcPr>
            <w:tcW w:w="0" w:type="auto"/>
            <w:vMerge/>
          </w:tcPr>
          <w:p w14:paraId="53A1AB12" w14:textId="77777777" w:rsidR="00721C98" w:rsidRDefault="00721C98"/>
        </w:tc>
        <w:tc>
          <w:tcPr>
            <w:tcW w:w="0" w:type="auto"/>
            <w:vMerge/>
          </w:tcPr>
          <w:p w14:paraId="7C2CB7F4" w14:textId="77777777" w:rsidR="00721C98" w:rsidRDefault="00721C98"/>
        </w:tc>
      </w:tr>
      <w:tr w:rsidR="00DB4111" w14:paraId="6E671525" w14:textId="77777777" w:rsidTr="00DB4111">
        <w:tc>
          <w:tcPr>
            <w:tcW w:w="0" w:type="auto"/>
            <w:gridSpan w:val="5"/>
          </w:tcPr>
          <w:p w14:paraId="623855A0" w14:textId="77777777" w:rsidR="00721C98" w:rsidRDefault="00AE7B71">
            <w:pPr>
              <w:pStyle w:val="CellTextValue"/>
              <w:jc w:val="center"/>
            </w:pPr>
            <w:r>
              <w:t>Opening: 06 Apr 2027</w:t>
            </w:r>
          </w:p>
          <w:p w14:paraId="2639CC91" w14:textId="77777777" w:rsidR="00721C98" w:rsidRDefault="00AE7B71">
            <w:pPr>
              <w:pStyle w:val="CellTextValue"/>
              <w:jc w:val="center"/>
            </w:pPr>
            <w:r>
              <w:t>Deadline(s): 14 Sep 2027</w:t>
            </w:r>
          </w:p>
        </w:tc>
      </w:tr>
      <w:tr w:rsidR="00DB4111" w14:paraId="4A7F164A" w14:textId="77777777" w:rsidTr="00DB4111">
        <w:tc>
          <w:tcPr>
            <w:tcW w:w="0" w:type="auto"/>
            <w:gridSpan w:val="5"/>
          </w:tcPr>
          <w:p w14:paraId="03A31EDC" w14:textId="77777777" w:rsidR="00721C98" w:rsidRDefault="00AE7B71">
            <w:pPr>
              <w:pStyle w:val="CellTextValue"/>
            </w:pPr>
            <w:r>
              <w:t>Destination: Widening participation and spreading excellence</w:t>
            </w:r>
          </w:p>
        </w:tc>
      </w:tr>
      <w:tr w:rsidR="00721C98" w14:paraId="666789E7" w14:textId="77777777">
        <w:tc>
          <w:tcPr>
            <w:tcW w:w="0" w:type="auto"/>
          </w:tcPr>
          <w:p w14:paraId="0886E49C" w14:textId="77777777" w:rsidR="00721C98" w:rsidRDefault="00AE7B71">
            <w:pPr>
              <w:pStyle w:val="CellTextValue"/>
            </w:pPr>
            <w:r>
              <w:t>HORIZON-WIDERA-2027-02-WIDENING-01: ERA Chairs</w:t>
            </w:r>
          </w:p>
        </w:tc>
        <w:tc>
          <w:tcPr>
            <w:tcW w:w="0" w:type="auto"/>
          </w:tcPr>
          <w:p w14:paraId="39FCF257" w14:textId="77777777" w:rsidR="00721C98" w:rsidRDefault="00AE7B71">
            <w:pPr>
              <w:pStyle w:val="CellTextValue"/>
            </w:pPr>
            <w:r>
              <w:t>CSA</w:t>
            </w:r>
          </w:p>
        </w:tc>
        <w:tc>
          <w:tcPr>
            <w:tcW w:w="0" w:type="auto"/>
            <w:vMerge w:val="restart"/>
          </w:tcPr>
          <w:p w14:paraId="37E9B9E4" w14:textId="77777777" w:rsidR="00721C98" w:rsidRDefault="00AE7B71">
            <w:pPr>
              <w:pStyle w:val="CellTextValue"/>
            </w:pPr>
            <w:r>
              <w:t>175.00</w:t>
            </w:r>
          </w:p>
        </w:tc>
        <w:tc>
          <w:tcPr>
            <w:tcW w:w="0" w:type="auto"/>
          </w:tcPr>
          <w:p w14:paraId="1C8D21D8" w14:textId="77777777" w:rsidR="00721C98" w:rsidRDefault="00AE7B71">
            <w:pPr>
              <w:pStyle w:val="CellTextValue"/>
            </w:pPr>
            <w:r>
              <w:t>1.50 to 2.50</w:t>
            </w:r>
          </w:p>
        </w:tc>
        <w:tc>
          <w:tcPr>
            <w:tcW w:w="0" w:type="auto"/>
          </w:tcPr>
          <w:p w14:paraId="6D580FEB" w14:textId="77777777" w:rsidR="00721C98" w:rsidRDefault="00AE7B71">
            <w:pPr>
              <w:pStyle w:val="CellTextValue"/>
            </w:pPr>
            <w:r>
              <w:t>80</w:t>
            </w:r>
          </w:p>
        </w:tc>
      </w:tr>
      <w:tr w:rsidR="00721C98" w14:paraId="51F8202A" w14:textId="77777777">
        <w:tc>
          <w:tcPr>
            <w:tcW w:w="0" w:type="auto"/>
          </w:tcPr>
          <w:p w14:paraId="2D225389" w14:textId="77777777" w:rsidR="00721C98" w:rsidRDefault="00AE7B71">
            <w:pPr>
              <w:pStyle w:val="CellTextValue"/>
            </w:pPr>
            <w:r>
              <w:t>HORIZON-WIDERA-2027-02-WIDENING-02: ERA Research Managers</w:t>
            </w:r>
          </w:p>
        </w:tc>
        <w:tc>
          <w:tcPr>
            <w:tcW w:w="0" w:type="auto"/>
          </w:tcPr>
          <w:p w14:paraId="18EB88D6" w14:textId="77777777" w:rsidR="00721C98" w:rsidRDefault="00AE7B71">
            <w:pPr>
              <w:pStyle w:val="CellTextValue"/>
            </w:pPr>
            <w:r>
              <w:t>CSA</w:t>
            </w:r>
          </w:p>
        </w:tc>
        <w:tc>
          <w:tcPr>
            <w:tcW w:w="0" w:type="auto"/>
            <w:vMerge w:val="restart"/>
          </w:tcPr>
          <w:p w14:paraId="1EED39F5" w14:textId="77777777" w:rsidR="00721C98" w:rsidRDefault="00AE7B71">
            <w:pPr>
              <w:pStyle w:val="CellTextValue"/>
            </w:pPr>
            <w:r>
              <w:t>65.00</w:t>
            </w:r>
          </w:p>
        </w:tc>
        <w:tc>
          <w:tcPr>
            <w:tcW w:w="0" w:type="auto"/>
          </w:tcPr>
          <w:p w14:paraId="0DD53909" w14:textId="77777777" w:rsidR="00721C98" w:rsidRDefault="00AE7B71">
            <w:pPr>
              <w:pStyle w:val="CellTextValue"/>
            </w:pPr>
            <w:r>
              <w:t>1.50 to 2.50</w:t>
            </w:r>
          </w:p>
        </w:tc>
        <w:tc>
          <w:tcPr>
            <w:tcW w:w="0" w:type="auto"/>
          </w:tcPr>
          <w:p w14:paraId="47F9B741" w14:textId="77777777" w:rsidR="00721C98" w:rsidRDefault="00AE7B71">
            <w:pPr>
              <w:pStyle w:val="CellTextValue"/>
            </w:pPr>
            <w:r>
              <w:t>30</w:t>
            </w:r>
          </w:p>
        </w:tc>
      </w:tr>
      <w:tr w:rsidR="00721C98" w14:paraId="3E2471D7" w14:textId="77777777">
        <w:tc>
          <w:tcPr>
            <w:tcW w:w="0" w:type="auto"/>
          </w:tcPr>
          <w:p w14:paraId="36F6C626" w14:textId="77777777" w:rsidR="00721C98" w:rsidRDefault="00AE7B71">
            <w:pPr>
              <w:pStyle w:val="CellTextValue"/>
            </w:pPr>
            <w:r>
              <w:t>Overall indicative budget</w:t>
            </w:r>
          </w:p>
        </w:tc>
        <w:tc>
          <w:tcPr>
            <w:tcW w:w="0" w:type="auto"/>
          </w:tcPr>
          <w:p w14:paraId="341C5FF2" w14:textId="77777777" w:rsidR="00721C98" w:rsidRDefault="00721C98"/>
        </w:tc>
        <w:tc>
          <w:tcPr>
            <w:tcW w:w="0" w:type="auto"/>
          </w:tcPr>
          <w:p w14:paraId="3F998CF9" w14:textId="77777777" w:rsidR="00721C98" w:rsidRDefault="00AE7B71">
            <w:pPr>
              <w:pStyle w:val="CellTextValue"/>
            </w:pPr>
            <w:r>
              <w:t>240.00</w:t>
            </w:r>
          </w:p>
        </w:tc>
        <w:tc>
          <w:tcPr>
            <w:tcW w:w="0" w:type="auto"/>
          </w:tcPr>
          <w:p w14:paraId="00C1FFEE" w14:textId="77777777" w:rsidR="00721C98" w:rsidRDefault="00721C98"/>
        </w:tc>
        <w:tc>
          <w:tcPr>
            <w:tcW w:w="0" w:type="auto"/>
          </w:tcPr>
          <w:p w14:paraId="2D840E46" w14:textId="77777777" w:rsidR="00721C98" w:rsidRDefault="00721C98"/>
        </w:tc>
      </w:tr>
    </w:tbl>
    <w:p w14:paraId="1730255B"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4CE0E49C" w14:textId="77777777" w:rsidTr="00DB4111">
        <w:tc>
          <w:tcPr>
            <w:tcW w:w="0" w:type="auto"/>
            <w:gridSpan w:val="2"/>
          </w:tcPr>
          <w:p w14:paraId="2D15C091" w14:textId="77777777" w:rsidR="00721C98" w:rsidRDefault="00AE7B71">
            <w:pPr>
              <w:pStyle w:val="CellTextValue"/>
            </w:pPr>
            <w:r>
              <w:rPr>
                <w:b/>
              </w:rPr>
              <w:t>General conditions relating to this call</w:t>
            </w:r>
          </w:p>
        </w:tc>
      </w:tr>
      <w:tr w:rsidR="00721C98" w14:paraId="3405FC8A" w14:textId="77777777">
        <w:tc>
          <w:tcPr>
            <w:tcW w:w="0" w:type="auto"/>
          </w:tcPr>
          <w:p w14:paraId="6AAF066B" w14:textId="77777777" w:rsidR="00721C98" w:rsidRDefault="00AE7B71">
            <w:pPr>
              <w:pStyle w:val="CellTextValue"/>
              <w:jc w:val="left"/>
            </w:pPr>
            <w:r>
              <w:rPr>
                <w:i/>
              </w:rPr>
              <w:t>Admissibility conditions</w:t>
            </w:r>
          </w:p>
        </w:tc>
        <w:tc>
          <w:tcPr>
            <w:tcW w:w="0" w:type="auto"/>
          </w:tcPr>
          <w:p w14:paraId="5796173A" w14:textId="77777777" w:rsidR="00721C98" w:rsidRDefault="00AE7B71">
            <w:pPr>
              <w:pStyle w:val="CellTextValue"/>
            </w:pPr>
            <w:r>
              <w:rPr>
                <w:color w:val="000000"/>
              </w:rPr>
              <w:t>The conditions are described in General Annex A.</w:t>
            </w:r>
          </w:p>
        </w:tc>
      </w:tr>
      <w:tr w:rsidR="00721C98" w14:paraId="44FA5E63" w14:textId="77777777">
        <w:tc>
          <w:tcPr>
            <w:tcW w:w="0" w:type="auto"/>
          </w:tcPr>
          <w:p w14:paraId="64B60642" w14:textId="77777777" w:rsidR="00721C98" w:rsidRDefault="00AE7B71">
            <w:pPr>
              <w:pStyle w:val="CellTextValue"/>
              <w:jc w:val="left"/>
            </w:pPr>
            <w:r>
              <w:rPr>
                <w:i/>
              </w:rPr>
              <w:lastRenderedPageBreak/>
              <w:t>Eligibility conditions</w:t>
            </w:r>
          </w:p>
        </w:tc>
        <w:tc>
          <w:tcPr>
            <w:tcW w:w="0" w:type="auto"/>
          </w:tcPr>
          <w:p w14:paraId="361B00CC" w14:textId="77777777" w:rsidR="00721C98" w:rsidRDefault="00AE7B71">
            <w:pPr>
              <w:pStyle w:val="CellTextValue"/>
            </w:pPr>
            <w:r>
              <w:rPr>
                <w:color w:val="000000"/>
              </w:rPr>
              <w:t>The conditions are described in General Annex B.</w:t>
            </w:r>
          </w:p>
        </w:tc>
      </w:tr>
      <w:tr w:rsidR="00721C98" w14:paraId="5BBB7AA5" w14:textId="77777777">
        <w:tc>
          <w:tcPr>
            <w:tcW w:w="0" w:type="auto"/>
          </w:tcPr>
          <w:p w14:paraId="5403D25B" w14:textId="77777777" w:rsidR="00721C98" w:rsidRDefault="00AE7B71">
            <w:pPr>
              <w:pStyle w:val="CellTextValue"/>
              <w:jc w:val="left"/>
            </w:pPr>
            <w:r>
              <w:rPr>
                <w:i/>
              </w:rPr>
              <w:t>Financial and operational capacity and exclusion</w:t>
            </w:r>
          </w:p>
        </w:tc>
        <w:tc>
          <w:tcPr>
            <w:tcW w:w="0" w:type="auto"/>
          </w:tcPr>
          <w:p w14:paraId="31A9D775" w14:textId="77777777" w:rsidR="00721C98" w:rsidRDefault="00AE7B71">
            <w:pPr>
              <w:pStyle w:val="CellTextValue"/>
            </w:pPr>
            <w:r>
              <w:rPr>
                <w:color w:val="000000"/>
              </w:rPr>
              <w:t>The criteria are described in General Annex C.</w:t>
            </w:r>
          </w:p>
        </w:tc>
      </w:tr>
      <w:tr w:rsidR="00721C98" w14:paraId="13902706" w14:textId="77777777">
        <w:tc>
          <w:tcPr>
            <w:tcW w:w="0" w:type="auto"/>
          </w:tcPr>
          <w:p w14:paraId="425CEF4C" w14:textId="77777777" w:rsidR="00721C98" w:rsidRDefault="00AE7B71">
            <w:pPr>
              <w:pStyle w:val="CellTextValue"/>
              <w:jc w:val="left"/>
            </w:pPr>
            <w:r>
              <w:rPr>
                <w:i/>
              </w:rPr>
              <w:t>Award criteria</w:t>
            </w:r>
          </w:p>
        </w:tc>
        <w:tc>
          <w:tcPr>
            <w:tcW w:w="0" w:type="auto"/>
          </w:tcPr>
          <w:p w14:paraId="02550AE8" w14:textId="77777777" w:rsidR="00721C98" w:rsidRDefault="00AE7B71">
            <w:pPr>
              <w:pStyle w:val="CellTextValue"/>
            </w:pPr>
            <w:r>
              <w:rPr>
                <w:color w:val="000000"/>
              </w:rPr>
              <w:t>The criteria are described in General Annex D.</w:t>
            </w:r>
          </w:p>
        </w:tc>
      </w:tr>
      <w:tr w:rsidR="00721C98" w14:paraId="6A393893" w14:textId="77777777">
        <w:tc>
          <w:tcPr>
            <w:tcW w:w="0" w:type="auto"/>
          </w:tcPr>
          <w:p w14:paraId="1C35C243" w14:textId="77777777" w:rsidR="00721C98" w:rsidRDefault="00AE7B71">
            <w:pPr>
              <w:pStyle w:val="CellTextValue"/>
              <w:jc w:val="left"/>
            </w:pPr>
            <w:r>
              <w:rPr>
                <w:i/>
              </w:rPr>
              <w:t>Documents</w:t>
            </w:r>
          </w:p>
        </w:tc>
        <w:tc>
          <w:tcPr>
            <w:tcW w:w="0" w:type="auto"/>
          </w:tcPr>
          <w:p w14:paraId="556A4DD8" w14:textId="77777777" w:rsidR="00721C98" w:rsidRDefault="00AE7B71">
            <w:pPr>
              <w:pStyle w:val="CellTextValue"/>
            </w:pPr>
            <w:r>
              <w:rPr>
                <w:color w:val="000000"/>
              </w:rPr>
              <w:t>The documents are described in General Annex E.</w:t>
            </w:r>
          </w:p>
        </w:tc>
      </w:tr>
      <w:tr w:rsidR="00721C98" w14:paraId="2FD84DD0" w14:textId="77777777">
        <w:tc>
          <w:tcPr>
            <w:tcW w:w="0" w:type="auto"/>
          </w:tcPr>
          <w:p w14:paraId="303C48D4" w14:textId="77777777" w:rsidR="00721C98" w:rsidRDefault="00AE7B71">
            <w:pPr>
              <w:pStyle w:val="CellTextValue"/>
              <w:jc w:val="left"/>
            </w:pPr>
            <w:r>
              <w:rPr>
                <w:i/>
              </w:rPr>
              <w:t>Procedure</w:t>
            </w:r>
          </w:p>
        </w:tc>
        <w:tc>
          <w:tcPr>
            <w:tcW w:w="0" w:type="auto"/>
          </w:tcPr>
          <w:p w14:paraId="13C2B64C" w14:textId="77777777" w:rsidR="00721C98" w:rsidRDefault="00AE7B71">
            <w:pPr>
              <w:pStyle w:val="CellTextValue"/>
            </w:pPr>
            <w:r>
              <w:rPr>
                <w:color w:val="000000"/>
              </w:rPr>
              <w:t>The procedure is described in General Annex F.</w:t>
            </w:r>
          </w:p>
        </w:tc>
      </w:tr>
      <w:tr w:rsidR="00721C98" w14:paraId="3860D7F2" w14:textId="77777777">
        <w:tc>
          <w:tcPr>
            <w:tcW w:w="0" w:type="auto"/>
          </w:tcPr>
          <w:p w14:paraId="182DF3FD" w14:textId="77777777" w:rsidR="00721C98" w:rsidRDefault="00AE7B71">
            <w:pPr>
              <w:pStyle w:val="CellTextValue"/>
              <w:jc w:val="left"/>
            </w:pPr>
            <w:r>
              <w:rPr>
                <w:i/>
              </w:rPr>
              <w:t>Legal and financial set-up of the Grant Agreements</w:t>
            </w:r>
          </w:p>
        </w:tc>
        <w:tc>
          <w:tcPr>
            <w:tcW w:w="0" w:type="auto"/>
          </w:tcPr>
          <w:p w14:paraId="35F5F911" w14:textId="77777777" w:rsidR="00721C98" w:rsidRDefault="00AE7B71">
            <w:pPr>
              <w:pStyle w:val="CellTextValue"/>
            </w:pPr>
            <w:r>
              <w:rPr>
                <w:color w:val="000000"/>
              </w:rPr>
              <w:t>The rules are described in General Annex G.</w:t>
            </w:r>
          </w:p>
        </w:tc>
      </w:tr>
    </w:tbl>
    <w:p w14:paraId="76491F6D" w14:textId="77777777" w:rsidR="00721C98" w:rsidRDefault="00721C98">
      <w:pPr>
        <w:spacing w:after="0" w:line="150" w:lineRule="auto"/>
      </w:pPr>
    </w:p>
    <w:p w14:paraId="6E47817F" w14:textId="77777777" w:rsidR="00721C98" w:rsidRPr="00DB4111" w:rsidRDefault="00AE7B71">
      <w:pPr>
        <w:pStyle w:val="HeadingTwo"/>
        <w:rPr>
          <w:lang w:val="en-IE"/>
        </w:rPr>
      </w:pPr>
      <w:r w:rsidRPr="00DB4111">
        <w:rPr>
          <w:lang w:val="en-IE"/>
        </w:rPr>
        <w:t>Call - ERA Fellowships</w:t>
      </w:r>
    </w:p>
    <w:p w14:paraId="483FCA5D" w14:textId="77777777" w:rsidR="00721C98" w:rsidRDefault="00AE7B71">
      <w:pPr>
        <w:pStyle w:val="CallIdentifier"/>
      </w:pPr>
      <w:r>
        <w:t>HORIZON-WIDERA-2027-03</w:t>
      </w:r>
    </w:p>
    <w:p w14:paraId="52433AE9" w14:textId="77777777" w:rsidR="00721C98" w:rsidRDefault="00AE7B71">
      <w:pPr>
        <w:pStyle w:val="HeadingThree"/>
      </w:pPr>
      <w:r>
        <w:t>Overview of this call</w:t>
      </w:r>
      <w:r>
        <w:rPr>
          <w:vertAlign w:val="superscript"/>
        </w:rPr>
        <w:footnoteReference w:id="25"/>
      </w:r>
    </w:p>
    <w:p w14:paraId="7837D069"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044"/>
        <w:gridCol w:w="2647"/>
        <w:gridCol w:w="1017"/>
        <w:gridCol w:w="1404"/>
        <w:gridCol w:w="1190"/>
      </w:tblGrid>
      <w:tr w:rsidR="00721C98" w14:paraId="1CBF916E" w14:textId="77777777">
        <w:tc>
          <w:tcPr>
            <w:tcW w:w="2000" w:type="dxa"/>
            <w:vMerge w:val="restart"/>
          </w:tcPr>
          <w:p w14:paraId="10434F33" w14:textId="77777777" w:rsidR="00721C98" w:rsidRDefault="00AE7B71">
            <w:pPr>
              <w:pStyle w:val="CellHeaderTextValue"/>
            </w:pPr>
            <w:r>
              <w:t>Topics</w:t>
            </w:r>
          </w:p>
        </w:tc>
        <w:tc>
          <w:tcPr>
            <w:tcW w:w="800" w:type="dxa"/>
            <w:vMerge w:val="restart"/>
          </w:tcPr>
          <w:p w14:paraId="0141FF2B" w14:textId="77777777" w:rsidR="00721C98" w:rsidRDefault="00AE7B71">
            <w:pPr>
              <w:pStyle w:val="CellHeaderTextValue"/>
            </w:pPr>
            <w:r>
              <w:t>Type of Action</w:t>
            </w:r>
          </w:p>
        </w:tc>
        <w:tc>
          <w:tcPr>
            <w:tcW w:w="0" w:type="auto"/>
          </w:tcPr>
          <w:p w14:paraId="5BE6CB78" w14:textId="77777777" w:rsidR="00721C98" w:rsidRDefault="00AE7B71">
            <w:pPr>
              <w:pStyle w:val="CellHeaderTextValue"/>
            </w:pPr>
            <w:r>
              <w:t>Budgets (EUR million)</w:t>
            </w:r>
          </w:p>
        </w:tc>
        <w:tc>
          <w:tcPr>
            <w:tcW w:w="0" w:type="auto"/>
            <w:vMerge w:val="restart"/>
          </w:tcPr>
          <w:p w14:paraId="401892F0" w14:textId="77777777" w:rsidR="00721C98" w:rsidRPr="00DB4111" w:rsidRDefault="00AE7B71">
            <w:pPr>
              <w:pStyle w:val="CellHeaderTextValue"/>
              <w:rPr>
                <w:lang w:val="fr-BE"/>
              </w:rPr>
            </w:pPr>
            <w:r w:rsidRPr="00DB4111">
              <w:rPr>
                <w:lang w:val="fr-BE"/>
              </w:rPr>
              <w:t>Expected EU contribution per project (EUR million)</w:t>
            </w:r>
          </w:p>
        </w:tc>
        <w:tc>
          <w:tcPr>
            <w:tcW w:w="800" w:type="dxa"/>
            <w:vMerge w:val="restart"/>
          </w:tcPr>
          <w:p w14:paraId="09C9C60D" w14:textId="77777777" w:rsidR="00721C98" w:rsidRDefault="00AE7B71">
            <w:pPr>
              <w:pStyle w:val="CellHeaderTextValue"/>
            </w:pPr>
            <w:r>
              <w:t>Indicative number of projects expected to be funded</w:t>
            </w:r>
          </w:p>
        </w:tc>
      </w:tr>
      <w:tr w:rsidR="00721C98" w14:paraId="69B79566" w14:textId="77777777">
        <w:tc>
          <w:tcPr>
            <w:tcW w:w="0" w:type="auto"/>
            <w:vMerge/>
          </w:tcPr>
          <w:p w14:paraId="7C3ADEFB" w14:textId="77777777" w:rsidR="00721C98" w:rsidRDefault="00721C98"/>
        </w:tc>
        <w:tc>
          <w:tcPr>
            <w:tcW w:w="0" w:type="auto"/>
            <w:vMerge/>
          </w:tcPr>
          <w:p w14:paraId="798941F6" w14:textId="77777777" w:rsidR="00721C98" w:rsidRDefault="00721C98"/>
        </w:tc>
        <w:tc>
          <w:tcPr>
            <w:tcW w:w="0" w:type="auto"/>
          </w:tcPr>
          <w:p w14:paraId="21B46119" w14:textId="77777777" w:rsidR="00721C98" w:rsidRDefault="00AE7B71">
            <w:pPr>
              <w:pStyle w:val="CellHeaderTextValue"/>
            </w:pPr>
            <w:r>
              <w:t>2027</w:t>
            </w:r>
          </w:p>
        </w:tc>
        <w:tc>
          <w:tcPr>
            <w:tcW w:w="0" w:type="auto"/>
            <w:vMerge/>
          </w:tcPr>
          <w:p w14:paraId="1FFDB0C2" w14:textId="77777777" w:rsidR="00721C98" w:rsidRDefault="00721C98"/>
        </w:tc>
        <w:tc>
          <w:tcPr>
            <w:tcW w:w="0" w:type="auto"/>
            <w:vMerge/>
          </w:tcPr>
          <w:p w14:paraId="6272D08D" w14:textId="77777777" w:rsidR="00721C98" w:rsidRDefault="00721C98"/>
        </w:tc>
      </w:tr>
      <w:tr w:rsidR="00DB4111" w14:paraId="26A22700" w14:textId="77777777" w:rsidTr="00DB4111">
        <w:tc>
          <w:tcPr>
            <w:tcW w:w="0" w:type="auto"/>
            <w:gridSpan w:val="5"/>
          </w:tcPr>
          <w:p w14:paraId="42EB64A3" w14:textId="77777777" w:rsidR="00721C98" w:rsidRDefault="00AE7B71">
            <w:pPr>
              <w:pStyle w:val="CellTextValue"/>
              <w:jc w:val="center"/>
            </w:pPr>
            <w:r>
              <w:t>Opening: 07 Apr 2027</w:t>
            </w:r>
          </w:p>
          <w:p w14:paraId="5B80A159" w14:textId="77777777" w:rsidR="00721C98" w:rsidRDefault="00AE7B71">
            <w:pPr>
              <w:pStyle w:val="CellTextValue"/>
              <w:jc w:val="center"/>
            </w:pPr>
            <w:r>
              <w:t>Deadline(s): 08 Sep 2027</w:t>
            </w:r>
          </w:p>
        </w:tc>
      </w:tr>
      <w:tr w:rsidR="00DB4111" w14:paraId="665BA79E" w14:textId="77777777" w:rsidTr="00DB4111">
        <w:tc>
          <w:tcPr>
            <w:tcW w:w="0" w:type="auto"/>
            <w:gridSpan w:val="5"/>
          </w:tcPr>
          <w:p w14:paraId="35BEE9DE" w14:textId="77777777" w:rsidR="00721C98" w:rsidRDefault="00AE7B71">
            <w:pPr>
              <w:pStyle w:val="CellTextValue"/>
            </w:pPr>
            <w:r>
              <w:t>Destination: Widening participation and spreading excellence</w:t>
            </w:r>
          </w:p>
        </w:tc>
      </w:tr>
      <w:tr w:rsidR="00721C98" w14:paraId="096B9703" w14:textId="77777777">
        <w:tc>
          <w:tcPr>
            <w:tcW w:w="0" w:type="auto"/>
          </w:tcPr>
          <w:p w14:paraId="653A49D7" w14:textId="77777777" w:rsidR="00721C98" w:rsidRDefault="00AE7B71">
            <w:pPr>
              <w:pStyle w:val="CellTextValue"/>
            </w:pPr>
            <w:r>
              <w:t xml:space="preserve">HORIZON-WIDERA-2027-03-WIDENING-01: ERA </w:t>
            </w:r>
            <w:r>
              <w:lastRenderedPageBreak/>
              <w:t>Fellowships</w:t>
            </w:r>
          </w:p>
        </w:tc>
        <w:tc>
          <w:tcPr>
            <w:tcW w:w="0" w:type="auto"/>
          </w:tcPr>
          <w:p w14:paraId="082F9719" w14:textId="77777777" w:rsidR="00721C98" w:rsidRDefault="00AE7B71">
            <w:pPr>
              <w:pStyle w:val="CellTextValue"/>
            </w:pPr>
            <w:r>
              <w:lastRenderedPageBreak/>
              <w:t xml:space="preserve">TMA Postdoctoral Fellowships - European </w:t>
            </w:r>
            <w:r>
              <w:lastRenderedPageBreak/>
              <w:t>Fellowships</w:t>
            </w:r>
          </w:p>
        </w:tc>
        <w:tc>
          <w:tcPr>
            <w:tcW w:w="0" w:type="auto"/>
            <w:vMerge w:val="restart"/>
          </w:tcPr>
          <w:p w14:paraId="24C45354" w14:textId="77777777" w:rsidR="00721C98" w:rsidRDefault="00AE7B71">
            <w:pPr>
              <w:pStyle w:val="CellTextValue"/>
            </w:pPr>
            <w:r>
              <w:lastRenderedPageBreak/>
              <w:t>8.00</w:t>
            </w:r>
          </w:p>
        </w:tc>
        <w:tc>
          <w:tcPr>
            <w:tcW w:w="0" w:type="auto"/>
          </w:tcPr>
          <w:p w14:paraId="1ABD8EAA" w14:textId="77777777" w:rsidR="00721C98" w:rsidRDefault="00721C98"/>
        </w:tc>
        <w:tc>
          <w:tcPr>
            <w:tcW w:w="0" w:type="auto"/>
          </w:tcPr>
          <w:p w14:paraId="7516DEBB" w14:textId="77777777" w:rsidR="00721C98" w:rsidRDefault="00AE7B71">
            <w:pPr>
              <w:pStyle w:val="CellTextValue"/>
            </w:pPr>
            <w:r>
              <w:t>50</w:t>
            </w:r>
          </w:p>
        </w:tc>
      </w:tr>
      <w:tr w:rsidR="00721C98" w14:paraId="18F29EC2" w14:textId="77777777">
        <w:tc>
          <w:tcPr>
            <w:tcW w:w="0" w:type="auto"/>
          </w:tcPr>
          <w:p w14:paraId="7F8CF0EE" w14:textId="77777777" w:rsidR="00721C98" w:rsidRDefault="00AE7B71">
            <w:pPr>
              <w:pStyle w:val="CellTextValue"/>
            </w:pPr>
            <w:r>
              <w:t>Overall indicative budget</w:t>
            </w:r>
          </w:p>
        </w:tc>
        <w:tc>
          <w:tcPr>
            <w:tcW w:w="0" w:type="auto"/>
          </w:tcPr>
          <w:p w14:paraId="5D03C60E" w14:textId="77777777" w:rsidR="00721C98" w:rsidRDefault="00721C98"/>
        </w:tc>
        <w:tc>
          <w:tcPr>
            <w:tcW w:w="0" w:type="auto"/>
          </w:tcPr>
          <w:p w14:paraId="74D200FE" w14:textId="77777777" w:rsidR="00721C98" w:rsidRDefault="00AE7B71">
            <w:pPr>
              <w:pStyle w:val="CellTextValue"/>
            </w:pPr>
            <w:r>
              <w:t>8.00</w:t>
            </w:r>
          </w:p>
        </w:tc>
        <w:tc>
          <w:tcPr>
            <w:tcW w:w="0" w:type="auto"/>
          </w:tcPr>
          <w:p w14:paraId="377CFE6B" w14:textId="77777777" w:rsidR="00721C98" w:rsidRDefault="00721C98"/>
        </w:tc>
        <w:tc>
          <w:tcPr>
            <w:tcW w:w="0" w:type="auto"/>
          </w:tcPr>
          <w:p w14:paraId="5139294F" w14:textId="77777777" w:rsidR="00721C98" w:rsidRDefault="00721C98"/>
        </w:tc>
      </w:tr>
    </w:tbl>
    <w:p w14:paraId="2EC130E6"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2E1264C0" w14:textId="77777777" w:rsidTr="00DB4111">
        <w:tc>
          <w:tcPr>
            <w:tcW w:w="0" w:type="auto"/>
            <w:gridSpan w:val="2"/>
          </w:tcPr>
          <w:p w14:paraId="447DB8C7" w14:textId="77777777" w:rsidR="00721C98" w:rsidRDefault="00AE7B71">
            <w:pPr>
              <w:pStyle w:val="CellTextValue"/>
            </w:pPr>
            <w:r>
              <w:rPr>
                <w:b/>
              </w:rPr>
              <w:t>General conditions relating to this call</w:t>
            </w:r>
          </w:p>
        </w:tc>
      </w:tr>
      <w:tr w:rsidR="00721C98" w14:paraId="31841D45" w14:textId="77777777">
        <w:tc>
          <w:tcPr>
            <w:tcW w:w="0" w:type="auto"/>
          </w:tcPr>
          <w:p w14:paraId="12AFE342" w14:textId="77777777" w:rsidR="00721C98" w:rsidRDefault="00AE7B71">
            <w:pPr>
              <w:pStyle w:val="CellTextValue"/>
              <w:jc w:val="left"/>
            </w:pPr>
            <w:r>
              <w:rPr>
                <w:i/>
              </w:rPr>
              <w:t>Admissibility conditions</w:t>
            </w:r>
          </w:p>
        </w:tc>
        <w:tc>
          <w:tcPr>
            <w:tcW w:w="0" w:type="auto"/>
          </w:tcPr>
          <w:p w14:paraId="00AE15B9" w14:textId="77777777" w:rsidR="00721C98" w:rsidRDefault="00AE7B71">
            <w:pPr>
              <w:pStyle w:val="CellTextValue"/>
            </w:pPr>
            <w:r>
              <w:rPr>
                <w:color w:val="000000"/>
              </w:rPr>
              <w:t>The conditions are described in General Annex A.</w:t>
            </w:r>
          </w:p>
        </w:tc>
      </w:tr>
      <w:tr w:rsidR="00721C98" w14:paraId="23699E58" w14:textId="77777777">
        <w:tc>
          <w:tcPr>
            <w:tcW w:w="0" w:type="auto"/>
          </w:tcPr>
          <w:p w14:paraId="3463A959" w14:textId="77777777" w:rsidR="00721C98" w:rsidRDefault="00AE7B71">
            <w:pPr>
              <w:pStyle w:val="CellTextValue"/>
              <w:jc w:val="left"/>
            </w:pPr>
            <w:r>
              <w:rPr>
                <w:i/>
              </w:rPr>
              <w:t>Eligibility conditions</w:t>
            </w:r>
          </w:p>
        </w:tc>
        <w:tc>
          <w:tcPr>
            <w:tcW w:w="0" w:type="auto"/>
          </w:tcPr>
          <w:p w14:paraId="6E649308" w14:textId="77777777" w:rsidR="00721C98" w:rsidRDefault="00AE7B71">
            <w:pPr>
              <w:pStyle w:val="CellTextValue"/>
            </w:pPr>
            <w:r>
              <w:rPr>
                <w:color w:val="000000"/>
              </w:rPr>
              <w:t>The conditions are described in General Annex B.</w:t>
            </w:r>
          </w:p>
        </w:tc>
      </w:tr>
      <w:tr w:rsidR="00721C98" w14:paraId="0E32068D" w14:textId="77777777">
        <w:tc>
          <w:tcPr>
            <w:tcW w:w="0" w:type="auto"/>
          </w:tcPr>
          <w:p w14:paraId="25EC5E94" w14:textId="77777777" w:rsidR="00721C98" w:rsidRDefault="00AE7B71">
            <w:pPr>
              <w:pStyle w:val="CellTextValue"/>
              <w:jc w:val="left"/>
            </w:pPr>
            <w:r>
              <w:rPr>
                <w:i/>
              </w:rPr>
              <w:t>Financial and operational capacity and exclusion</w:t>
            </w:r>
          </w:p>
        </w:tc>
        <w:tc>
          <w:tcPr>
            <w:tcW w:w="0" w:type="auto"/>
          </w:tcPr>
          <w:p w14:paraId="77F5079D" w14:textId="77777777" w:rsidR="00721C98" w:rsidRDefault="00AE7B71">
            <w:pPr>
              <w:pStyle w:val="CellTextValue"/>
            </w:pPr>
            <w:r>
              <w:rPr>
                <w:color w:val="000000"/>
              </w:rPr>
              <w:t>The criteria are described in General Annex C.</w:t>
            </w:r>
          </w:p>
        </w:tc>
      </w:tr>
      <w:tr w:rsidR="00721C98" w14:paraId="0B73C90E" w14:textId="77777777">
        <w:tc>
          <w:tcPr>
            <w:tcW w:w="0" w:type="auto"/>
          </w:tcPr>
          <w:p w14:paraId="30321415" w14:textId="77777777" w:rsidR="00721C98" w:rsidRDefault="00AE7B71">
            <w:pPr>
              <w:pStyle w:val="CellTextValue"/>
              <w:jc w:val="left"/>
            </w:pPr>
            <w:r>
              <w:rPr>
                <w:i/>
              </w:rPr>
              <w:t>Award criteria</w:t>
            </w:r>
          </w:p>
        </w:tc>
        <w:tc>
          <w:tcPr>
            <w:tcW w:w="0" w:type="auto"/>
          </w:tcPr>
          <w:p w14:paraId="0C3940B3" w14:textId="77777777" w:rsidR="00721C98" w:rsidRDefault="00AE7B71">
            <w:pPr>
              <w:pStyle w:val="CellTextValue"/>
            </w:pPr>
            <w:r>
              <w:rPr>
                <w:color w:val="000000"/>
              </w:rPr>
              <w:t>The criteria are described in General Annex D.</w:t>
            </w:r>
          </w:p>
        </w:tc>
      </w:tr>
      <w:tr w:rsidR="00721C98" w14:paraId="1AFA8B17" w14:textId="77777777">
        <w:tc>
          <w:tcPr>
            <w:tcW w:w="0" w:type="auto"/>
          </w:tcPr>
          <w:p w14:paraId="73F4D023" w14:textId="77777777" w:rsidR="00721C98" w:rsidRDefault="00AE7B71">
            <w:pPr>
              <w:pStyle w:val="CellTextValue"/>
              <w:jc w:val="left"/>
            </w:pPr>
            <w:r>
              <w:rPr>
                <w:i/>
              </w:rPr>
              <w:t>Documents</w:t>
            </w:r>
          </w:p>
        </w:tc>
        <w:tc>
          <w:tcPr>
            <w:tcW w:w="0" w:type="auto"/>
          </w:tcPr>
          <w:p w14:paraId="11E1B572" w14:textId="77777777" w:rsidR="00721C98" w:rsidRDefault="00AE7B71">
            <w:pPr>
              <w:pStyle w:val="CellTextValue"/>
            </w:pPr>
            <w:r>
              <w:rPr>
                <w:color w:val="000000"/>
              </w:rPr>
              <w:t>The documents are described in General Annex E.</w:t>
            </w:r>
          </w:p>
        </w:tc>
      </w:tr>
      <w:tr w:rsidR="00721C98" w14:paraId="247D104D" w14:textId="77777777">
        <w:tc>
          <w:tcPr>
            <w:tcW w:w="0" w:type="auto"/>
          </w:tcPr>
          <w:p w14:paraId="18B6BF6F" w14:textId="77777777" w:rsidR="00721C98" w:rsidRDefault="00AE7B71">
            <w:pPr>
              <w:pStyle w:val="CellTextValue"/>
              <w:jc w:val="left"/>
            </w:pPr>
            <w:r>
              <w:rPr>
                <w:i/>
              </w:rPr>
              <w:t>Procedure</w:t>
            </w:r>
          </w:p>
        </w:tc>
        <w:tc>
          <w:tcPr>
            <w:tcW w:w="0" w:type="auto"/>
          </w:tcPr>
          <w:p w14:paraId="35DAC324" w14:textId="77777777" w:rsidR="00721C98" w:rsidRDefault="00AE7B71">
            <w:pPr>
              <w:pStyle w:val="CellTextValue"/>
            </w:pPr>
            <w:r>
              <w:rPr>
                <w:color w:val="000000"/>
              </w:rPr>
              <w:t>The procedure is described in General Annex F.</w:t>
            </w:r>
          </w:p>
        </w:tc>
      </w:tr>
      <w:tr w:rsidR="00721C98" w14:paraId="6313C221" w14:textId="77777777">
        <w:tc>
          <w:tcPr>
            <w:tcW w:w="0" w:type="auto"/>
          </w:tcPr>
          <w:p w14:paraId="6CE713BD" w14:textId="77777777" w:rsidR="00721C98" w:rsidRDefault="00AE7B71">
            <w:pPr>
              <w:pStyle w:val="CellTextValue"/>
              <w:jc w:val="left"/>
            </w:pPr>
            <w:r>
              <w:rPr>
                <w:i/>
              </w:rPr>
              <w:t>Legal and financial set-up of the Grant Agreements</w:t>
            </w:r>
          </w:p>
        </w:tc>
        <w:tc>
          <w:tcPr>
            <w:tcW w:w="0" w:type="auto"/>
          </w:tcPr>
          <w:p w14:paraId="77ED3B95" w14:textId="77777777" w:rsidR="00721C98" w:rsidRDefault="00AE7B71">
            <w:pPr>
              <w:pStyle w:val="CellTextValue"/>
            </w:pPr>
            <w:r>
              <w:rPr>
                <w:color w:val="000000"/>
              </w:rPr>
              <w:t>The rules are described in General Annex G.</w:t>
            </w:r>
          </w:p>
        </w:tc>
      </w:tr>
    </w:tbl>
    <w:p w14:paraId="080B67B3" w14:textId="77777777" w:rsidR="00721C98" w:rsidRDefault="00721C98">
      <w:pPr>
        <w:spacing w:after="0" w:line="150" w:lineRule="auto"/>
      </w:pPr>
    </w:p>
    <w:p w14:paraId="3895ED3C" w14:textId="77777777" w:rsidR="00721C98" w:rsidRPr="00DB4111" w:rsidRDefault="00AE7B71">
      <w:pPr>
        <w:pStyle w:val="HeadingTwo"/>
        <w:rPr>
          <w:lang w:val="en-IE"/>
        </w:rPr>
      </w:pPr>
      <w:r w:rsidRPr="00DB4111">
        <w:rPr>
          <w:lang w:val="en-IE"/>
        </w:rPr>
        <w:t>Call - Excellence Hubs</w:t>
      </w:r>
    </w:p>
    <w:p w14:paraId="6ABADAE8" w14:textId="77777777" w:rsidR="00721C98" w:rsidRDefault="00AE7B71">
      <w:pPr>
        <w:pStyle w:val="CallIdentifier"/>
      </w:pPr>
      <w:r>
        <w:t>HORIZON-WIDERA-2027-04</w:t>
      </w:r>
    </w:p>
    <w:p w14:paraId="1D6CD465" w14:textId="77777777" w:rsidR="00721C98" w:rsidRDefault="00AE7B71">
      <w:pPr>
        <w:pStyle w:val="HeadingThree"/>
      </w:pPr>
      <w:r>
        <w:t>Overview of this call</w:t>
      </w:r>
      <w:r>
        <w:rPr>
          <w:vertAlign w:val="superscript"/>
        </w:rPr>
        <w:footnoteReference w:id="26"/>
      </w:r>
    </w:p>
    <w:p w14:paraId="731CDF8F"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284"/>
        <w:gridCol w:w="884"/>
        <w:gridCol w:w="770"/>
        <w:gridCol w:w="770"/>
        <w:gridCol w:w="1404"/>
        <w:gridCol w:w="1190"/>
      </w:tblGrid>
      <w:tr w:rsidR="00DB4111" w14:paraId="58568035" w14:textId="77777777" w:rsidTr="00DB4111">
        <w:tc>
          <w:tcPr>
            <w:tcW w:w="2000" w:type="dxa"/>
            <w:vMerge w:val="restart"/>
          </w:tcPr>
          <w:p w14:paraId="35B96BFC" w14:textId="77777777" w:rsidR="00721C98" w:rsidRDefault="00AE7B71">
            <w:pPr>
              <w:pStyle w:val="CellHeaderTextValue"/>
            </w:pPr>
            <w:r>
              <w:t>Topics</w:t>
            </w:r>
          </w:p>
        </w:tc>
        <w:tc>
          <w:tcPr>
            <w:tcW w:w="800" w:type="dxa"/>
            <w:vMerge w:val="restart"/>
          </w:tcPr>
          <w:p w14:paraId="25705FEA" w14:textId="77777777" w:rsidR="00721C98" w:rsidRDefault="00AE7B71">
            <w:pPr>
              <w:pStyle w:val="CellHeaderTextValue"/>
            </w:pPr>
            <w:r>
              <w:t>Type of Action</w:t>
            </w:r>
          </w:p>
        </w:tc>
        <w:tc>
          <w:tcPr>
            <w:tcW w:w="0" w:type="auto"/>
            <w:gridSpan w:val="2"/>
          </w:tcPr>
          <w:p w14:paraId="631C64C7" w14:textId="77777777" w:rsidR="00721C98" w:rsidRDefault="00AE7B71">
            <w:pPr>
              <w:pStyle w:val="CellHeaderTextValue"/>
            </w:pPr>
            <w:r>
              <w:t>Budgets (EUR million)</w:t>
            </w:r>
          </w:p>
        </w:tc>
        <w:tc>
          <w:tcPr>
            <w:tcW w:w="0" w:type="auto"/>
            <w:vMerge w:val="restart"/>
          </w:tcPr>
          <w:p w14:paraId="36DEF47C" w14:textId="77777777" w:rsidR="00721C98" w:rsidRPr="00DB4111" w:rsidRDefault="00AE7B71">
            <w:pPr>
              <w:pStyle w:val="CellHeaderTextValue"/>
              <w:rPr>
                <w:lang w:val="fr-BE"/>
              </w:rPr>
            </w:pPr>
            <w:r w:rsidRPr="00DB4111">
              <w:rPr>
                <w:lang w:val="fr-BE"/>
              </w:rPr>
              <w:t xml:space="preserve">Expected EU contribution per project </w:t>
            </w:r>
            <w:r w:rsidRPr="00DB4111">
              <w:rPr>
                <w:lang w:val="fr-BE"/>
              </w:rPr>
              <w:lastRenderedPageBreak/>
              <w:t>(EUR million)</w:t>
            </w:r>
            <w:r>
              <w:rPr>
                <w:vertAlign w:val="superscript"/>
              </w:rPr>
              <w:footnoteReference w:id="27"/>
            </w:r>
          </w:p>
        </w:tc>
        <w:tc>
          <w:tcPr>
            <w:tcW w:w="800" w:type="dxa"/>
            <w:vMerge w:val="restart"/>
          </w:tcPr>
          <w:p w14:paraId="2256004E" w14:textId="77777777" w:rsidR="00721C98" w:rsidRDefault="00AE7B71">
            <w:pPr>
              <w:pStyle w:val="CellHeaderTextValue"/>
            </w:pPr>
            <w:r>
              <w:lastRenderedPageBreak/>
              <w:t xml:space="preserve">Indicative number of projects </w:t>
            </w:r>
            <w:r>
              <w:lastRenderedPageBreak/>
              <w:t>expected to be funded</w:t>
            </w:r>
          </w:p>
        </w:tc>
      </w:tr>
      <w:tr w:rsidR="00721C98" w14:paraId="76956341" w14:textId="77777777">
        <w:tc>
          <w:tcPr>
            <w:tcW w:w="0" w:type="auto"/>
            <w:vMerge/>
          </w:tcPr>
          <w:p w14:paraId="09816339" w14:textId="77777777" w:rsidR="00721C98" w:rsidRDefault="00721C98"/>
        </w:tc>
        <w:tc>
          <w:tcPr>
            <w:tcW w:w="0" w:type="auto"/>
            <w:vMerge/>
          </w:tcPr>
          <w:p w14:paraId="43C83FBF" w14:textId="77777777" w:rsidR="00721C98" w:rsidRDefault="00721C98"/>
        </w:tc>
        <w:tc>
          <w:tcPr>
            <w:tcW w:w="0" w:type="auto"/>
          </w:tcPr>
          <w:p w14:paraId="74426B82" w14:textId="77777777" w:rsidR="00721C98" w:rsidRDefault="00AE7B71">
            <w:pPr>
              <w:pStyle w:val="CellHeaderTextValue"/>
            </w:pPr>
            <w:r>
              <w:t>2026</w:t>
            </w:r>
          </w:p>
        </w:tc>
        <w:tc>
          <w:tcPr>
            <w:tcW w:w="0" w:type="auto"/>
          </w:tcPr>
          <w:p w14:paraId="3323545C" w14:textId="77777777" w:rsidR="00721C98" w:rsidRDefault="00AE7B71">
            <w:pPr>
              <w:pStyle w:val="CellHeaderTextValue"/>
            </w:pPr>
            <w:r>
              <w:t>2027</w:t>
            </w:r>
          </w:p>
        </w:tc>
        <w:tc>
          <w:tcPr>
            <w:tcW w:w="0" w:type="auto"/>
            <w:vMerge/>
          </w:tcPr>
          <w:p w14:paraId="6D682A41" w14:textId="77777777" w:rsidR="00721C98" w:rsidRDefault="00721C98"/>
        </w:tc>
        <w:tc>
          <w:tcPr>
            <w:tcW w:w="0" w:type="auto"/>
            <w:vMerge/>
          </w:tcPr>
          <w:p w14:paraId="502A01D7" w14:textId="77777777" w:rsidR="00721C98" w:rsidRDefault="00721C98"/>
        </w:tc>
      </w:tr>
      <w:tr w:rsidR="00DB4111" w14:paraId="15513278" w14:textId="77777777" w:rsidTr="00DB4111">
        <w:tc>
          <w:tcPr>
            <w:tcW w:w="0" w:type="auto"/>
            <w:gridSpan w:val="6"/>
          </w:tcPr>
          <w:p w14:paraId="5C0D9FC2" w14:textId="77777777" w:rsidR="00721C98" w:rsidRDefault="00AE7B71">
            <w:pPr>
              <w:pStyle w:val="CellTextValue"/>
              <w:jc w:val="center"/>
            </w:pPr>
            <w:r>
              <w:t>Opening: 02 Sep 2026</w:t>
            </w:r>
          </w:p>
          <w:p w14:paraId="11B6CC17" w14:textId="77777777" w:rsidR="00721C98" w:rsidRDefault="00AE7B71">
            <w:pPr>
              <w:pStyle w:val="CellTextValue"/>
              <w:jc w:val="center"/>
            </w:pPr>
            <w:r>
              <w:t>Deadline(s): 04 Mar 2027</w:t>
            </w:r>
          </w:p>
        </w:tc>
      </w:tr>
      <w:tr w:rsidR="00DB4111" w14:paraId="56E0CB59" w14:textId="77777777" w:rsidTr="00DB4111">
        <w:tc>
          <w:tcPr>
            <w:tcW w:w="0" w:type="auto"/>
            <w:gridSpan w:val="6"/>
          </w:tcPr>
          <w:p w14:paraId="6709F085" w14:textId="77777777" w:rsidR="00721C98" w:rsidRDefault="00AE7B71">
            <w:pPr>
              <w:pStyle w:val="CellTextValue"/>
            </w:pPr>
            <w:r>
              <w:t>Destination: Widening participation and spreading excellence</w:t>
            </w:r>
          </w:p>
        </w:tc>
      </w:tr>
      <w:tr w:rsidR="00721C98" w14:paraId="3C080380" w14:textId="77777777">
        <w:tc>
          <w:tcPr>
            <w:tcW w:w="0" w:type="auto"/>
          </w:tcPr>
          <w:p w14:paraId="08E5F6D1" w14:textId="77777777" w:rsidR="00721C98" w:rsidRDefault="00AE7B71">
            <w:pPr>
              <w:pStyle w:val="CellTextValue"/>
            </w:pPr>
            <w:r>
              <w:t>HORIZON-WIDERA-2027-04-WIDENING-01: Excellence Hubs</w:t>
            </w:r>
          </w:p>
        </w:tc>
        <w:tc>
          <w:tcPr>
            <w:tcW w:w="0" w:type="auto"/>
          </w:tcPr>
          <w:p w14:paraId="793A6F76" w14:textId="77777777" w:rsidR="00721C98" w:rsidRDefault="00AE7B71">
            <w:pPr>
              <w:pStyle w:val="CellTextValue"/>
            </w:pPr>
            <w:r>
              <w:t>CSA</w:t>
            </w:r>
          </w:p>
        </w:tc>
        <w:tc>
          <w:tcPr>
            <w:tcW w:w="0" w:type="auto"/>
            <w:vMerge w:val="restart"/>
          </w:tcPr>
          <w:p w14:paraId="51D30345" w14:textId="77777777" w:rsidR="00721C98" w:rsidRDefault="00AE7B71">
            <w:pPr>
              <w:pStyle w:val="CellTextValue"/>
            </w:pPr>
            <w:r>
              <w:t>15.00</w:t>
            </w:r>
          </w:p>
        </w:tc>
        <w:tc>
          <w:tcPr>
            <w:tcW w:w="0" w:type="auto"/>
            <w:vMerge w:val="restart"/>
          </w:tcPr>
          <w:p w14:paraId="27313C38" w14:textId="77777777" w:rsidR="00721C98" w:rsidRDefault="00AE7B71">
            <w:pPr>
              <w:pStyle w:val="CellTextValue"/>
            </w:pPr>
            <w:r>
              <w:t>85.00</w:t>
            </w:r>
          </w:p>
        </w:tc>
        <w:tc>
          <w:tcPr>
            <w:tcW w:w="0" w:type="auto"/>
          </w:tcPr>
          <w:p w14:paraId="26DFF521" w14:textId="77777777" w:rsidR="00721C98" w:rsidRDefault="00AE7B71">
            <w:pPr>
              <w:pStyle w:val="CellTextValue"/>
            </w:pPr>
            <w:r>
              <w:t>1.50 to 4.50</w:t>
            </w:r>
          </w:p>
        </w:tc>
        <w:tc>
          <w:tcPr>
            <w:tcW w:w="0" w:type="auto"/>
          </w:tcPr>
          <w:p w14:paraId="78CBC315" w14:textId="77777777" w:rsidR="00721C98" w:rsidRDefault="00AE7B71">
            <w:pPr>
              <w:pStyle w:val="CellTextValue"/>
            </w:pPr>
            <w:r>
              <w:t>30</w:t>
            </w:r>
          </w:p>
        </w:tc>
      </w:tr>
      <w:tr w:rsidR="00721C98" w14:paraId="12602F0C" w14:textId="77777777">
        <w:tc>
          <w:tcPr>
            <w:tcW w:w="0" w:type="auto"/>
          </w:tcPr>
          <w:p w14:paraId="1A7B1D8B" w14:textId="77777777" w:rsidR="00721C98" w:rsidRDefault="00AE7B71">
            <w:pPr>
              <w:pStyle w:val="CellTextValue"/>
            </w:pPr>
            <w:r>
              <w:t>Overall indicative budget</w:t>
            </w:r>
          </w:p>
        </w:tc>
        <w:tc>
          <w:tcPr>
            <w:tcW w:w="0" w:type="auto"/>
          </w:tcPr>
          <w:p w14:paraId="00292163" w14:textId="77777777" w:rsidR="00721C98" w:rsidRDefault="00721C98"/>
        </w:tc>
        <w:tc>
          <w:tcPr>
            <w:tcW w:w="0" w:type="auto"/>
          </w:tcPr>
          <w:p w14:paraId="44F275CE" w14:textId="77777777" w:rsidR="00721C98" w:rsidRDefault="00AE7B71">
            <w:pPr>
              <w:pStyle w:val="CellTextValue"/>
            </w:pPr>
            <w:r>
              <w:t>15.00</w:t>
            </w:r>
          </w:p>
        </w:tc>
        <w:tc>
          <w:tcPr>
            <w:tcW w:w="0" w:type="auto"/>
          </w:tcPr>
          <w:p w14:paraId="249E4B70" w14:textId="77777777" w:rsidR="00721C98" w:rsidRDefault="00AE7B71">
            <w:pPr>
              <w:pStyle w:val="CellTextValue"/>
            </w:pPr>
            <w:r>
              <w:t>85.00</w:t>
            </w:r>
          </w:p>
        </w:tc>
        <w:tc>
          <w:tcPr>
            <w:tcW w:w="0" w:type="auto"/>
          </w:tcPr>
          <w:p w14:paraId="67C0C341" w14:textId="77777777" w:rsidR="00721C98" w:rsidRDefault="00721C98"/>
        </w:tc>
        <w:tc>
          <w:tcPr>
            <w:tcW w:w="0" w:type="auto"/>
          </w:tcPr>
          <w:p w14:paraId="690F7DF6" w14:textId="77777777" w:rsidR="00721C98" w:rsidRDefault="00721C98"/>
        </w:tc>
      </w:tr>
    </w:tbl>
    <w:p w14:paraId="0EF98953"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074A8008" w14:textId="77777777" w:rsidTr="00DB4111">
        <w:tc>
          <w:tcPr>
            <w:tcW w:w="0" w:type="auto"/>
            <w:gridSpan w:val="2"/>
          </w:tcPr>
          <w:p w14:paraId="1615DDD7" w14:textId="77777777" w:rsidR="00721C98" w:rsidRDefault="00AE7B71">
            <w:pPr>
              <w:pStyle w:val="CellTextValue"/>
            </w:pPr>
            <w:r>
              <w:rPr>
                <w:b/>
              </w:rPr>
              <w:t>General conditions relating to this call</w:t>
            </w:r>
          </w:p>
        </w:tc>
      </w:tr>
      <w:tr w:rsidR="00721C98" w14:paraId="2B62EB88" w14:textId="77777777">
        <w:tc>
          <w:tcPr>
            <w:tcW w:w="0" w:type="auto"/>
          </w:tcPr>
          <w:p w14:paraId="501E718C" w14:textId="77777777" w:rsidR="00721C98" w:rsidRDefault="00AE7B71">
            <w:pPr>
              <w:pStyle w:val="CellTextValue"/>
              <w:jc w:val="left"/>
            </w:pPr>
            <w:r>
              <w:rPr>
                <w:i/>
              </w:rPr>
              <w:t>Admissibility conditions</w:t>
            </w:r>
          </w:p>
        </w:tc>
        <w:tc>
          <w:tcPr>
            <w:tcW w:w="0" w:type="auto"/>
          </w:tcPr>
          <w:p w14:paraId="3AF6DC01" w14:textId="77777777" w:rsidR="00721C98" w:rsidRDefault="00AE7B71">
            <w:pPr>
              <w:pStyle w:val="CellTextValue"/>
            </w:pPr>
            <w:r>
              <w:rPr>
                <w:color w:val="000000"/>
              </w:rPr>
              <w:t>The conditions are described in General Annex A.</w:t>
            </w:r>
          </w:p>
        </w:tc>
      </w:tr>
      <w:tr w:rsidR="00721C98" w14:paraId="78D1A6CA" w14:textId="77777777">
        <w:tc>
          <w:tcPr>
            <w:tcW w:w="0" w:type="auto"/>
          </w:tcPr>
          <w:p w14:paraId="0CF279BB" w14:textId="77777777" w:rsidR="00721C98" w:rsidRDefault="00AE7B71">
            <w:pPr>
              <w:pStyle w:val="CellTextValue"/>
              <w:jc w:val="left"/>
            </w:pPr>
            <w:r>
              <w:rPr>
                <w:i/>
              </w:rPr>
              <w:t>Eligibility conditions</w:t>
            </w:r>
          </w:p>
        </w:tc>
        <w:tc>
          <w:tcPr>
            <w:tcW w:w="0" w:type="auto"/>
          </w:tcPr>
          <w:p w14:paraId="4D34ACAF" w14:textId="77777777" w:rsidR="00721C98" w:rsidRDefault="00AE7B71">
            <w:pPr>
              <w:pStyle w:val="CellTextValue"/>
            </w:pPr>
            <w:r>
              <w:rPr>
                <w:color w:val="000000"/>
              </w:rPr>
              <w:t>The conditions are described in General Annex B.</w:t>
            </w:r>
          </w:p>
        </w:tc>
      </w:tr>
      <w:tr w:rsidR="00721C98" w14:paraId="1BB557AD" w14:textId="77777777">
        <w:tc>
          <w:tcPr>
            <w:tcW w:w="0" w:type="auto"/>
          </w:tcPr>
          <w:p w14:paraId="1DF87ED5" w14:textId="77777777" w:rsidR="00721C98" w:rsidRDefault="00AE7B71">
            <w:pPr>
              <w:pStyle w:val="CellTextValue"/>
              <w:jc w:val="left"/>
            </w:pPr>
            <w:r>
              <w:rPr>
                <w:i/>
              </w:rPr>
              <w:t>Financial and operational capacity and exclusion</w:t>
            </w:r>
          </w:p>
        </w:tc>
        <w:tc>
          <w:tcPr>
            <w:tcW w:w="0" w:type="auto"/>
          </w:tcPr>
          <w:p w14:paraId="61267723" w14:textId="77777777" w:rsidR="00721C98" w:rsidRDefault="00AE7B71">
            <w:pPr>
              <w:pStyle w:val="CellTextValue"/>
            </w:pPr>
            <w:r>
              <w:rPr>
                <w:color w:val="000000"/>
              </w:rPr>
              <w:t>The criteria are described in General Annex C.</w:t>
            </w:r>
          </w:p>
        </w:tc>
      </w:tr>
      <w:tr w:rsidR="00721C98" w14:paraId="456E0887" w14:textId="77777777">
        <w:tc>
          <w:tcPr>
            <w:tcW w:w="0" w:type="auto"/>
          </w:tcPr>
          <w:p w14:paraId="16F15926" w14:textId="77777777" w:rsidR="00721C98" w:rsidRDefault="00AE7B71">
            <w:pPr>
              <w:pStyle w:val="CellTextValue"/>
              <w:jc w:val="left"/>
            </w:pPr>
            <w:r>
              <w:rPr>
                <w:i/>
              </w:rPr>
              <w:t>Award criteria</w:t>
            </w:r>
          </w:p>
        </w:tc>
        <w:tc>
          <w:tcPr>
            <w:tcW w:w="0" w:type="auto"/>
          </w:tcPr>
          <w:p w14:paraId="43F5BD5A" w14:textId="77777777" w:rsidR="00721C98" w:rsidRDefault="00AE7B71">
            <w:pPr>
              <w:pStyle w:val="CellTextValue"/>
            </w:pPr>
            <w:r>
              <w:rPr>
                <w:color w:val="000000"/>
              </w:rPr>
              <w:t>The criteria are described in General Annex D.</w:t>
            </w:r>
          </w:p>
        </w:tc>
      </w:tr>
      <w:tr w:rsidR="00721C98" w14:paraId="36A6D99C" w14:textId="77777777">
        <w:tc>
          <w:tcPr>
            <w:tcW w:w="0" w:type="auto"/>
          </w:tcPr>
          <w:p w14:paraId="2949ECED" w14:textId="77777777" w:rsidR="00721C98" w:rsidRDefault="00AE7B71">
            <w:pPr>
              <w:pStyle w:val="CellTextValue"/>
              <w:jc w:val="left"/>
            </w:pPr>
            <w:r>
              <w:rPr>
                <w:i/>
              </w:rPr>
              <w:t>Documents</w:t>
            </w:r>
          </w:p>
        </w:tc>
        <w:tc>
          <w:tcPr>
            <w:tcW w:w="0" w:type="auto"/>
          </w:tcPr>
          <w:p w14:paraId="1412F753" w14:textId="77777777" w:rsidR="00721C98" w:rsidRDefault="00AE7B71">
            <w:pPr>
              <w:pStyle w:val="CellTextValue"/>
            </w:pPr>
            <w:r>
              <w:rPr>
                <w:color w:val="000000"/>
              </w:rPr>
              <w:t>The documents are described in General Annex E.</w:t>
            </w:r>
          </w:p>
        </w:tc>
      </w:tr>
      <w:tr w:rsidR="00721C98" w14:paraId="73175F28" w14:textId="77777777">
        <w:tc>
          <w:tcPr>
            <w:tcW w:w="0" w:type="auto"/>
          </w:tcPr>
          <w:p w14:paraId="39F700D3" w14:textId="77777777" w:rsidR="00721C98" w:rsidRDefault="00AE7B71">
            <w:pPr>
              <w:pStyle w:val="CellTextValue"/>
              <w:jc w:val="left"/>
            </w:pPr>
            <w:r>
              <w:rPr>
                <w:i/>
              </w:rPr>
              <w:t>Procedure</w:t>
            </w:r>
          </w:p>
        </w:tc>
        <w:tc>
          <w:tcPr>
            <w:tcW w:w="0" w:type="auto"/>
          </w:tcPr>
          <w:p w14:paraId="53E77F9C" w14:textId="77777777" w:rsidR="00721C98" w:rsidRDefault="00AE7B71">
            <w:pPr>
              <w:pStyle w:val="CellTextValue"/>
            </w:pPr>
            <w:r>
              <w:rPr>
                <w:color w:val="000000"/>
              </w:rPr>
              <w:t>The procedure is described in General Annex F.</w:t>
            </w:r>
          </w:p>
        </w:tc>
      </w:tr>
      <w:tr w:rsidR="00721C98" w14:paraId="56384B9E" w14:textId="77777777">
        <w:tc>
          <w:tcPr>
            <w:tcW w:w="0" w:type="auto"/>
          </w:tcPr>
          <w:p w14:paraId="62AA796A" w14:textId="77777777" w:rsidR="00721C98" w:rsidRDefault="00AE7B71">
            <w:pPr>
              <w:pStyle w:val="CellTextValue"/>
              <w:jc w:val="left"/>
            </w:pPr>
            <w:r>
              <w:rPr>
                <w:i/>
              </w:rPr>
              <w:t>Legal and financial set-up of the Grant Agreements</w:t>
            </w:r>
          </w:p>
        </w:tc>
        <w:tc>
          <w:tcPr>
            <w:tcW w:w="0" w:type="auto"/>
          </w:tcPr>
          <w:p w14:paraId="4100C953" w14:textId="77777777" w:rsidR="00721C98" w:rsidRDefault="00AE7B71">
            <w:pPr>
              <w:pStyle w:val="CellTextValue"/>
            </w:pPr>
            <w:r>
              <w:rPr>
                <w:color w:val="000000"/>
              </w:rPr>
              <w:t>The rules are described in General Annex G.</w:t>
            </w:r>
          </w:p>
        </w:tc>
      </w:tr>
    </w:tbl>
    <w:p w14:paraId="48B9DDC4" w14:textId="77777777" w:rsidR="00721C98" w:rsidRDefault="00721C98">
      <w:pPr>
        <w:spacing w:after="0" w:line="150" w:lineRule="auto"/>
      </w:pPr>
    </w:p>
    <w:p w14:paraId="1D7D7B3A" w14:textId="77777777" w:rsidR="00721C98" w:rsidRPr="00DB4111" w:rsidRDefault="00AE7B71">
      <w:pPr>
        <w:pStyle w:val="HeadingTwo"/>
        <w:rPr>
          <w:lang w:val="en-IE"/>
        </w:rPr>
      </w:pPr>
      <w:r w:rsidRPr="00DB4111">
        <w:rPr>
          <w:lang w:val="en-IE"/>
        </w:rPr>
        <w:t>Call - Enhancing the European R&amp;I system</w:t>
      </w:r>
    </w:p>
    <w:p w14:paraId="71ED1D6F" w14:textId="77777777" w:rsidR="00721C98" w:rsidRDefault="00AE7B71">
      <w:pPr>
        <w:pStyle w:val="CallIdentifier"/>
      </w:pPr>
      <w:r>
        <w:t>HORIZON-WIDERA-2027-05</w:t>
      </w:r>
    </w:p>
    <w:p w14:paraId="308F2276" w14:textId="77777777" w:rsidR="00721C98" w:rsidRDefault="00AE7B71">
      <w:pPr>
        <w:pStyle w:val="HeadingThree"/>
      </w:pPr>
      <w:r>
        <w:lastRenderedPageBreak/>
        <w:t>Overview of this call</w:t>
      </w:r>
      <w:r>
        <w:rPr>
          <w:vertAlign w:val="superscript"/>
        </w:rPr>
        <w:footnoteReference w:id="28"/>
      </w:r>
    </w:p>
    <w:p w14:paraId="7E29DB82" w14:textId="77777777" w:rsidR="00721C98" w:rsidRDefault="00AE7B71">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21C98" w14:paraId="6F9FDBD4" w14:textId="77777777">
        <w:tc>
          <w:tcPr>
            <w:tcW w:w="2000" w:type="dxa"/>
            <w:vMerge w:val="restart"/>
          </w:tcPr>
          <w:p w14:paraId="26D717D8" w14:textId="77777777" w:rsidR="00721C98" w:rsidRDefault="00AE7B71">
            <w:pPr>
              <w:pStyle w:val="CellHeaderTextValue"/>
            </w:pPr>
            <w:r>
              <w:t>Topics</w:t>
            </w:r>
          </w:p>
        </w:tc>
        <w:tc>
          <w:tcPr>
            <w:tcW w:w="800" w:type="dxa"/>
            <w:vMerge w:val="restart"/>
          </w:tcPr>
          <w:p w14:paraId="24BA78A3" w14:textId="77777777" w:rsidR="00721C98" w:rsidRDefault="00AE7B71">
            <w:pPr>
              <w:pStyle w:val="CellHeaderTextValue"/>
            </w:pPr>
            <w:r>
              <w:t>Type of Action</w:t>
            </w:r>
          </w:p>
        </w:tc>
        <w:tc>
          <w:tcPr>
            <w:tcW w:w="0" w:type="auto"/>
          </w:tcPr>
          <w:p w14:paraId="20B2BD6A" w14:textId="77777777" w:rsidR="00721C98" w:rsidRDefault="00AE7B71">
            <w:pPr>
              <w:pStyle w:val="CellHeaderTextValue"/>
            </w:pPr>
            <w:r>
              <w:t>Budgets (EUR million)</w:t>
            </w:r>
          </w:p>
        </w:tc>
        <w:tc>
          <w:tcPr>
            <w:tcW w:w="0" w:type="auto"/>
            <w:vMerge w:val="restart"/>
          </w:tcPr>
          <w:p w14:paraId="041947D4" w14:textId="77777777" w:rsidR="00721C98" w:rsidRPr="00DB4111" w:rsidRDefault="00AE7B71">
            <w:pPr>
              <w:pStyle w:val="CellHeaderTextValue"/>
              <w:rPr>
                <w:lang w:val="fr-BE"/>
              </w:rPr>
            </w:pPr>
            <w:r w:rsidRPr="00DB4111">
              <w:rPr>
                <w:lang w:val="fr-BE"/>
              </w:rPr>
              <w:t>Expected EU contribution per project (EUR million)</w:t>
            </w:r>
            <w:r>
              <w:rPr>
                <w:vertAlign w:val="superscript"/>
              </w:rPr>
              <w:footnoteReference w:id="29"/>
            </w:r>
          </w:p>
        </w:tc>
        <w:tc>
          <w:tcPr>
            <w:tcW w:w="800" w:type="dxa"/>
            <w:vMerge w:val="restart"/>
          </w:tcPr>
          <w:p w14:paraId="58E54BF5" w14:textId="77777777" w:rsidR="00721C98" w:rsidRDefault="00AE7B71">
            <w:pPr>
              <w:pStyle w:val="CellHeaderTextValue"/>
            </w:pPr>
            <w:r>
              <w:t>Indicative number of projects expected to be funded</w:t>
            </w:r>
          </w:p>
        </w:tc>
      </w:tr>
      <w:tr w:rsidR="00721C98" w14:paraId="00BF9BCB" w14:textId="77777777">
        <w:tc>
          <w:tcPr>
            <w:tcW w:w="0" w:type="auto"/>
            <w:vMerge/>
          </w:tcPr>
          <w:p w14:paraId="62C14E72" w14:textId="77777777" w:rsidR="00721C98" w:rsidRDefault="00721C98"/>
        </w:tc>
        <w:tc>
          <w:tcPr>
            <w:tcW w:w="0" w:type="auto"/>
            <w:vMerge/>
          </w:tcPr>
          <w:p w14:paraId="2CEB6420" w14:textId="77777777" w:rsidR="00721C98" w:rsidRDefault="00721C98"/>
        </w:tc>
        <w:tc>
          <w:tcPr>
            <w:tcW w:w="0" w:type="auto"/>
          </w:tcPr>
          <w:p w14:paraId="5D6CEB00" w14:textId="77777777" w:rsidR="00721C98" w:rsidRDefault="00AE7B71">
            <w:pPr>
              <w:pStyle w:val="CellHeaderTextValue"/>
            </w:pPr>
            <w:r>
              <w:t>2027</w:t>
            </w:r>
          </w:p>
        </w:tc>
        <w:tc>
          <w:tcPr>
            <w:tcW w:w="0" w:type="auto"/>
            <w:vMerge/>
          </w:tcPr>
          <w:p w14:paraId="368054DD" w14:textId="77777777" w:rsidR="00721C98" w:rsidRDefault="00721C98"/>
        </w:tc>
        <w:tc>
          <w:tcPr>
            <w:tcW w:w="0" w:type="auto"/>
            <w:vMerge/>
          </w:tcPr>
          <w:p w14:paraId="74447168" w14:textId="77777777" w:rsidR="00721C98" w:rsidRDefault="00721C98"/>
        </w:tc>
      </w:tr>
      <w:tr w:rsidR="00DB4111" w14:paraId="3248EF12" w14:textId="77777777" w:rsidTr="00DB4111">
        <w:tc>
          <w:tcPr>
            <w:tcW w:w="0" w:type="auto"/>
            <w:gridSpan w:val="5"/>
          </w:tcPr>
          <w:p w14:paraId="51C87BB5" w14:textId="77777777" w:rsidR="00721C98" w:rsidRDefault="00AE7B71">
            <w:pPr>
              <w:pStyle w:val="CellTextValue"/>
              <w:jc w:val="center"/>
            </w:pPr>
            <w:r>
              <w:t>Opening: 08 Dec 2026</w:t>
            </w:r>
          </w:p>
          <w:p w14:paraId="133EBB1B" w14:textId="77777777" w:rsidR="00721C98" w:rsidRDefault="00AE7B71">
            <w:pPr>
              <w:pStyle w:val="CellTextValue"/>
              <w:jc w:val="center"/>
            </w:pPr>
            <w:r>
              <w:t>Deadline(s): 11 Mar 2027</w:t>
            </w:r>
          </w:p>
        </w:tc>
      </w:tr>
      <w:tr w:rsidR="00DB4111" w14:paraId="54AA60B3" w14:textId="77777777" w:rsidTr="00DB4111">
        <w:tc>
          <w:tcPr>
            <w:tcW w:w="0" w:type="auto"/>
            <w:gridSpan w:val="5"/>
          </w:tcPr>
          <w:p w14:paraId="330861ED" w14:textId="77777777" w:rsidR="00721C98" w:rsidRDefault="00AE7B71">
            <w:pPr>
              <w:pStyle w:val="CellTextValue"/>
            </w:pPr>
            <w:r>
              <w:t>Destination: Reforming and enhancing the European research and innovation system</w:t>
            </w:r>
          </w:p>
        </w:tc>
      </w:tr>
      <w:tr w:rsidR="00721C98" w14:paraId="40C2CC50" w14:textId="77777777">
        <w:tc>
          <w:tcPr>
            <w:tcW w:w="0" w:type="auto"/>
          </w:tcPr>
          <w:p w14:paraId="274C8DD8" w14:textId="77777777" w:rsidR="00721C98" w:rsidRDefault="00AE7B71">
            <w:pPr>
              <w:pStyle w:val="CellTextValue"/>
            </w:pPr>
            <w:r>
              <w:t xml:space="preserve">HORIZON-WIDERA-2027-05-ERA-01: Pillar I: Facilitating development of institutional open access policies through the retention of intellectual property rights </w:t>
            </w:r>
          </w:p>
        </w:tc>
        <w:tc>
          <w:tcPr>
            <w:tcW w:w="0" w:type="auto"/>
          </w:tcPr>
          <w:p w14:paraId="3EEA50A4" w14:textId="77777777" w:rsidR="00721C98" w:rsidRDefault="00AE7B71">
            <w:pPr>
              <w:pStyle w:val="CellTextValue"/>
            </w:pPr>
            <w:r>
              <w:t>CSA</w:t>
            </w:r>
          </w:p>
        </w:tc>
        <w:tc>
          <w:tcPr>
            <w:tcW w:w="0" w:type="auto"/>
            <w:vMerge w:val="restart"/>
          </w:tcPr>
          <w:p w14:paraId="3E246DC2" w14:textId="77777777" w:rsidR="00721C98" w:rsidRDefault="00AE7B71">
            <w:pPr>
              <w:pStyle w:val="CellTextValue"/>
            </w:pPr>
            <w:r>
              <w:t>2.00</w:t>
            </w:r>
          </w:p>
        </w:tc>
        <w:tc>
          <w:tcPr>
            <w:tcW w:w="0" w:type="auto"/>
          </w:tcPr>
          <w:p w14:paraId="16937E93" w14:textId="77777777" w:rsidR="00721C98" w:rsidRDefault="00AE7B71">
            <w:pPr>
              <w:pStyle w:val="CellTextValue"/>
            </w:pPr>
            <w:r>
              <w:t>Around 2.00</w:t>
            </w:r>
          </w:p>
        </w:tc>
        <w:tc>
          <w:tcPr>
            <w:tcW w:w="0" w:type="auto"/>
          </w:tcPr>
          <w:p w14:paraId="336B91BD" w14:textId="77777777" w:rsidR="00721C98" w:rsidRDefault="00AE7B71">
            <w:pPr>
              <w:pStyle w:val="CellTextValue"/>
            </w:pPr>
            <w:r>
              <w:t>1</w:t>
            </w:r>
          </w:p>
        </w:tc>
      </w:tr>
      <w:tr w:rsidR="00721C98" w14:paraId="30CE2A90" w14:textId="77777777">
        <w:tc>
          <w:tcPr>
            <w:tcW w:w="0" w:type="auto"/>
          </w:tcPr>
          <w:p w14:paraId="0C24EBF0" w14:textId="77777777" w:rsidR="00721C98" w:rsidRDefault="00AE7B71">
            <w:pPr>
              <w:pStyle w:val="CellTextValue"/>
            </w:pPr>
            <w:r>
              <w:t>HORIZON-WIDERA-2027-05-ERA-02: Pillar II: Talent ecosystems for attractive early research careers</w:t>
            </w:r>
          </w:p>
        </w:tc>
        <w:tc>
          <w:tcPr>
            <w:tcW w:w="0" w:type="auto"/>
          </w:tcPr>
          <w:p w14:paraId="7F7C059D" w14:textId="77777777" w:rsidR="00721C98" w:rsidRDefault="00AE7B71">
            <w:pPr>
              <w:pStyle w:val="CellTextValue"/>
            </w:pPr>
            <w:r>
              <w:t>CSA</w:t>
            </w:r>
          </w:p>
        </w:tc>
        <w:tc>
          <w:tcPr>
            <w:tcW w:w="0" w:type="auto"/>
            <w:vMerge w:val="restart"/>
          </w:tcPr>
          <w:p w14:paraId="53F0576A" w14:textId="77777777" w:rsidR="00721C98" w:rsidRDefault="00AE7B71">
            <w:pPr>
              <w:pStyle w:val="CellTextValue"/>
            </w:pPr>
            <w:r>
              <w:t>29.00</w:t>
            </w:r>
          </w:p>
        </w:tc>
        <w:tc>
          <w:tcPr>
            <w:tcW w:w="0" w:type="auto"/>
          </w:tcPr>
          <w:p w14:paraId="46564F41" w14:textId="77777777" w:rsidR="00721C98" w:rsidRDefault="00AE7B71">
            <w:pPr>
              <w:pStyle w:val="CellTextValue"/>
            </w:pPr>
            <w:r>
              <w:t>Around 2.00</w:t>
            </w:r>
          </w:p>
        </w:tc>
        <w:tc>
          <w:tcPr>
            <w:tcW w:w="0" w:type="auto"/>
          </w:tcPr>
          <w:p w14:paraId="782B50F8" w14:textId="77777777" w:rsidR="00721C98" w:rsidRDefault="00AE7B71">
            <w:pPr>
              <w:pStyle w:val="CellTextValue"/>
            </w:pPr>
            <w:r>
              <w:t>15</w:t>
            </w:r>
          </w:p>
        </w:tc>
      </w:tr>
      <w:tr w:rsidR="00721C98" w14:paraId="18778608" w14:textId="77777777">
        <w:tc>
          <w:tcPr>
            <w:tcW w:w="0" w:type="auto"/>
          </w:tcPr>
          <w:p w14:paraId="7043A283" w14:textId="77777777" w:rsidR="00721C98" w:rsidRDefault="00AE7B71">
            <w:pPr>
              <w:pStyle w:val="CellTextValue"/>
            </w:pPr>
            <w:r>
              <w:t>HORIZON-WIDERA-2027-05-ERA-03: Pillar III: Science comes to town 2029</w:t>
            </w:r>
          </w:p>
        </w:tc>
        <w:tc>
          <w:tcPr>
            <w:tcW w:w="0" w:type="auto"/>
          </w:tcPr>
          <w:p w14:paraId="6DBE7160" w14:textId="77777777" w:rsidR="00721C98" w:rsidRDefault="00AE7B71">
            <w:pPr>
              <w:pStyle w:val="CellTextValue"/>
            </w:pPr>
            <w:r>
              <w:t>CSA</w:t>
            </w:r>
          </w:p>
        </w:tc>
        <w:tc>
          <w:tcPr>
            <w:tcW w:w="0" w:type="auto"/>
            <w:vMerge w:val="restart"/>
          </w:tcPr>
          <w:p w14:paraId="3E105E65" w14:textId="77777777" w:rsidR="00721C98" w:rsidRDefault="00AE7B71">
            <w:pPr>
              <w:pStyle w:val="CellTextValue"/>
            </w:pPr>
            <w:r>
              <w:t>6.00</w:t>
            </w:r>
          </w:p>
        </w:tc>
        <w:tc>
          <w:tcPr>
            <w:tcW w:w="0" w:type="auto"/>
          </w:tcPr>
          <w:p w14:paraId="15021F89" w14:textId="77777777" w:rsidR="00721C98" w:rsidRDefault="00AE7B71">
            <w:pPr>
              <w:pStyle w:val="CellTextValue"/>
            </w:pPr>
            <w:r>
              <w:t>Around 6.00</w:t>
            </w:r>
          </w:p>
        </w:tc>
        <w:tc>
          <w:tcPr>
            <w:tcW w:w="0" w:type="auto"/>
          </w:tcPr>
          <w:p w14:paraId="0D809241" w14:textId="77777777" w:rsidR="00721C98" w:rsidRDefault="00AE7B71">
            <w:pPr>
              <w:pStyle w:val="CellTextValue"/>
            </w:pPr>
            <w:r>
              <w:t>1</w:t>
            </w:r>
          </w:p>
        </w:tc>
      </w:tr>
      <w:tr w:rsidR="00721C98" w14:paraId="78D627D2" w14:textId="77777777">
        <w:tc>
          <w:tcPr>
            <w:tcW w:w="0" w:type="auto"/>
          </w:tcPr>
          <w:p w14:paraId="3C5DA025" w14:textId="77777777" w:rsidR="00721C98" w:rsidRDefault="00AE7B71">
            <w:pPr>
              <w:pStyle w:val="CellTextValue"/>
            </w:pPr>
            <w:r>
              <w:t>HORIZON-WIDERA-2027-05-ERA-04: Pillar III: Promoting public engagement in R&amp;I and scientific literacy</w:t>
            </w:r>
          </w:p>
        </w:tc>
        <w:tc>
          <w:tcPr>
            <w:tcW w:w="0" w:type="auto"/>
          </w:tcPr>
          <w:p w14:paraId="6ED590F7" w14:textId="77777777" w:rsidR="00721C98" w:rsidRDefault="00AE7B71">
            <w:pPr>
              <w:pStyle w:val="CellTextValue"/>
            </w:pPr>
            <w:r>
              <w:t>CSA</w:t>
            </w:r>
          </w:p>
        </w:tc>
        <w:tc>
          <w:tcPr>
            <w:tcW w:w="0" w:type="auto"/>
            <w:vMerge w:val="restart"/>
          </w:tcPr>
          <w:p w14:paraId="122758A8" w14:textId="77777777" w:rsidR="00721C98" w:rsidRDefault="00AE7B71">
            <w:pPr>
              <w:pStyle w:val="CellTextValue"/>
            </w:pPr>
            <w:r>
              <w:t>2.00</w:t>
            </w:r>
          </w:p>
        </w:tc>
        <w:tc>
          <w:tcPr>
            <w:tcW w:w="0" w:type="auto"/>
          </w:tcPr>
          <w:p w14:paraId="0A80E181" w14:textId="77777777" w:rsidR="00721C98" w:rsidRDefault="00AE7B71">
            <w:pPr>
              <w:pStyle w:val="CellTextValue"/>
            </w:pPr>
            <w:r>
              <w:t>Around 1.00</w:t>
            </w:r>
          </w:p>
        </w:tc>
        <w:tc>
          <w:tcPr>
            <w:tcW w:w="0" w:type="auto"/>
          </w:tcPr>
          <w:p w14:paraId="0D57B562" w14:textId="77777777" w:rsidR="00721C98" w:rsidRDefault="00AE7B71">
            <w:pPr>
              <w:pStyle w:val="CellTextValue"/>
            </w:pPr>
            <w:r>
              <w:t>2</w:t>
            </w:r>
          </w:p>
        </w:tc>
      </w:tr>
      <w:tr w:rsidR="00721C98" w14:paraId="2E7E55EC" w14:textId="77777777">
        <w:tc>
          <w:tcPr>
            <w:tcW w:w="0" w:type="auto"/>
          </w:tcPr>
          <w:p w14:paraId="4AC29E79" w14:textId="77777777" w:rsidR="00721C98" w:rsidRDefault="00AE7B71">
            <w:pPr>
              <w:pStyle w:val="CellTextValue"/>
            </w:pPr>
            <w:r>
              <w:t>HORIZON-WIDERA-2027-05-ERA-05: Pillar IV: Upgrading the EU’s independent knowledge on China's Science, Technology and Innovation system</w:t>
            </w:r>
          </w:p>
        </w:tc>
        <w:tc>
          <w:tcPr>
            <w:tcW w:w="0" w:type="auto"/>
          </w:tcPr>
          <w:p w14:paraId="2746531D" w14:textId="77777777" w:rsidR="00721C98" w:rsidRDefault="00AE7B71">
            <w:pPr>
              <w:pStyle w:val="CellTextValue"/>
            </w:pPr>
            <w:r>
              <w:t>RIA</w:t>
            </w:r>
          </w:p>
        </w:tc>
        <w:tc>
          <w:tcPr>
            <w:tcW w:w="0" w:type="auto"/>
            <w:vMerge w:val="restart"/>
          </w:tcPr>
          <w:p w14:paraId="4FEF3A21" w14:textId="77777777" w:rsidR="00721C98" w:rsidRDefault="00AE7B71">
            <w:pPr>
              <w:pStyle w:val="CellTextValue"/>
            </w:pPr>
            <w:r>
              <w:t>3.00</w:t>
            </w:r>
          </w:p>
        </w:tc>
        <w:tc>
          <w:tcPr>
            <w:tcW w:w="0" w:type="auto"/>
          </w:tcPr>
          <w:p w14:paraId="2795DF7A" w14:textId="77777777" w:rsidR="00721C98" w:rsidRDefault="00AE7B71">
            <w:pPr>
              <w:pStyle w:val="CellTextValue"/>
            </w:pPr>
            <w:r>
              <w:t>Around 3.00</w:t>
            </w:r>
          </w:p>
        </w:tc>
        <w:tc>
          <w:tcPr>
            <w:tcW w:w="0" w:type="auto"/>
          </w:tcPr>
          <w:p w14:paraId="3BAB1CD8" w14:textId="77777777" w:rsidR="00721C98" w:rsidRDefault="00AE7B71">
            <w:pPr>
              <w:pStyle w:val="CellTextValue"/>
            </w:pPr>
            <w:r>
              <w:t>1</w:t>
            </w:r>
          </w:p>
        </w:tc>
      </w:tr>
      <w:tr w:rsidR="00721C98" w14:paraId="2925E64E" w14:textId="77777777">
        <w:tc>
          <w:tcPr>
            <w:tcW w:w="0" w:type="auto"/>
          </w:tcPr>
          <w:p w14:paraId="3FB31534" w14:textId="77777777" w:rsidR="00721C98" w:rsidRDefault="00AE7B71">
            <w:pPr>
              <w:pStyle w:val="CellTextValue"/>
            </w:pPr>
            <w:r>
              <w:t>Overall indicative budget</w:t>
            </w:r>
          </w:p>
        </w:tc>
        <w:tc>
          <w:tcPr>
            <w:tcW w:w="0" w:type="auto"/>
          </w:tcPr>
          <w:p w14:paraId="544136E5" w14:textId="77777777" w:rsidR="00721C98" w:rsidRDefault="00721C98"/>
        </w:tc>
        <w:tc>
          <w:tcPr>
            <w:tcW w:w="0" w:type="auto"/>
          </w:tcPr>
          <w:p w14:paraId="64E3C236" w14:textId="77777777" w:rsidR="00721C98" w:rsidRDefault="00AE7B71">
            <w:pPr>
              <w:pStyle w:val="CellTextValue"/>
            </w:pPr>
            <w:r>
              <w:t>42.00</w:t>
            </w:r>
          </w:p>
        </w:tc>
        <w:tc>
          <w:tcPr>
            <w:tcW w:w="0" w:type="auto"/>
          </w:tcPr>
          <w:p w14:paraId="109E755A" w14:textId="77777777" w:rsidR="00721C98" w:rsidRDefault="00721C98"/>
        </w:tc>
        <w:tc>
          <w:tcPr>
            <w:tcW w:w="0" w:type="auto"/>
          </w:tcPr>
          <w:p w14:paraId="2A08A81B" w14:textId="77777777" w:rsidR="00721C98" w:rsidRDefault="00721C98"/>
        </w:tc>
      </w:tr>
    </w:tbl>
    <w:p w14:paraId="2E0117A7" w14:textId="77777777" w:rsidR="00721C98" w:rsidRDefault="00721C98">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DB4111" w14:paraId="0916AB37" w14:textId="77777777" w:rsidTr="00DB4111">
        <w:tc>
          <w:tcPr>
            <w:tcW w:w="0" w:type="auto"/>
            <w:gridSpan w:val="2"/>
          </w:tcPr>
          <w:p w14:paraId="7AF528EC" w14:textId="77777777" w:rsidR="00721C98" w:rsidRDefault="00AE7B71">
            <w:pPr>
              <w:pStyle w:val="CellTextValue"/>
            </w:pPr>
            <w:r>
              <w:rPr>
                <w:b/>
              </w:rPr>
              <w:lastRenderedPageBreak/>
              <w:t>General conditions relating to this call</w:t>
            </w:r>
          </w:p>
        </w:tc>
      </w:tr>
      <w:tr w:rsidR="00721C98" w14:paraId="21FB53F7" w14:textId="77777777">
        <w:tc>
          <w:tcPr>
            <w:tcW w:w="0" w:type="auto"/>
          </w:tcPr>
          <w:p w14:paraId="45B30298" w14:textId="77777777" w:rsidR="00721C98" w:rsidRDefault="00AE7B71">
            <w:pPr>
              <w:pStyle w:val="CellTextValue"/>
              <w:jc w:val="left"/>
            </w:pPr>
            <w:r>
              <w:rPr>
                <w:i/>
              </w:rPr>
              <w:t>Admissibility conditions</w:t>
            </w:r>
          </w:p>
        </w:tc>
        <w:tc>
          <w:tcPr>
            <w:tcW w:w="0" w:type="auto"/>
          </w:tcPr>
          <w:p w14:paraId="7F776219" w14:textId="77777777" w:rsidR="00721C98" w:rsidRDefault="00AE7B71">
            <w:pPr>
              <w:pStyle w:val="CellTextValue"/>
            </w:pPr>
            <w:r>
              <w:rPr>
                <w:color w:val="000000"/>
              </w:rPr>
              <w:t>The conditions are described in General Annex A.</w:t>
            </w:r>
          </w:p>
        </w:tc>
      </w:tr>
      <w:tr w:rsidR="00721C98" w14:paraId="76D7C3A0" w14:textId="77777777">
        <w:tc>
          <w:tcPr>
            <w:tcW w:w="0" w:type="auto"/>
          </w:tcPr>
          <w:p w14:paraId="41D10060" w14:textId="77777777" w:rsidR="00721C98" w:rsidRDefault="00AE7B71">
            <w:pPr>
              <w:pStyle w:val="CellTextValue"/>
              <w:jc w:val="left"/>
            </w:pPr>
            <w:r>
              <w:rPr>
                <w:i/>
              </w:rPr>
              <w:t>Eligibility conditions</w:t>
            </w:r>
          </w:p>
        </w:tc>
        <w:tc>
          <w:tcPr>
            <w:tcW w:w="0" w:type="auto"/>
          </w:tcPr>
          <w:p w14:paraId="0A082DF5" w14:textId="77777777" w:rsidR="00721C98" w:rsidRDefault="00AE7B71">
            <w:pPr>
              <w:pStyle w:val="CellTextValue"/>
            </w:pPr>
            <w:r>
              <w:rPr>
                <w:color w:val="000000"/>
              </w:rPr>
              <w:t>The conditions are described in General Annex B.</w:t>
            </w:r>
          </w:p>
        </w:tc>
      </w:tr>
      <w:tr w:rsidR="00721C98" w14:paraId="2215C569" w14:textId="77777777">
        <w:tc>
          <w:tcPr>
            <w:tcW w:w="0" w:type="auto"/>
          </w:tcPr>
          <w:p w14:paraId="4E78D719" w14:textId="77777777" w:rsidR="00721C98" w:rsidRDefault="00AE7B71">
            <w:pPr>
              <w:pStyle w:val="CellTextValue"/>
              <w:jc w:val="left"/>
            </w:pPr>
            <w:r>
              <w:rPr>
                <w:i/>
              </w:rPr>
              <w:t>Financial and operational capacity and exclusion</w:t>
            </w:r>
          </w:p>
        </w:tc>
        <w:tc>
          <w:tcPr>
            <w:tcW w:w="0" w:type="auto"/>
          </w:tcPr>
          <w:p w14:paraId="0CE0AB3C" w14:textId="77777777" w:rsidR="00721C98" w:rsidRDefault="00AE7B71">
            <w:pPr>
              <w:pStyle w:val="CellTextValue"/>
            </w:pPr>
            <w:r>
              <w:rPr>
                <w:color w:val="000000"/>
              </w:rPr>
              <w:t>The criteria are described in General Annex C.</w:t>
            </w:r>
          </w:p>
        </w:tc>
      </w:tr>
      <w:tr w:rsidR="00721C98" w14:paraId="1EC98F92" w14:textId="77777777">
        <w:tc>
          <w:tcPr>
            <w:tcW w:w="0" w:type="auto"/>
          </w:tcPr>
          <w:p w14:paraId="384311DB" w14:textId="77777777" w:rsidR="00721C98" w:rsidRDefault="00AE7B71">
            <w:pPr>
              <w:pStyle w:val="CellTextValue"/>
              <w:jc w:val="left"/>
            </w:pPr>
            <w:r>
              <w:rPr>
                <w:i/>
              </w:rPr>
              <w:t>Award criteria</w:t>
            </w:r>
          </w:p>
        </w:tc>
        <w:tc>
          <w:tcPr>
            <w:tcW w:w="0" w:type="auto"/>
          </w:tcPr>
          <w:p w14:paraId="0010C7B1" w14:textId="77777777" w:rsidR="00721C98" w:rsidRDefault="00AE7B71">
            <w:pPr>
              <w:pStyle w:val="CellTextValue"/>
            </w:pPr>
            <w:r>
              <w:rPr>
                <w:color w:val="000000"/>
              </w:rPr>
              <w:t>The criteria are described in General Annex D.</w:t>
            </w:r>
          </w:p>
        </w:tc>
      </w:tr>
      <w:tr w:rsidR="00721C98" w14:paraId="00D59127" w14:textId="77777777">
        <w:tc>
          <w:tcPr>
            <w:tcW w:w="0" w:type="auto"/>
          </w:tcPr>
          <w:p w14:paraId="35958558" w14:textId="77777777" w:rsidR="00721C98" w:rsidRDefault="00AE7B71">
            <w:pPr>
              <w:pStyle w:val="CellTextValue"/>
              <w:jc w:val="left"/>
            </w:pPr>
            <w:r>
              <w:rPr>
                <w:i/>
              </w:rPr>
              <w:t>Documents</w:t>
            </w:r>
          </w:p>
        </w:tc>
        <w:tc>
          <w:tcPr>
            <w:tcW w:w="0" w:type="auto"/>
          </w:tcPr>
          <w:p w14:paraId="44295603" w14:textId="77777777" w:rsidR="00721C98" w:rsidRDefault="00AE7B71">
            <w:pPr>
              <w:pStyle w:val="CellTextValue"/>
            </w:pPr>
            <w:r>
              <w:rPr>
                <w:color w:val="000000"/>
              </w:rPr>
              <w:t>The documents are described in General Annex E.</w:t>
            </w:r>
          </w:p>
        </w:tc>
      </w:tr>
      <w:tr w:rsidR="00721C98" w14:paraId="6ACAEE94" w14:textId="77777777">
        <w:tc>
          <w:tcPr>
            <w:tcW w:w="0" w:type="auto"/>
          </w:tcPr>
          <w:p w14:paraId="1C2E3367" w14:textId="77777777" w:rsidR="00721C98" w:rsidRDefault="00AE7B71">
            <w:pPr>
              <w:pStyle w:val="CellTextValue"/>
              <w:jc w:val="left"/>
            </w:pPr>
            <w:r>
              <w:rPr>
                <w:i/>
              </w:rPr>
              <w:t>Procedure</w:t>
            </w:r>
          </w:p>
        </w:tc>
        <w:tc>
          <w:tcPr>
            <w:tcW w:w="0" w:type="auto"/>
          </w:tcPr>
          <w:p w14:paraId="3376ACAB" w14:textId="77777777" w:rsidR="00721C98" w:rsidRDefault="00AE7B71">
            <w:pPr>
              <w:pStyle w:val="CellTextValue"/>
            </w:pPr>
            <w:r>
              <w:rPr>
                <w:color w:val="000000"/>
              </w:rPr>
              <w:t>The procedure is described in General Annex F.</w:t>
            </w:r>
          </w:p>
        </w:tc>
      </w:tr>
      <w:tr w:rsidR="00721C98" w14:paraId="3932CD5E" w14:textId="77777777">
        <w:tc>
          <w:tcPr>
            <w:tcW w:w="0" w:type="auto"/>
          </w:tcPr>
          <w:p w14:paraId="062F8CC8" w14:textId="77777777" w:rsidR="00721C98" w:rsidRDefault="00AE7B71">
            <w:pPr>
              <w:pStyle w:val="CellTextValue"/>
              <w:jc w:val="left"/>
            </w:pPr>
            <w:r>
              <w:rPr>
                <w:i/>
              </w:rPr>
              <w:t>Legal and financial set-up of the Grant Agreements</w:t>
            </w:r>
          </w:p>
        </w:tc>
        <w:tc>
          <w:tcPr>
            <w:tcW w:w="0" w:type="auto"/>
          </w:tcPr>
          <w:p w14:paraId="69388AD4" w14:textId="77777777" w:rsidR="00721C98" w:rsidRDefault="00AE7B71">
            <w:pPr>
              <w:pStyle w:val="CellTextValue"/>
            </w:pPr>
            <w:r>
              <w:rPr>
                <w:color w:val="000000"/>
              </w:rPr>
              <w:t>The rules are described in General Annex G.</w:t>
            </w:r>
          </w:p>
        </w:tc>
      </w:tr>
    </w:tbl>
    <w:p w14:paraId="6CFD6DA1" w14:textId="77777777" w:rsidR="00721C98" w:rsidRDefault="00721C98">
      <w:pPr>
        <w:spacing w:after="0" w:line="150" w:lineRule="auto"/>
      </w:pPr>
    </w:p>
    <w:p w14:paraId="5163BB90" w14:textId="77777777" w:rsidR="00721C98" w:rsidRDefault="00AE7B71">
      <w:pPr>
        <w:pStyle w:val="HeadingOne"/>
        <w:pageBreakBefore/>
      </w:pPr>
      <w:r>
        <w:lastRenderedPageBreak/>
        <w:t>Destination: Widening participation and spreading excellence</w:t>
      </w:r>
    </w:p>
    <w:p w14:paraId="7A1F69BC" w14:textId="77777777" w:rsidR="00721C98" w:rsidRDefault="00AE7B71">
      <w:r>
        <w:rPr>
          <w:color w:val="000000"/>
        </w:rPr>
        <w:t>The ERA Communication established the need to improve access to excellence as one of the four main strategic goals. Striving towards excellence requires a stronger R&amp;I system where best practice is disseminated faster across the European Union.</w:t>
      </w:r>
    </w:p>
    <w:p w14:paraId="22285D1D" w14:textId="77777777" w:rsidR="00721C98" w:rsidRDefault="00AE7B71">
      <w:r>
        <w:rPr>
          <w:color w:val="000000"/>
        </w:rPr>
        <w:t>The European Union’s R&amp;I system needs to promote a more inclusive approach in which all can participate and from which all can benefit. Existing disparities between R&amp;I leading and lagging countries should be tackled by introducing structural policy reforms. Closer links between research and innovation and institutional cooperation to produce high-quality knowledge are key to help bridge these disparities. By building on their pockets of excellence and connecting them to broader networks of excellence count</w:t>
      </w:r>
      <w:r>
        <w:rPr>
          <w:color w:val="000000"/>
        </w:rPr>
        <w:t>ries will be able to upgrade their R&amp;I systems, and allow the European Union as a whole to advance together.</w:t>
      </w:r>
    </w:p>
    <w:p w14:paraId="0188F948" w14:textId="77777777" w:rsidR="00721C98" w:rsidRDefault="00AE7B71">
      <w:r>
        <w:rPr>
          <w:color w:val="000000"/>
        </w:rPr>
        <w:t>This destination will deploy a portfolio of complementary actions to build up and strengthen R&amp;I capacities in Widening countries enabling them to advance to the competitive edge at European and international level. It will contribute to the development of pan-European innovation ecosystems. In addition, particular attention will be paid to cross-cutting objectives set for Horizon Europe, such as inclusive gender equality and open science practices.</w:t>
      </w:r>
    </w:p>
    <w:p w14:paraId="7ECFE72A" w14:textId="77777777" w:rsidR="00721C98" w:rsidRDefault="00AE7B71">
      <w:r>
        <w:rPr>
          <w:color w:val="000000"/>
          <w:u w:val="single"/>
        </w:rPr>
        <w:t>Expected impact</w:t>
      </w:r>
    </w:p>
    <w:p w14:paraId="08E43651" w14:textId="77777777" w:rsidR="00721C98" w:rsidRDefault="00AE7B71" w:rsidP="00AE7B71">
      <w:pPr>
        <w:pStyle w:val="ListParagraph"/>
        <w:numPr>
          <w:ilvl w:val="0"/>
          <w:numId w:val="6"/>
        </w:numPr>
      </w:pPr>
      <w:r>
        <w:rPr>
          <w:color w:val="000000"/>
        </w:rPr>
        <w:t>Increased science and innovation capacities for all actors in the R&amp;I system in Widening countries;</w:t>
      </w:r>
    </w:p>
    <w:p w14:paraId="36046A6A" w14:textId="77777777" w:rsidR="00721C98" w:rsidRDefault="00AE7B71" w:rsidP="00AE7B71">
      <w:pPr>
        <w:pStyle w:val="ListParagraph"/>
        <w:numPr>
          <w:ilvl w:val="0"/>
          <w:numId w:val="6"/>
        </w:numPr>
      </w:pPr>
      <w:r>
        <w:rPr>
          <w:color w:val="000000"/>
        </w:rPr>
        <w:t>Structural changes leading to modernised and more competitive R&amp;I systems with increased attractiveness and retention of research talents;</w:t>
      </w:r>
    </w:p>
    <w:p w14:paraId="627325B2" w14:textId="77777777" w:rsidR="00721C98" w:rsidRDefault="00AE7B71" w:rsidP="00AE7B71">
      <w:pPr>
        <w:pStyle w:val="ListParagraph"/>
        <w:numPr>
          <w:ilvl w:val="0"/>
          <w:numId w:val="6"/>
        </w:numPr>
      </w:pPr>
      <w:r>
        <w:rPr>
          <w:color w:val="000000"/>
        </w:rPr>
        <w:t>Mobilisation of national and European resources for strategic investments;</w:t>
      </w:r>
    </w:p>
    <w:p w14:paraId="7679F88D" w14:textId="77777777" w:rsidR="00721C98" w:rsidRDefault="00AE7B71" w:rsidP="00AE7B71">
      <w:pPr>
        <w:pStyle w:val="ListParagraph"/>
        <w:numPr>
          <w:ilvl w:val="0"/>
          <w:numId w:val="6"/>
        </w:numPr>
      </w:pPr>
      <w:r>
        <w:rPr>
          <w:color w:val="000000"/>
        </w:rPr>
        <w:t>Higher participation in Horizon Europe and more leadership roles in collaborative projects;</w:t>
      </w:r>
    </w:p>
    <w:p w14:paraId="40411FBA" w14:textId="77777777" w:rsidR="00721C98" w:rsidRDefault="00AE7B71" w:rsidP="00AE7B71">
      <w:pPr>
        <w:pStyle w:val="ListParagraph"/>
        <w:numPr>
          <w:ilvl w:val="0"/>
          <w:numId w:val="6"/>
        </w:numPr>
      </w:pPr>
      <w:r>
        <w:rPr>
          <w:color w:val="000000"/>
        </w:rPr>
        <w:t>Stronger linkages between academia and business and improved career permeability;</w:t>
      </w:r>
    </w:p>
    <w:p w14:paraId="1D6AE8A1" w14:textId="77777777" w:rsidR="00721C98" w:rsidRDefault="00AE7B71" w:rsidP="00AE7B71">
      <w:pPr>
        <w:pStyle w:val="ListParagraph"/>
        <w:numPr>
          <w:ilvl w:val="0"/>
          <w:numId w:val="6"/>
        </w:numPr>
      </w:pPr>
      <w:r>
        <w:rPr>
          <w:color w:val="000000"/>
        </w:rPr>
        <w:t>Greater involvement of regional actors in the R&amp;I process;</w:t>
      </w:r>
    </w:p>
    <w:p w14:paraId="296B3BF6" w14:textId="77777777" w:rsidR="00721C98" w:rsidRDefault="00AE7B71" w:rsidP="00AE7B71">
      <w:pPr>
        <w:pStyle w:val="ListParagraph"/>
        <w:numPr>
          <w:ilvl w:val="0"/>
          <w:numId w:val="6"/>
        </w:numPr>
      </w:pPr>
      <w:r>
        <w:rPr>
          <w:color w:val="000000"/>
        </w:rPr>
        <w:t>Excellent talents attracted to institutions including research infrastructures;</w:t>
      </w:r>
    </w:p>
    <w:p w14:paraId="11E80D2F" w14:textId="77777777" w:rsidR="00721C98" w:rsidRDefault="00AE7B71" w:rsidP="00AE7B71">
      <w:pPr>
        <w:pStyle w:val="ListParagraph"/>
        <w:numPr>
          <w:ilvl w:val="0"/>
          <w:numId w:val="6"/>
        </w:numPr>
      </w:pPr>
      <w:r>
        <w:rPr>
          <w:color w:val="000000"/>
        </w:rPr>
        <w:t>Balanced circulation of R&amp;I talents including intersectoral mobility, and improved gender equality and inclusiveness;</w:t>
      </w:r>
    </w:p>
    <w:p w14:paraId="0E4E7C20" w14:textId="77777777" w:rsidR="00721C98" w:rsidRDefault="00AE7B71" w:rsidP="00AE7B71">
      <w:pPr>
        <w:pStyle w:val="ListParagraph"/>
        <w:numPr>
          <w:ilvl w:val="0"/>
          <w:numId w:val="6"/>
        </w:numPr>
      </w:pPr>
      <w:r>
        <w:rPr>
          <w:color w:val="000000"/>
        </w:rPr>
        <w:t>Improved linkages and increased mobility between academic and business, notably by overcoming sectoral barriers;</w:t>
      </w:r>
    </w:p>
    <w:p w14:paraId="73FC8601" w14:textId="77777777" w:rsidR="00721C98" w:rsidRDefault="00AE7B71" w:rsidP="00AE7B71">
      <w:pPr>
        <w:pStyle w:val="ListParagraph"/>
        <w:numPr>
          <w:ilvl w:val="0"/>
          <w:numId w:val="6"/>
        </w:numPr>
      </w:pPr>
      <w:r>
        <w:rPr>
          <w:color w:val="000000"/>
        </w:rPr>
        <w:t>Free circulation of knowledge and expertise in line with ERA priorities.</w:t>
      </w:r>
    </w:p>
    <w:p w14:paraId="39ADBEE9" w14:textId="77777777" w:rsidR="00721C98" w:rsidRDefault="00AE7B71">
      <w:r>
        <w:lastRenderedPageBreak/>
        <w:t>Proposals are invited against the following topic(s):</w:t>
      </w:r>
    </w:p>
    <w:p w14:paraId="5981D5DF" w14:textId="77777777" w:rsidR="00721C98" w:rsidRDefault="00AE7B71">
      <w:pPr>
        <w:pStyle w:val="HeadingThree"/>
      </w:pPr>
      <w:r>
        <w:t>HORIZON-WIDERA-2026-01-WIDENING-01: Teaming Synergies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90"/>
        <w:gridCol w:w="7412"/>
      </w:tblGrid>
      <w:tr w:rsidR="00DB4111" w14:paraId="256AAED8" w14:textId="77777777" w:rsidTr="00DB4111">
        <w:tc>
          <w:tcPr>
            <w:tcW w:w="0" w:type="auto"/>
            <w:gridSpan w:val="2"/>
          </w:tcPr>
          <w:p w14:paraId="64F6B50F" w14:textId="77777777" w:rsidR="00721C98" w:rsidRDefault="00AE7B71">
            <w:pPr>
              <w:pStyle w:val="CellTextValue"/>
            </w:pPr>
            <w:r>
              <w:rPr>
                <w:b/>
              </w:rPr>
              <w:t>Call: Teaming Synergies</w:t>
            </w:r>
          </w:p>
        </w:tc>
      </w:tr>
      <w:tr w:rsidR="00DB4111" w14:paraId="74C2A5D4" w14:textId="77777777" w:rsidTr="00DB4111">
        <w:tc>
          <w:tcPr>
            <w:tcW w:w="0" w:type="auto"/>
            <w:gridSpan w:val="2"/>
          </w:tcPr>
          <w:p w14:paraId="08C26206" w14:textId="77777777" w:rsidR="00721C98" w:rsidRDefault="00AE7B71">
            <w:pPr>
              <w:pStyle w:val="CellTextValue"/>
            </w:pPr>
            <w:r>
              <w:rPr>
                <w:b/>
              </w:rPr>
              <w:t>Specific conditions</w:t>
            </w:r>
          </w:p>
        </w:tc>
      </w:tr>
      <w:tr w:rsidR="00721C98" w14:paraId="698D3B7C" w14:textId="77777777">
        <w:tc>
          <w:tcPr>
            <w:tcW w:w="0" w:type="auto"/>
          </w:tcPr>
          <w:p w14:paraId="6A60B9E3" w14:textId="77777777" w:rsidR="00721C98" w:rsidRDefault="00AE7B71">
            <w:pPr>
              <w:pStyle w:val="CellTextValue"/>
              <w:jc w:val="left"/>
            </w:pPr>
            <w:r>
              <w:rPr>
                <w:i/>
              </w:rPr>
              <w:t>Expected EU contribution per project</w:t>
            </w:r>
          </w:p>
        </w:tc>
        <w:tc>
          <w:tcPr>
            <w:tcW w:w="0" w:type="auto"/>
          </w:tcPr>
          <w:p w14:paraId="1BC82DAE" w14:textId="77777777" w:rsidR="00721C98" w:rsidRDefault="00AE7B71">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721C98" w14:paraId="4C589543" w14:textId="77777777">
        <w:tc>
          <w:tcPr>
            <w:tcW w:w="0" w:type="auto"/>
          </w:tcPr>
          <w:p w14:paraId="6A2FE4A1" w14:textId="77777777" w:rsidR="00721C98" w:rsidRDefault="00AE7B71">
            <w:pPr>
              <w:pStyle w:val="CellTextValue"/>
              <w:jc w:val="left"/>
            </w:pPr>
            <w:r>
              <w:rPr>
                <w:i/>
              </w:rPr>
              <w:t>Indicative budget</w:t>
            </w:r>
          </w:p>
        </w:tc>
        <w:tc>
          <w:tcPr>
            <w:tcW w:w="0" w:type="auto"/>
          </w:tcPr>
          <w:p w14:paraId="4A62D37F" w14:textId="77777777" w:rsidR="00721C98" w:rsidRDefault="00AE7B71">
            <w:pPr>
              <w:pStyle w:val="CellTextValue"/>
            </w:pPr>
            <w:r>
              <w:t>The total indicative budget for the topic is EUR 7.00 million.</w:t>
            </w:r>
          </w:p>
        </w:tc>
      </w:tr>
      <w:tr w:rsidR="00721C98" w14:paraId="39DC99D0" w14:textId="77777777">
        <w:tc>
          <w:tcPr>
            <w:tcW w:w="0" w:type="auto"/>
          </w:tcPr>
          <w:p w14:paraId="7D631B47" w14:textId="77777777" w:rsidR="00721C98" w:rsidRDefault="00AE7B71">
            <w:pPr>
              <w:pStyle w:val="CellTextValue"/>
              <w:jc w:val="left"/>
            </w:pPr>
            <w:r>
              <w:rPr>
                <w:i/>
              </w:rPr>
              <w:t>Type of Action</w:t>
            </w:r>
          </w:p>
        </w:tc>
        <w:tc>
          <w:tcPr>
            <w:tcW w:w="0" w:type="auto"/>
          </w:tcPr>
          <w:p w14:paraId="5E1A813B" w14:textId="77777777" w:rsidR="00721C98" w:rsidRDefault="00AE7B71">
            <w:pPr>
              <w:pStyle w:val="CellTextValue"/>
            </w:pPr>
            <w:r>
              <w:rPr>
                <w:color w:val="000000"/>
              </w:rPr>
              <w:t>Coordination and Support Actions</w:t>
            </w:r>
          </w:p>
        </w:tc>
      </w:tr>
      <w:tr w:rsidR="00721C98" w14:paraId="13242ED3" w14:textId="77777777">
        <w:tc>
          <w:tcPr>
            <w:tcW w:w="0" w:type="auto"/>
          </w:tcPr>
          <w:p w14:paraId="5F05912F" w14:textId="77777777" w:rsidR="00721C98" w:rsidRDefault="00AE7B71">
            <w:pPr>
              <w:pStyle w:val="CellTextValue"/>
              <w:jc w:val="left"/>
            </w:pPr>
            <w:r>
              <w:rPr>
                <w:i/>
              </w:rPr>
              <w:t>Eligibility conditions</w:t>
            </w:r>
          </w:p>
        </w:tc>
        <w:tc>
          <w:tcPr>
            <w:tcW w:w="0" w:type="auto"/>
          </w:tcPr>
          <w:p w14:paraId="739FA2FE" w14:textId="77777777" w:rsidR="00721C98" w:rsidRDefault="00AE7B71">
            <w:pPr>
              <w:pStyle w:val="CellTextValue"/>
            </w:pPr>
            <w:r>
              <w:rPr>
                <w:color w:val="000000"/>
              </w:rPr>
              <w:t>The conditions are described in General Annex B. The following exceptions apply:</w:t>
            </w:r>
          </w:p>
          <w:p w14:paraId="4E3CF231" w14:textId="77777777" w:rsidR="00721C98" w:rsidRDefault="00AE7B71">
            <w:pPr>
              <w:pStyle w:val="CellTextValue"/>
            </w:pPr>
            <w:r>
              <w:rPr>
                <w:color w:val="000000"/>
              </w:rPr>
              <w:t>In order to achieve the expected outcomes, participation as coordinators to the call is limited to legal entities established in Widening countries, as defined in the Horizon Europe regulation, that have been or are coordinator of a Horizon 2020 or Horizon Europe Teaming action. Achiving the objectives of this topic requires in-depth knowledge of creating and sustaining a teaming centre of excellence that only a coordinator with this kind of experience can provide.</w:t>
            </w:r>
          </w:p>
        </w:tc>
      </w:tr>
    </w:tbl>
    <w:p w14:paraId="6E251324" w14:textId="77777777" w:rsidR="00721C98" w:rsidRDefault="00721C98">
      <w:pPr>
        <w:spacing w:after="0" w:line="150" w:lineRule="auto"/>
      </w:pPr>
    </w:p>
    <w:p w14:paraId="1F5C38A7" w14:textId="77777777" w:rsidR="00721C98" w:rsidRDefault="00AE7B71">
      <w:r>
        <w:rPr>
          <w:u w:val="single"/>
        </w:rPr>
        <w:t>Expected Outcome</w:t>
      </w:r>
      <w:r>
        <w:t xml:space="preserve">: </w:t>
      </w:r>
      <w:r>
        <w:rPr>
          <w:color w:val="000000"/>
        </w:rPr>
        <w:t>The Synergy action for Teaming Centres of Excellence (CoE) responds to the need to ensure the sustainability of CoE funded under the Teaming calls</w:t>
      </w:r>
      <w:r>
        <w:rPr>
          <w:vertAlign w:val="superscript"/>
        </w:rPr>
        <w:footnoteReference w:id="30"/>
      </w:r>
      <w:r>
        <w:rPr>
          <w:color w:val="000000"/>
        </w:rPr>
        <w:t>. The establishment of CoE in Widening countries, supported by a significant investment in Horizon 2020 and Horizon Europe, has created new opportunities for scientific, societal, and economic impact. However, to fully capitalise on this investment and enhance the sustainability and international competitiveness of these CoE, it is essential to facilitate stronger collaboration and strategic joint initiatives among them.</w:t>
      </w:r>
    </w:p>
    <w:p w14:paraId="2FF619CA" w14:textId="77777777" w:rsidR="00721C98" w:rsidRDefault="00AE7B71">
      <w:r>
        <w:rPr>
          <w:color w:val="000000"/>
        </w:rPr>
        <w:t>Proposals are expected to contribute to all the following outcomes:</w:t>
      </w:r>
    </w:p>
    <w:p w14:paraId="0F4819ED" w14:textId="77777777" w:rsidR="00721C98" w:rsidRDefault="00AE7B71" w:rsidP="00AE7B71">
      <w:pPr>
        <w:pStyle w:val="ListParagraph"/>
        <w:numPr>
          <w:ilvl w:val="0"/>
          <w:numId w:val="7"/>
        </w:numPr>
      </w:pPr>
      <w:r>
        <w:rPr>
          <w:color w:val="000000"/>
        </w:rPr>
        <w:t>Stronger long-term collaboration among Teaming CoE through structured joint initiatives and clustering efforts to enhance mutual learning, resource sharing, and collective research and innovation capacity;</w:t>
      </w:r>
    </w:p>
    <w:p w14:paraId="5C174DC5" w14:textId="77777777" w:rsidR="00721C98" w:rsidRDefault="00AE7B71" w:rsidP="00AE7B71">
      <w:pPr>
        <w:pStyle w:val="ListParagraph"/>
        <w:numPr>
          <w:ilvl w:val="0"/>
          <w:numId w:val="7"/>
        </w:numPr>
      </w:pPr>
      <w:r>
        <w:rPr>
          <w:color w:val="000000"/>
        </w:rPr>
        <w:t>Strategic transformation of R&amp;I systems by enhancing institutional cooperation and supporting structural reforms at national and regional levels;</w:t>
      </w:r>
    </w:p>
    <w:p w14:paraId="050F7302" w14:textId="77777777" w:rsidR="00721C98" w:rsidRDefault="00AE7B71" w:rsidP="00AE7B71">
      <w:pPr>
        <w:pStyle w:val="ListParagraph"/>
        <w:numPr>
          <w:ilvl w:val="0"/>
          <w:numId w:val="7"/>
        </w:numPr>
      </w:pPr>
      <w:r>
        <w:rPr>
          <w:color w:val="000000"/>
        </w:rPr>
        <w:lastRenderedPageBreak/>
        <w:t>Promotion of multidisciplinary and transnational cooperation that will enable CoE to address critical European and global challenges, and EU policy priorities;</w:t>
      </w:r>
    </w:p>
    <w:p w14:paraId="3CBBD18B" w14:textId="77777777" w:rsidR="00721C98" w:rsidRDefault="00AE7B71" w:rsidP="00AE7B71">
      <w:pPr>
        <w:pStyle w:val="ListParagraph"/>
        <w:numPr>
          <w:ilvl w:val="0"/>
          <w:numId w:val="7"/>
        </w:numPr>
      </w:pPr>
      <w:r>
        <w:rPr>
          <w:color w:val="000000"/>
        </w:rPr>
        <w:t>Promote ERA priorities such as responsible AI usage, knowledge valorisation, commercialization, and entrepreneurial activities, such as SMEs and start-ups, within the CoE to maximise economic and societal impact;</w:t>
      </w:r>
    </w:p>
    <w:p w14:paraId="0C6295B8" w14:textId="77777777" w:rsidR="00721C98" w:rsidRDefault="00AE7B71" w:rsidP="00AE7B71">
      <w:pPr>
        <w:pStyle w:val="ListParagraph"/>
        <w:numPr>
          <w:ilvl w:val="0"/>
          <w:numId w:val="7"/>
        </w:numPr>
      </w:pPr>
      <w:r>
        <w:rPr>
          <w:color w:val="000000"/>
        </w:rPr>
        <w:t>Stronger visibility of CoE and their recognition at national, regional, and European levels through structured engagement with industry, policymakers, and society;</w:t>
      </w:r>
    </w:p>
    <w:p w14:paraId="3D166D9D" w14:textId="77777777" w:rsidR="00721C98" w:rsidRDefault="00AE7B71" w:rsidP="00AE7B71">
      <w:pPr>
        <w:pStyle w:val="ListParagraph"/>
        <w:numPr>
          <w:ilvl w:val="0"/>
          <w:numId w:val="7"/>
        </w:numPr>
      </w:pPr>
      <w:r>
        <w:rPr>
          <w:color w:val="000000"/>
        </w:rPr>
        <w:t>Improved synergies between CoE and national and EU programmes to leverage additional funding opportunities and policy support.</w:t>
      </w:r>
    </w:p>
    <w:p w14:paraId="2077FB9A" w14:textId="77777777" w:rsidR="00721C98" w:rsidRDefault="00AE7B71">
      <w:r>
        <w:rPr>
          <w:u w:val="single"/>
        </w:rPr>
        <w:t>Scope</w:t>
      </w:r>
      <w:r>
        <w:t xml:space="preserve">: </w:t>
      </w:r>
      <w:r>
        <w:rPr>
          <w:color w:val="000000"/>
        </w:rPr>
        <w:t>The call topic aims at fostering collaboration among Teaming Centres of Excellence, both existing ones and those resulting from ongoing or future calls, in view of supporting their efforts towards sustainability and increased impact at the regional, national and European level.</w:t>
      </w:r>
    </w:p>
    <w:p w14:paraId="35FBF513" w14:textId="77777777" w:rsidR="00721C98" w:rsidRDefault="00AE7B71">
      <w:r>
        <w:rPr>
          <w:color w:val="000000"/>
        </w:rPr>
        <w:t>Proposals are expected to include at least the following activities:</w:t>
      </w:r>
    </w:p>
    <w:p w14:paraId="1DF5A13D" w14:textId="77777777" w:rsidR="00721C98" w:rsidRDefault="00AE7B71">
      <w:r>
        <w:rPr>
          <w:b/>
          <w:color w:val="000000"/>
        </w:rPr>
        <w:t>Strategic Clustering for thematic collaboration:</w:t>
      </w:r>
      <w:r>
        <w:rPr>
          <w:color w:val="000000"/>
        </w:rPr>
        <w:t xml:space="preserve"> Conducting an in-depth analysis of CoE capacities, research domains, innovation potential, and their role in national and regional quadruple helixes. The aim is to define strategic clusters addressing common research and innovation challenges, supporting EU priorities, and contributing to policy reforms.</w:t>
      </w:r>
    </w:p>
    <w:p w14:paraId="733751A3" w14:textId="77777777" w:rsidR="00721C98" w:rsidRDefault="00AE7B71">
      <w:r>
        <w:rPr>
          <w:b/>
          <w:color w:val="000000"/>
        </w:rPr>
        <w:t>Pilot implementation of thematic clusters:</w:t>
      </w:r>
      <w:r>
        <w:rPr>
          <w:color w:val="000000"/>
        </w:rPr>
        <w:t xml:space="preserve"> Establish clusters and support the coordinated implementation of activities, building e.g. on geographically distributed research capacities and infrastructures, interdisciplinary research collaborations, policy support for national and/or institutional R&amp;I reform, or entrepreneurship-focused activities.</w:t>
      </w:r>
    </w:p>
    <w:p w14:paraId="2C43C810" w14:textId="77777777" w:rsidR="00721C98" w:rsidRDefault="00AE7B71">
      <w:r>
        <w:rPr>
          <w:b/>
          <w:color w:val="000000"/>
        </w:rPr>
        <w:t>Capacity building for knowledge valorisation:</w:t>
      </w:r>
      <w:r>
        <w:rPr>
          <w:color w:val="000000"/>
        </w:rPr>
        <w:t xml:space="preserve"> Offering specialised training, peer learning, expert coaching, and workshops to improve CoE expertise in knowledge valorisation.</w:t>
      </w:r>
    </w:p>
    <w:p w14:paraId="3F5ECC61" w14:textId="77777777" w:rsidR="00721C98" w:rsidRDefault="00AE7B71">
      <w:r>
        <w:rPr>
          <w:b/>
          <w:color w:val="000000"/>
        </w:rPr>
        <w:t>Networking and matchmaking:</w:t>
      </w:r>
      <w:r>
        <w:rPr>
          <w:color w:val="000000"/>
        </w:rPr>
        <w:t xml:space="preserve"> Organising dedicated matchmaking events, policy forums, and startup pitching events to connect CoE with industry, investors, and policymakers, supporting their market outreach and strategic partnerships.</w:t>
      </w:r>
    </w:p>
    <w:p w14:paraId="32D3726A" w14:textId="77777777" w:rsidR="00721C98" w:rsidRDefault="00AE7B71">
      <w:r>
        <w:rPr>
          <w:b/>
          <w:color w:val="000000"/>
        </w:rPr>
        <w:t>Teaming online platform:</w:t>
      </w:r>
      <w:r>
        <w:rPr>
          <w:color w:val="000000"/>
        </w:rPr>
        <w:t xml:space="preserve"> Developing a digital networking platform to improve cooperation among CoE, provide access to shared resources, showcase success stories, and facilitate continuous interaction between research institutions, industry, and policymakers.</w:t>
      </w:r>
    </w:p>
    <w:p w14:paraId="74D929CA" w14:textId="77777777" w:rsidR="00721C98" w:rsidRDefault="00AE7B71">
      <w:r>
        <w:rPr>
          <w:b/>
          <w:color w:val="000000"/>
        </w:rPr>
        <w:t>Teaming conference:</w:t>
      </w:r>
      <w:r>
        <w:rPr>
          <w:color w:val="000000"/>
        </w:rPr>
        <w:t xml:space="preserve"> Establish the conference as an internationally recognized event, stimulating cross-fertilization of scientific ideas, promoting industry-academia collaborations, attracting international talents and rewarding early-career researchers through Teaming awards.</w:t>
      </w:r>
    </w:p>
    <w:p w14:paraId="4A25300E" w14:textId="77777777" w:rsidR="00721C98" w:rsidRDefault="00AE7B71">
      <w:r>
        <w:rPr>
          <w:b/>
          <w:color w:val="000000"/>
        </w:rPr>
        <w:lastRenderedPageBreak/>
        <w:t>Entrepreneurship and tech transfer support:</w:t>
      </w:r>
      <w:r>
        <w:rPr>
          <w:color w:val="000000"/>
        </w:rPr>
        <w:t xml:space="preserve"> Encouraging the creation of spin-offs and start-ups, licensing opportunities, and investment-readiness initiatives to ensure research outputs lead to marketable innovations.</w:t>
      </w:r>
    </w:p>
    <w:p w14:paraId="0FB164BA" w14:textId="77777777" w:rsidR="00721C98" w:rsidRDefault="00AE7B71">
      <w:r>
        <w:rPr>
          <w:color w:val="000000"/>
        </w:rPr>
        <w:t>To achieve the expected outcomes, the consortium is expected to provide a comprehensive range of expertise commensurate with the proposed activities. A core of the consortium should be able to demonstrate successful implementation of sustainability strategies of a Teaming CoE. Complementary members of the consortium can provide specific expertise on e.g. communication, training, knowledge valorisation and IPR issues. The consortium should to demonstrate a geographical coverage of its activities that is able</w:t>
      </w:r>
      <w:r>
        <w:rPr>
          <w:color w:val="000000"/>
        </w:rPr>
        <w:t xml:space="preserve"> to reach all past, existing and future Teaming CoEs that wish to participate in the activities and benefit from the services offered by the consortium. The consortium is encouraged to maximise the use of existing services and facilities, such as the Widening Dissemination and Exploitation Support Facility, to avoid duplication and creation of competing services.</w:t>
      </w:r>
    </w:p>
    <w:p w14:paraId="2371ECAB" w14:textId="77777777" w:rsidR="00721C98" w:rsidRDefault="00AE7B71">
      <w:r>
        <w:rPr>
          <w:color w:val="000000"/>
        </w:rPr>
        <w:t>In order to assess the efficient and effective implementation of the proposed activities a set of key performance indicators tailored to the objectives of the action should be outlined in the proposal.</w:t>
      </w:r>
    </w:p>
    <w:p w14:paraId="64911F54" w14:textId="77777777" w:rsidR="00721C98" w:rsidRDefault="00AE7B71">
      <w:r>
        <w:rPr>
          <w:color w:val="000000"/>
        </w:rPr>
        <w:t>The duration of this action should be 5 years.</w:t>
      </w:r>
    </w:p>
    <w:p w14:paraId="2E6BD719" w14:textId="77777777" w:rsidR="00721C98" w:rsidRDefault="00AE7B71">
      <w:pPr>
        <w:pStyle w:val="HeadingThree"/>
      </w:pPr>
      <w:r>
        <w:t>HORIZON-WIDERA-2026-02-WIDENING-01: Twinning</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DB4111" w14:paraId="1F994540" w14:textId="77777777" w:rsidTr="00DB4111">
        <w:tc>
          <w:tcPr>
            <w:tcW w:w="0" w:type="auto"/>
            <w:gridSpan w:val="2"/>
          </w:tcPr>
          <w:p w14:paraId="7A279E0A" w14:textId="77777777" w:rsidR="00721C98" w:rsidRDefault="00AE7B71">
            <w:pPr>
              <w:pStyle w:val="CellTextValue"/>
            </w:pPr>
            <w:r>
              <w:rPr>
                <w:b/>
              </w:rPr>
              <w:t>Call: Twinning</w:t>
            </w:r>
          </w:p>
        </w:tc>
      </w:tr>
      <w:tr w:rsidR="00DB4111" w14:paraId="449B2637" w14:textId="77777777" w:rsidTr="00DB4111">
        <w:tc>
          <w:tcPr>
            <w:tcW w:w="0" w:type="auto"/>
            <w:gridSpan w:val="2"/>
          </w:tcPr>
          <w:p w14:paraId="560263BE" w14:textId="77777777" w:rsidR="00721C98" w:rsidRDefault="00AE7B71">
            <w:pPr>
              <w:pStyle w:val="CellTextValue"/>
            </w:pPr>
            <w:r>
              <w:rPr>
                <w:b/>
              </w:rPr>
              <w:t>Specific conditions</w:t>
            </w:r>
          </w:p>
        </w:tc>
      </w:tr>
      <w:tr w:rsidR="00721C98" w14:paraId="0E116F31" w14:textId="77777777">
        <w:tc>
          <w:tcPr>
            <w:tcW w:w="0" w:type="auto"/>
          </w:tcPr>
          <w:p w14:paraId="0F15DBEF" w14:textId="77777777" w:rsidR="00721C98" w:rsidRDefault="00AE7B71">
            <w:pPr>
              <w:pStyle w:val="CellTextValue"/>
              <w:jc w:val="left"/>
            </w:pPr>
            <w:r>
              <w:rPr>
                <w:i/>
              </w:rPr>
              <w:t>Expected EU contribution per project</w:t>
            </w:r>
          </w:p>
        </w:tc>
        <w:tc>
          <w:tcPr>
            <w:tcW w:w="0" w:type="auto"/>
          </w:tcPr>
          <w:p w14:paraId="54A30C08" w14:textId="77777777" w:rsidR="00721C98" w:rsidRDefault="00AE7B71">
            <w:pPr>
              <w:pStyle w:val="CellTextValue"/>
            </w:pPr>
            <w:r>
              <w:t>The Commission estimates that an EU contribution of between EUR 0.80 and 1.50 million would allow these outcomes to be addressed appropriately. Nonetheless, this does not preclude submission and selection of a proposal requesting different amounts.</w:t>
            </w:r>
          </w:p>
        </w:tc>
      </w:tr>
      <w:tr w:rsidR="00721C98" w14:paraId="1B6970C5" w14:textId="77777777">
        <w:tc>
          <w:tcPr>
            <w:tcW w:w="0" w:type="auto"/>
          </w:tcPr>
          <w:p w14:paraId="4DE36DF0" w14:textId="77777777" w:rsidR="00721C98" w:rsidRDefault="00AE7B71">
            <w:pPr>
              <w:pStyle w:val="CellTextValue"/>
              <w:jc w:val="left"/>
            </w:pPr>
            <w:r>
              <w:rPr>
                <w:i/>
              </w:rPr>
              <w:t>Indicative budget</w:t>
            </w:r>
          </w:p>
        </w:tc>
        <w:tc>
          <w:tcPr>
            <w:tcW w:w="0" w:type="auto"/>
          </w:tcPr>
          <w:p w14:paraId="28FD6070" w14:textId="77777777" w:rsidR="00721C98" w:rsidRDefault="00AE7B71">
            <w:pPr>
              <w:pStyle w:val="CellTextValue"/>
            </w:pPr>
            <w:r>
              <w:t>The total indicative budget for the topic is EUR 264.50 million.</w:t>
            </w:r>
          </w:p>
        </w:tc>
      </w:tr>
      <w:tr w:rsidR="00721C98" w14:paraId="28D5002F" w14:textId="77777777">
        <w:tc>
          <w:tcPr>
            <w:tcW w:w="0" w:type="auto"/>
          </w:tcPr>
          <w:p w14:paraId="3718055E" w14:textId="77777777" w:rsidR="00721C98" w:rsidRDefault="00AE7B71">
            <w:pPr>
              <w:pStyle w:val="CellTextValue"/>
              <w:jc w:val="left"/>
            </w:pPr>
            <w:r>
              <w:rPr>
                <w:i/>
              </w:rPr>
              <w:t>Type of Action</w:t>
            </w:r>
          </w:p>
        </w:tc>
        <w:tc>
          <w:tcPr>
            <w:tcW w:w="0" w:type="auto"/>
          </w:tcPr>
          <w:p w14:paraId="2F92ABC9" w14:textId="77777777" w:rsidR="00721C98" w:rsidRDefault="00AE7B71">
            <w:pPr>
              <w:pStyle w:val="CellTextValue"/>
            </w:pPr>
            <w:r>
              <w:rPr>
                <w:color w:val="000000"/>
              </w:rPr>
              <w:t>Coordination and Support Actions</w:t>
            </w:r>
          </w:p>
        </w:tc>
      </w:tr>
      <w:tr w:rsidR="00721C98" w14:paraId="13B3EBED" w14:textId="77777777">
        <w:tc>
          <w:tcPr>
            <w:tcW w:w="0" w:type="auto"/>
          </w:tcPr>
          <w:p w14:paraId="0E74CD77" w14:textId="77777777" w:rsidR="00721C98" w:rsidRDefault="00AE7B71">
            <w:pPr>
              <w:pStyle w:val="CellTextValue"/>
              <w:jc w:val="left"/>
            </w:pPr>
            <w:r>
              <w:rPr>
                <w:i/>
              </w:rPr>
              <w:t>Eligibility conditions</w:t>
            </w:r>
          </w:p>
        </w:tc>
        <w:tc>
          <w:tcPr>
            <w:tcW w:w="0" w:type="auto"/>
          </w:tcPr>
          <w:p w14:paraId="31FAFF29" w14:textId="77777777" w:rsidR="00721C98" w:rsidRDefault="00AE7B71">
            <w:pPr>
              <w:pStyle w:val="CellTextValue"/>
            </w:pPr>
            <w:r>
              <w:rPr>
                <w:color w:val="000000"/>
              </w:rPr>
              <w:t>The conditions are described in General Annex B. The following exceptions apply:</w:t>
            </w:r>
          </w:p>
          <w:p w14:paraId="051B92D4" w14:textId="77777777" w:rsidR="00721C98" w:rsidRDefault="00AE7B71">
            <w:pPr>
              <w:pStyle w:val="CellTextValue"/>
            </w:pPr>
            <w:r>
              <w:rPr>
                <w:color w:val="000000"/>
              </w:rPr>
              <w:t>The following additional eligibility criteria apply:</w:t>
            </w:r>
          </w:p>
          <w:p w14:paraId="0DDC74B5" w14:textId="77777777" w:rsidR="00721C98" w:rsidRDefault="00AE7B71">
            <w:r>
              <w:rPr>
                <w:color w:val="000000"/>
              </w:rPr>
              <w:t>In order to achieve the expected outcomes, participation as coordinators to the call is limited to legal entities established in Widening countries, as defined in the Horizon Europe regulation.</w:t>
            </w:r>
          </w:p>
          <w:p w14:paraId="5D76053D" w14:textId="77777777" w:rsidR="00721C98" w:rsidRDefault="00AE7B71">
            <w:pPr>
              <w:pStyle w:val="CellTextValue"/>
            </w:pPr>
            <w:r>
              <w:rPr>
                <w:color w:val="000000"/>
              </w:rPr>
              <w:t xml:space="preserve">The Joint Research Centre (JRC) may participate as member of the consortium selected for funding as a beneficiary with zero funding, or as an associated partner. The JRC will not participate in the preparation and </w:t>
            </w:r>
            <w:r>
              <w:rPr>
                <w:color w:val="000000"/>
              </w:rPr>
              <w:lastRenderedPageBreak/>
              <w:t>submission of the proposal - see General Annex B.</w:t>
            </w:r>
          </w:p>
        </w:tc>
      </w:tr>
      <w:tr w:rsidR="00721C98" w14:paraId="6CF0EA00" w14:textId="77777777">
        <w:tc>
          <w:tcPr>
            <w:tcW w:w="0" w:type="auto"/>
          </w:tcPr>
          <w:p w14:paraId="786E92C0" w14:textId="77777777" w:rsidR="00721C98" w:rsidRDefault="00AE7B71">
            <w:pPr>
              <w:pStyle w:val="CellTextValue"/>
              <w:jc w:val="left"/>
            </w:pPr>
            <w:r>
              <w:rPr>
                <w:i/>
              </w:rPr>
              <w:lastRenderedPageBreak/>
              <w:t>Procedure</w:t>
            </w:r>
          </w:p>
        </w:tc>
        <w:tc>
          <w:tcPr>
            <w:tcW w:w="0" w:type="auto"/>
          </w:tcPr>
          <w:p w14:paraId="4500BDAB" w14:textId="77777777" w:rsidR="00721C98" w:rsidRDefault="00AE7B71">
            <w:pPr>
              <w:pStyle w:val="CellTextValue"/>
            </w:pPr>
            <w:r>
              <w:rPr>
                <w:color w:val="000000"/>
              </w:rPr>
              <w:t>The procedure is described in General Annex F. The following exceptions apply:</w:t>
            </w:r>
          </w:p>
          <w:p w14:paraId="487934F1" w14:textId="77777777" w:rsidR="00721C98" w:rsidRDefault="00AE7B71">
            <w:pPr>
              <w:pStyle w:val="CellTextValue"/>
            </w:pPr>
            <w:r>
              <w:rPr>
                <w:color w:val="000000"/>
              </w:rPr>
              <w:t xml:space="preserve">The following rules for dealing with ex-aequo applications apply: in the first place, ex-aequo proposals will be prioritised according to geographical diversity criteria, defined as proposals with coordinators established in a Widening country, not otherwise represented as coordinator higher up the ranking list. The method described in Points 1), 2), 3) and 5) of General Annexes Part F (Procedure/Evaluation procedure and ranking) will then be applied to the remaining equally ranking proposals in the group. </w:t>
            </w:r>
            <w:r>
              <w:rPr>
                <w:color w:val="000000"/>
              </w:rPr>
              <w:t>This rule establishing the priority order serves to better spread the impact of the action and to strengthen the efficiency of the ‘Widening participation and spreading excellence’ programme.</w:t>
            </w:r>
          </w:p>
        </w:tc>
      </w:tr>
      <w:tr w:rsidR="00721C98" w14:paraId="7289FE0D" w14:textId="77777777">
        <w:tc>
          <w:tcPr>
            <w:tcW w:w="0" w:type="auto"/>
          </w:tcPr>
          <w:p w14:paraId="714DE3C7" w14:textId="77777777" w:rsidR="00721C98" w:rsidRDefault="00AE7B71">
            <w:pPr>
              <w:pStyle w:val="CellTextValue"/>
              <w:jc w:val="left"/>
            </w:pPr>
            <w:r>
              <w:rPr>
                <w:i/>
              </w:rPr>
              <w:t>Legal and financial set-up of the Grant Agreements</w:t>
            </w:r>
          </w:p>
        </w:tc>
        <w:tc>
          <w:tcPr>
            <w:tcW w:w="0" w:type="auto"/>
          </w:tcPr>
          <w:p w14:paraId="54284B25" w14:textId="77777777" w:rsidR="00721C98" w:rsidRDefault="00AE7B71">
            <w:pPr>
              <w:pStyle w:val="CellTextValue"/>
            </w:pPr>
            <w:r>
              <w:rPr>
                <w:color w:val="000000"/>
              </w:rPr>
              <w:t>The rules are described in General Annex G. The following exceptions apply:</w:t>
            </w:r>
          </w:p>
          <w:p w14:paraId="28D79C0A"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1"/>
            </w:r>
            <w:r>
              <w:rPr>
                <w:color w:val="000000"/>
              </w:rPr>
              <w:t>.</w:t>
            </w:r>
          </w:p>
        </w:tc>
      </w:tr>
      <w:tr w:rsidR="00721C98" w14:paraId="382C123B" w14:textId="77777777">
        <w:tc>
          <w:tcPr>
            <w:tcW w:w="0" w:type="auto"/>
          </w:tcPr>
          <w:p w14:paraId="32E4316F" w14:textId="77777777" w:rsidR="00721C98" w:rsidRDefault="00AE7B71">
            <w:pPr>
              <w:pStyle w:val="CellTextValue"/>
              <w:jc w:val="left"/>
            </w:pPr>
            <w:r>
              <w:rPr>
                <w:i/>
              </w:rPr>
              <w:t>Evaluation and award procedure</w:t>
            </w:r>
          </w:p>
        </w:tc>
        <w:tc>
          <w:tcPr>
            <w:tcW w:w="0" w:type="auto"/>
          </w:tcPr>
          <w:p w14:paraId="77493AC6" w14:textId="77777777" w:rsidR="00721C98" w:rsidRDefault="00AE7B71">
            <w:pPr>
              <w:pStyle w:val="CellTextValue"/>
            </w:pPr>
            <w:r>
              <w:rPr>
                <w:color w:val="000000"/>
              </w:rPr>
              <w:t>Evaluation process by the evaluation committee: Proposals will be first evaluated and scored individually by at least four expert evaluators with respect to the award criteria. The score for each award criterion will be the median of the evaluators’ scores. The overall score from this individual evaluation phase will be the sum of the three median scores from the three award criteria.</w:t>
            </w:r>
          </w:p>
          <w:p w14:paraId="4F60BAC2" w14:textId="77777777" w:rsidR="00721C98" w:rsidRDefault="00AE7B71">
            <w:r>
              <w:rPr>
                <w:color w:val="000000"/>
              </w:rPr>
              <w:t>These individual assessments/reports of the 4 evaluators will then be quality checked and, if necessary, further discussed at the panel review.</w:t>
            </w:r>
          </w:p>
          <w:p w14:paraId="4CE995FE" w14:textId="77777777" w:rsidR="00721C98" w:rsidRDefault="00AE7B71">
            <w:r>
              <w:rPr>
                <w:color w:val="000000"/>
              </w:rPr>
              <w:t>The Evaluation Summary Report will comprise the final score, a collation of the comments from the four individual assessments/ reports, including a comment that summarises the assessment by the evaluation committee.</w:t>
            </w:r>
          </w:p>
        </w:tc>
      </w:tr>
    </w:tbl>
    <w:p w14:paraId="0DC43CED" w14:textId="77777777" w:rsidR="00721C98" w:rsidRDefault="00721C98">
      <w:pPr>
        <w:spacing w:after="0" w:line="150" w:lineRule="auto"/>
      </w:pPr>
    </w:p>
    <w:p w14:paraId="3C61FB42" w14:textId="77777777" w:rsidR="00721C98" w:rsidRDefault="00AE7B71">
      <w:r>
        <w:rPr>
          <w:u w:val="single"/>
        </w:rPr>
        <w:lastRenderedPageBreak/>
        <w:t>Expected Outcome</w:t>
      </w:r>
      <w:r>
        <w:t xml:space="preserve">: </w:t>
      </w:r>
      <w:r>
        <w:rPr>
          <w:color w:val="000000"/>
        </w:rPr>
        <w:t>Twinning actions aim to enhance networking activities between the research institutions and research infrastructures of the Widening countries acting as co-ordinators by linking it with at least two internationally leading research institutions from two different Member States or Associated Countries. Twinning actions intend to raise the research profile of the institution from the Widening country and its staff, including strengthening the research management capacity.</w:t>
      </w:r>
    </w:p>
    <w:p w14:paraId="15F0DE6F" w14:textId="77777777" w:rsidR="00721C98" w:rsidRDefault="00AE7B71">
      <w:r>
        <w:rPr>
          <w:color w:val="000000"/>
        </w:rPr>
        <w:t>Proposals are expected to contribute to all of the following expected outcomes:</w:t>
      </w:r>
    </w:p>
    <w:p w14:paraId="5491F86D" w14:textId="77777777" w:rsidR="00721C98" w:rsidRDefault="00AE7B71" w:rsidP="00AE7B71">
      <w:pPr>
        <w:pStyle w:val="ListParagraph"/>
        <w:numPr>
          <w:ilvl w:val="0"/>
          <w:numId w:val="8"/>
        </w:numPr>
      </w:pPr>
      <w:r>
        <w:rPr>
          <w:color w:val="000000"/>
        </w:rPr>
        <w:t>Improved research excellence and capacities in Widening countries closing the research and innovation gap within the European Union;</w:t>
      </w:r>
    </w:p>
    <w:p w14:paraId="7EF45EF6" w14:textId="77777777" w:rsidR="00721C98" w:rsidRDefault="00AE7B71" w:rsidP="00AE7B71">
      <w:pPr>
        <w:pStyle w:val="ListParagraph"/>
        <w:numPr>
          <w:ilvl w:val="0"/>
          <w:numId w:val="8"/>
        </w:numPr>
      </w:pPr>
      <w:r>
        <w:rPr>
          <w:color w:val="000000"/>
        </w:rPr>
        <w:t>Enhanced strategic collaboration between the research institutions or higher education establishments of the Widening countries and at least two internationally leading research institutions or higher education establishments at European Union level;</w:t>
      </w:r>
    </w:p>
    <w:p w14:paraId="7FEBFCBF" w14:textId="77777777" w:rsidR="00721C98" w:rsidRDefault="00AE7B71" w:rsidP="00AE7B71">
      <w:pPr>
        <w:pStyle w:val="ListParagraph"/>
        <w:numPr>
          <w:ilvl w:val="0"/>
          <w:numId w:val="8"/>
        </w:numPr>
      </w:pPr>
      <w:r>
        <w:rPr>
          <w:color w:val="000000"/>
        </w:rPr>
        <w:t>Raised reputation, research profile and attractiveness of the coordinating institution, and improved research profile of its staff;</w:t>
      </w:r>
    </w:p>
    <w:p w14:paraId="1B4C357B" w14:textId="77777777" w:rsidR="00721C98" w:rsidRDefault="00AE7B71" w:rsidP="00AE7B71">
      <w:pPr>
        <w:pStyle w:val="ListParagraph"/>
        <w:numPr>
          <w:ilvl w:val="0"/>
          <w:numId w:val="8"/>
        </w:numPr>
      </w:pPr>
      <w:r>
        <w:rPr>
          <w:color w:val="000000"/>
        </w:rPr>
        <w:t>Strengthened research management capacities of the coordinating institution;</w:t>
      </w:r>
    </w:p>
    <w:p w14:paraId="55AC8088" w14:textId="77777777" w:rsidR="00721C98" w:rsidRDefault="00AE7B71" w:rsidP="00AE7B71">
      <w:pPr>
        <w:pStyle w:val="ListParagraph"/>
        <w:numPr>
          <w:ilvl w:val="0"/>
          <w:numId w:val="8"/>
        </w:numPr>
      </w:pPr>
      <w:r>
        <w:rPr>
          <w:color w:val="000000"/>
        </w:rPr>
        <w:t>Development of novel approaches in R&amp;I collaboration with increased mobility (inwards and outwards) of researchers.</w:t>
      </w:r>
    </w:p>
    <w:p w14:paraId="55CBBADF" w14:textId="77777777" w:rsidR="00721C98" w:rsidRDefault="00AE7B71">
      <w:r>
        <w:rPr>
          <w:u w:val="single"/>
        </w:rPr>
        <w:t>Scope</w:t>
      </w:r>
      <w:r>
        <w:t xml:space="preserve">: </w:t>
      </w:r>
      <w:r>
        <w:rPr>
          <w:color w:val="000000"/>
        </w:rPr>
        <w:t>Twinning proposals should clearly outline the strategy for stepping up and stimulating scientific excellence and innovation capacity in a defined area of research and innovation as well as the scientific excellence of the partners involved. This strategy should include arrangements for formulating joint research and innovation activities and projects in the scientific area of choice and describe how Twinning will take this research to a new level.</w:t>
      </w:r>
    </w:p>
    <w:p w14:paraId="03CCD236" w14:textId="77777777" w:rsidR="00721C98" w:rsidRDefault="00AE7B71">
      <w:r>
        <w:rPr>
          <w:color w:val="000000"/>
        </w:rPr>
        <w:t>This should be supported by a comprehensive set of activities such as, but not limited to, short-term staff exchanges, expert visits and short term on-site or virtual trainings, workshops; conference attendance, organisation of joint summer schools, dissemination and outreach activities. As far as appropriate these activities should take into account the gender equality plans of the participants.</w:t>
      </w:r>
    </w:p>
    <w:p w14:paraId="63A902E2" w14:textId="77777777" w:rsidR="00721C98" w:rsidRDefault="00AE7B71">
      <w:r>
        <w:rPr>
          <w:color w:val="000000"/>
        </w:rPr>
        <w:t>Proposals should also focus on strengthening the research management capacities of the coordinating institution. This should take the form of a dedicated work package or task, placing emphasis to specific activities, in view of helping the staff of the coordinating institution to improve their broader research management capacities as defined in the European Competence Framework for Research Managers</w:t>
      </w:r>
      <w:r>
        <w:rPr>
          <w:vertAlign w:val="superscript"/>
        </w:rPr>
        <w:footnoteReference w:id="32"/>
      </w:r>
      <w:r>
        <w:rPr>
          <w:color w:val="000000"/>
        </w:rPr>
        <w:t>, including establishing/upgrading a dedicated team within the coordinating institution. This will be achieved by fully utilising the experience and best practices of the internationally leading partners and is expected to be a concrete deliverable of the Twinning exercise.</w:t>
      </w:r>
    </w:p>
    <w:p w14:paraId="65E08AD1" w14:textId="77777777" w:rsidR="00721C98" w:rsidRDefault="00AE7B71">
      <w:r>
        <w:rPr>
          <w:color w:val="000000"/>
        </w:rPr>
        <w:lastRenderedPageBreak/>
        <w:t>A research and innovation component not exceeding 30% of the total Horizon Europe grant (including the indirect costs) may be included, which should be presented in a dedicated workpackage (WP1) entitled ‘Research component’. At least 50% of the budget for this component should be allocated to the coordinator. A research and innovation component involves the development and implementation of new ideas, methods, or technologies and advances the current state of the art in a particular field by pushing the bo</w:t>
      </w:r>
      <w:r>
        <w:rPr>
          <w:color w:val="000000"/>
        </w:rPr>
        <w:t>undaries of knowledge and creating novel solutions. All training related to research and innovation that advances beyond the state of the art should be budgeted and included in this work package.</w:t>
      </w:r>
    </w:p>
    <w:p w14:paraId="723A5149" w14:textId="77777777" w:rsidR="00721C98" w:rsidRDefault="00AE7B71">
      <w:r>
        <w:rPr>
          <w:color w:val="000000"/>
        </w:rPr>
        <w:t>The proposals should illustrate quantitatively and qualitatively the expected impact of the twinning exercise within the coordinating institution (and possibly at regional/national level) based on indicators such as scientific production and peer recognition, collaboration agreements with the non-academic sector, attracting and mobilising investments from the private sector, intellectual property developed, new innovative products or services, number of international students, number of female scientists an</w:t>
      </w:r>
      <w:r>
        <w:rPr>
          <w:color w:val="000000"/>
        </w:rPr>
        <w:t>d their roles in the research institutions.</w:t>
      </w:r>
    </w:p>
    <w:p w14:paraId="424D43CC" w14:textId="77777777" w:rsidR="00721C98" w:rsidRDefault="00AE7B71">
      <w:r>
        <w:rPr>
          <w:color w:val="000000"/>
        </w:rPr>
        <w:t>The proposal should demonstrate how the leading scientific institutions in the consortium will contribute in terms of provision of access to new research avenues, creativity and the development of new approaches, as well as acting as a source for increased gender equality, inclusiveness and mobility (inwards and outwards) of qualified scientists and young researchers including doctoral candidates.</w:t>
      </w:r>
    </w:p>
    <w:p w14:paraId="292EC0B4" w14:textId="77777777" w:rsidR="00721C98" w:rsidRDefault="00AE7B71">
      <w:r>
        <w:rPr>
          <w:color w:val="000000"/>
        </w:rPr>
        <w:t>This action is open for participation of the JRC that can contribute with specific expertise, where relevant, for the development of R&amp;I strategies depending on the R&amp;I domain chosen by the project, technology transfer and IPR management as well as linking up to regional smart specialisation strategy.</w:t>
      </w:r>
    </w:p>
    <w:p w14:paraId="01A379D5" w14:textId="77777777" w:rsidR="00721C98" w:rsidRDefault="00AE7B71">
      <w:r>
        <w:rPr>
          <w:color w:val="000000"/>
        </w:rPr>
        <w:t>The duration of the Twinning project should be up to 3 years.</w:t>
      </w:r>
    </w:p>
    <w:p w14:paraId="77859BF2" w14:textId="77777777" w:rsidR="00721C98" w:rsidRDefault="00AE7B71">
      <w:pPr>
        <w:pStyle w:val="HeadingThree"/>
      </w:pPr>
      <w:r>
        <w:t>HORIZON-WIDERA-2026-03-WIDENING-01: Hop-On Facility</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39"/>
        <w:gridCol w:w="7463"/>
      </w:tblGrid>
      <w:tr w:rsidR="00DB4111" w14:paraId="0EB9B8DD" w14:textId="77777777" w:rsidTr="00DB4111">
        <w:tc>
          <w:tcPr>
            <w:tcW w:w="0" w:type="auto"/>
            <w:gridSpan w:val="2"/>
          </w:tcPr>
          <w:p w14:paraId="5BBC7C43" w14:textId="77777777" w:rsidR="00721C98" w:rsidRDefault="00AE7B71">
            <w:pPr>
              <w:pStyle w:val="CellTextValue"/>
            </w:pPr>
            <w:r>
              <w:rPr>
                <w:b/>
              </w:rPr>
              <w:t>Call: Hop-on Facility</w:t>
            </w:r>
          </w:p>
        </w:tc>
      </w:tr>
      <w:tr w:rsidR="00DB4111" w14:paraId="1E4A0824" w14:textId="77777777" w:rsidTr="00DB4111">
        <w:tc>
          <w:tcPr>
            <w:tcW w:w="0" w:type="auto"/>
            <w:gridSpan w:val="2"/>
          </w:tcPr>
          <w:p w14:paraId="05F5B082" w14:textId="77777777" w:rsidR="00721C98" w:rsidRDefault="00AE7B71">
            <w:pPr>
              <w:pStyle w:val="CellTextValue"/>
            </w:pPr>
            <w:r>
              <w:rPr>
                <w:b/>
              </w:rPr>
              <w:t>Specific conditions</w:t>
            </w:r>
          </w:p>
        </w:tc>
      </w:tr>
      <w:tr w:rsidR="00721C98" w14:paraId="23F2D81D" w14:textId="77777777">
        <w:tc>
          <w:tcPr>
            <w:tcW w:w="0" w:type="auto"/>
          </w:tcPr>
          <w:p w14:paraId="192716A9" w14:textId="77777777" w:rsidR="00721C98" w:rsidRDefault="00AE7B71">
            <w:pPr>
              <w:pStyle w:val="CellTextValue"/>
              <w:jc w:val="left"/>
            </w:pPr>
            <w:r>
              <w:rPr>
                <w:i/>
              </w:rPr>
              <w:t>Expected EU contribution per project</w:t>
            </w:r>
          </w:p>
        </w:tc>
        <w:tc>
          <w:tcPr>
            <w:tcW w:w="0" w:type="auto"/>
          </w:tcPr>
          <w:p w14:paraId="0B9D131C" w14:textId="77777777" w:rsidR="00721C98" w:rsidRDefault="00AE7B71">
            <w:pPr>
              <w:pStyle w:val="CellTextValue"/>
            </w:pPr>
            <w:r>
              <w:t>The Commission estimates that an EU contribution of between EUR 0.20 and 0.60 million would allow these outcomes to be addressed appropriately. Nonetheless, this does not preclude submission and selection of a proposal requesting different amounts.</w:t>
            </w:r>
          </w:p>
        </w:tc>
      </w:tr>
      <w:tr w:rsidR="00721C98" w14:paraId="273AD9DE" w14:textId="77777777">
        <w:tc>
          <w:tcPr>
            <w:tcW w:w="0" w:type="auto"/>
          </w:tcPr>
          <w:p w14:paraId="36599A31" w14:textId="77777777" w:rsidR="00721C98" w:rsidRDefault="00AE7B71">
            <w:pPr>
              <w:pStyle w:val="CellTextValue"/>
              <w:jc w:val="left"/>
            </w:pPr>
            <w:r>
              <w:rPr>
                <w:i/>
              </w:rPr>
              <w:t>Indicative budget</w:t>
            </w:r>
          </w:p>
        </w:tc>
        <w:tc>
          <w:tcPr>
            <w:tcW w:w="0" w:type="auto"/>
          </w:tcPr>
          <w:p w14:paraId="267D127C" w14:textId="77777777" w:rsidR="00721C98" w:rsidRDefault="00AE7B71">
            <w:pPr>
              <w:pStyle w:val="CellTextValue"/>
            </w:pPr>
            <w:r>
              <w:t>The total indicative budget for the topic is EUR 30.00 million.</w:t>
            </w:r>
          </w:p>
        </w:tc>
      </w:tr>
      <w:tr w:rsidR="00721C98" w14:paraId="1E74BC17" w14:textId="77777777">
        <w:tc>
          <w:tcPr>
            <w:tcW w:w="0" w:type="auto"/>
          </w:tcPr>
          <w:p w14:paraId="17C4E3AE" w14:textId="77777777" w:rsidR="00721C98" w:rsidRDefault="00AE7B71">
            <w:pPr>
              <w:pStyle w:val="CellTextValue"/>
              <w:jc w:val="left"/>
            </w:pPr>
            <w:r>
              <w:rPr>
                <w:i/>
              </w:rPr>
              <w:t>Type of Action</w:t>
            </w:r>
          </w:p>
        </w:tc>
        <w:tc>
          <w:tcPr>
            <w:tcW w:w="0" w:type="auto"/>
          </w:tcPr>
          <w:p w14:paraId="775F4F5E" w14:textId="77777777" w:rsidR="00721C98" w:rsidRDefault="00AE7B71">
            <w:pPr>
              <w:pStyle w:val="CellTextValue"/>
            </w:pPr>
            <w:r>
              <w:rPr>
                <w:color w:val="000000"/>
              </w:rPr>
              <w:t>Research and Innovation Actions</w:t>
            </w:r>
          </w:p>
        </w:tc>
      </w:tr>
      <w:tr w:rsidR="00721C98" w14:paraId="33D0D891" w14:textId="77777777">
        <w:tc>
          <w:tcPr>
            <w:tcW w:w="0" w:type="auto"/>
          </w:tcPr>
          <w:p w14:paraId="7F608A67" w14:textId="77777777" w:rsidR="00721C98" w:rsidRDefault="00AE7B71">
            <w:pPr>
              <w:pStyle w:val="CellTextValue"/>
              <w:jc w:val="left"/>
            </w:pPr>
            <w:r>
              <w:rPr>
                <w:i/>
              </w:rPr>
              <w:t xml:space="preserve">Eligibility </w:t>
            </w:r>
            <w:r>
              <w:rPr>
                <w:i/>
              </w:rPr>
              <w:lastRenderedPageBreak/>
              <w:t>conditions</w:t>
            </w:r>
          </w:p>
        </w:tc>
        <w:tc>
          <w:tcPr>
            <w:tcW w:w="0" w:type="auto"/>
          </w:tcPr>
          <w:p w14:paraId="35AA9FA2" w14:textId="77777777" w:rsidR="00721C98" w:rsidRDefault="00AE7B71">
            <w:pPr>
              <w:pStyle w:val="CellTextValue"/>
            </w:pPr>
            <w:r>
              <w:rPr>
                <w:color w:val="000000"/>
              </w:rPr>
              <w:lastRenderedPageBreak/>
              <w:t xml:space="preserve">The conditions are described in General Annex B. The following </w:t>
            </w:r>
            <w:r>
              <w:rPr>
                <w:color w:val="000000"/>
              </w:rPr>
              <w:lastRenderedPageBreak/>
              <w:t>exceptions apply:</w:t>
            </w:r>
          </w:p>
          <w:p w14:paraId="6DBADA66" w14:textId="77777777" w:rsidR="00721C98" w:rsidRDefault="00AE7B71">
            <w:pPr>
              <w:pStyle w:val="CellTextValue"/>
            </w:pPr>
            <w:r>
              <w:rPr>
                <w:color w:val="000000"/>
              </w:rPr>
              <w:t>The following additional eligibility criteria apply:</w:t>
            </w:r>
          </w:p>
          <w:p w14:paraId="34595F03" w14:textId="77777777" w:rsidR="00721C98" w:rsidRDefault="00AE7B71">
            <w:r>
              <w:rPr>
                <w:color w:val="000000"/>
              </w:rPr>
              <w:t>1. The proposal must include only:</w:t>
            </w:r>
          </w:p>
          <w:p w14:paraId="639EB58D" w14:textId="77777777" w:rsidR="00721C98" w:rsidRDefault="00AE7B71" w:rsidP="00AE7B71">
            <w:pPr>
              <w:pStyle w:val="ListParagraph"/>
              <w:numPr>
                <w:ilvl w:val="0"/>
                <w:numId w:val="9"/>
              </w:numPr>
              <w:spacing w:after="150"/>
              <w:ind w:right="100"/>
            </w:pPr>
            <w:r>
              <w:rPr>
                <w:color w:val="000000"/>
              </w:rPr>
              <w:t>One legal entity, as a beneficiary, established in a Widening country.</w:t>
            </w:r>
          </w:p>
          <w:p w14:paraId="5AA7DCA7" w14:textId="77777777" w:rsidR="00721C98" w:rsidRDefault="00AE7B71" w:rsidP="00AE7B71">
            <w:pPr>
              <w:pStyle w:val="ListParagraph"/>
              <w:numPr>
                <w:ilvl w:val="0"/>
                <w:numId w:val="9"/>
              </w:numPr>
              <w:spacing w:after="150"/>
              <w:ind w:right="100"/>
            </w:pPr>
            <w:r>
              <w:rPr>
                <w:color w:val="000000"/>
              </w:rPr>
              <w:t>One legal entity which is the coordinator of an ‘eligible already funded action'.</w:t>
            </w:r>
          </w:p>
          <w:p w14:paraId="74C8EB3A" w14:textId="77777777" w:rsidR="00721C98" w:rsidRDefault="00AE7B71">
            <w:r>
              <w:rPr>
                <w:color w:val="000000"/>
              </w:rPr>
              <w:t>2. The proposal must be submitted by the coordinator of the ‘eligible already funded action’. No more than 10% of the maximum grant amount can be allocated to the coordinator as a coordination fee for the integration of the new widening beneficiary. No less than 90% of the max grant amount must be allocated to the widening beneficiary.</w:t>
            </w:r>
          </w:p>
          <w:p w14:paraId="5AF4F3E0" w14:textId="77777777" w:rsidR="00721C98" w:rsidRDefault="00AE7B71">
            <w:r>
              <w:rPr>
                <w:color w:val="000000"/>
              </w:rPr>
              <w:t>An ‘eligible already funded action’ refers to an action stemming from a Horizon Europe grant agreement that also meets the following conditions:</w:t>
            </w:r>
          </w:p>
          <w:p w14:paraId="023CB01F" w14:textId="77777777" w:rsidR="00721C98" w:rsidRDefault="00AE7B71" w:rsidP="00AE7B71">
            <w:pPr>
              <w:pStyle w:val="ListParagraph"/>
              <w:numPr>
                <w:ilvl w:val="0"/>
                <w:numId w:val="10"/>
              </w:numPr>
              <w:spacing w:after="150"/>
              <w:ind w:right="100"/>
            </w:pPr>
            <w:r>
              <w:rPr>
                <w:color w:val="000000"/>
              </w:rPr>
              <w:t>No legal entity established in a Widening country is already a beneficiary, affiliated entity or associated partner in the Horizon Europe grant agreement.</w:t>
            </w:r>
          </w:p>
          <w:p w14:paraId="6D3D3D45" w14:textId="77777777" w:rsidR="00721C98" w:rsidRDefault="00AE7B71" w:rsidP="00AE7B71">
            <w:pPr>
              <w:pStyle w:val="ListParagraph"/>
              <w:numPr>
                <w:ilvl w:val="0"/>
                <w:numId w:val="10"/>
              </w:numPr>
              <w:spacing w:after="150"/>
              <w:ind w:right="100"/>
            </w:pPr>
            <w:r>
              <w:rPr>
                <w:color w:val="000000"/>
              </w:rPr>
              <w:t>At the time of submission of the proposal (and for any grant agreement signature), the granting authority of the Horizon Europe grant agreement is the European Commission or an Executive Agency.</w:t>
            </w:r>
          </w:p>
          <w:p w14:paraId="6164801F" w14:textId="77777777" w:rsidR="00721C98" w:rsidRDefault="00AE7B71" w:rsidP="00AE7B71">
            <w:pPr>
              <w:pStyle w:val="ListParagraph"/>
              <w:numPr>
                <w:ilvl w:val="0"/>
                <w:numId w:val="10"/>
              </w:numPr>
              <w:spacing w:after="150"/>
              <w:ind w:right="100"/>
            </w:pPr>
            <w:r>
              <w:rPr>
                <w:color w:val="000000"/>
              </w:rPr>
              <w:t>The Horizon Europe grant agreement was awarded to Horizon Pillar II ‘main’ Work Programme or EIC Pathfinder collaborative R&amp;I actions.</w:t>
            </w:r>
          </w:p>
          <w:p w14:paraId="6793FFFF" w14:textId="77777777" w:rsidR="00721C98" w:rsidRDefault="00AE7B71" w:rsidP="00AE7B71">
            <w:pPr>
              <w:pStyle w:val="ListParagraph"/>
              <w:numPr>
                <w:ilvl w:val="0"/>
                <w:numId w:val="10"/>
              </w:numPr>
              <w:spacing w:after="150"/>
              <w:ind w:right="100"/>
            </w:pPr>
            <w:r>
              <w:rPr>
                <w:color w:val="000000"/>
              </w:rPr>
              <w:t>The first reporting period of the Horizon Europe grant agreement is ongoing at the submission deadline. Furthermore, the ongoing grant agreement is between 1 to 12 months from its starting date by the submission deadline.</w:t>
            </w:r>
          </w:p>
        </w:tc>
      </w:tr>
      <w:tr w:rsidR="00721C98" w14:paraId="408EFB5C" w14:textId="77777777">
        <w:tc>
          <w:tcPr>
            <w:tcW w:w="0" w:type="auto"/>
          </w:tcPr>
          <w:p w14:paraId="6E1100F9" w14:textId="77777777" w:rsidR="00721C98" w:rsidRDefault="00AE7B71">
            <w:pPr>
              <w:pStyle w:val="CellTextValue"/>
              <w:jc w:val="left"/>
            </w:pPr>
            <w:r>
              <w:rPr>
                <w:i/>
              </w:rPr>
              <w:lastRenderedPageBreak/>
              <w:t>Procedure</w:t>
            </w:r>
          </w:p>
        </w:tc>
        <w:tc>
          <w:tcPr>
            <w:tcW w:w="0" w:type="auto"/>
          </w:tcPr>
          <w:p w14:paraId="1D5F498B" w14:textId="77777777" w:rsidR="00721C98" w:rsidRDefault="00AE7B71">
            <w:pPr>
              <w:pStyle w:val="CellTextValue"/>
            </w:pPr>
            <w:r>
              <w:rPr>
                <w:color w:val="000000"/>
              </w:rPr>
              <w:t>The procedure is described in General Annex F. The following exceptions apply:</w:t>
            </w:r>
          </w:p>
          <w:p w14:paraId="6B95215A" w14:textId="77777777" w:rsidR="00721C98" w:rsidRDefault="00AE7B71">
            <w:pPr>
              <w:pStyle w:val="CellTextValue"/>
            </w:pPr>
            <w:r>
              <w:rPr>
                <w:color w:val="000000"/>
              </w:rPr>
              <w:t>In the first place, ex-aequo proposals will be prioritised according to geographical diversity criteria, defined as proposals with the additional beneficiary established in a Widening country, not otherwise represented as a beneficiary higher up the ranking list. The method described in Points 1), 2), 3) and 5) of General Annexes Part F (Procedure/Evaluation procedure and ranking) will then be applied to the remaining equally ranking proposals in the group. This rule establishing the priority order serves t</w:t>
            </w:r>
            <w:r>
              <w:rPr>
                <w:color w:val="000000"/>
              </w:rPr>
              <w:t xml:space="preserve">o better spread the impact of the action and to strengthen the </w:t>
            </w:r>
            <w:r>
              <w:rPr>
                <w:color w:val="000000"/>
              </w:rPr>
              <w:lastRenderedPageBreak/>
              <w:t>efficiency of the ‘Widening participation and strengthening the European Research Area’ programme.</w:t>
            </w:r>
          </w:p>
          <w:p w14:paraId="532D5AF4" w14:textId="77777777" w:rsidR="00721C98" w:rsidRDefault="00AE7B71">
            <w:r>
              <w:rPr>
                <w:color w:val="000000"/>
              </w:rPr>
              <w:t>If the proposal is successful, the next stage of the procedure will be a grant agreement amendment preparation.</w:t>
            </w:r>
          </w:p>
          <w:p w14:paraId="0E0713CB" w14:textId="77777777" w:rsidR="00721C98" w:rsidRDefault="00AE7B71">
            <w:r>
              <w:rPr>
                <w:color w:val="000000"/>
              </w:rPr>
              <w:t>If the outcome of amendment preparations is an award decision, the coordinator of the consortium of the eligible already funded action will be invited to submit an amendment to the grant agreement, on behalf of the beneficiaries.</w:t>
            </w:r>
          </w:p>
        </w:tc>
      </w:tr>
    </w:tbl>
    <w:p w14:paraId="484DBD22" w14:textId="77777777" w:rsidR="00721C98" w:rsidRDefault="00721C98">
      <w:pPr>
        <w:spacing w:after="0" w:line="150" w:lineRule="auto"/>
      </w:pPr>
    </w:p>
    <w:p w14:paraId="695D8A7B" w14:textId="77777777" w:rsidR="00721C98" w:rsidRDefault="00AE7B71">
      <w:r>
        <w:rPr>
          <w:u w:val="single"/>
        </w:rPr>
        <w:t>Expected Outcome</w:t>
      </w:r>
      <w:r>
        <w:t xml:space="preserve">: </w:t>
      </w:r>
      <w:r>
        <w:rPr>
          <w:color w:val="000000"/>
        </w:rPr>
        <w:t>The Hop-on Facility allows for legal entities from Widening countries to join already funded Horizon Pillar II ‘main’ work programme and EIC Pathfinder collaborative R&amp;I actions, subject to the agreement of the respective consortium and provided that legal entities from such countries are not yet participating as beneficiary, associated partner, or affiliated entity. The scheme aims to improve the inclusiveness of Horizon Europe. Selected consortia will be invited to submit a grant agreement amendment reque</w:t>
      </w:r>
      <w:r>
        <w:rPr>
          <w:color w:val="000000"/>
        </w:rPr>
        <w:t>st of the eligible already funded action.</w:t>
      </w:r>
    </w:p>
    <w:p w14:paraId="44967550" w14:textId="77777777" w:rsidR="00721C98" w:rsidRDefault="00AE7B71">
      <w:r>
        <w:rPr>
          <w:color w:val="000000"/>
        </w:rPr>
        <w:t>Project results are expected to contribute to the following outcomes:</w:t>
      </w:r>
    </w:p>
    <w:p w14:paraId="5B1F55BA" w14:textId="77777777" w:rsidR="00721C98" w:rsidRDefault="00AE7B71" w:rsidP="00AE7B71">
      <w:pPr>
        <w:pStyle w:val="ListParagraph"/>
        <w:numPr>
          <w:ilvl w:val="0"/>
          <w:numId w:val="11"/>
        </w:numPr>
      </w:pPr>
      <w:r>
        <w:rPr>
          <w:color w:val="000000"/>
        </w:rPr>
        <w:t>At system level, mobilise excellence in the Widening countries, increase visibility of the beneficiaries from the widening countries, improve knowledge circulation, and boost their participation in specific thematic domains;</w:t>
      </w:r>
    </w:p>
    <w:p w14:paraId="5C28AE57" w14:textId="77777777" w:rsidR="00721C98" w:rsidRDefault="00AE7B71" w:rsidP="00AE7B71">
      <w:pPr>
        <w:pStyle w:val="ListParagraph"/>
        <w:numPr>
          <w:ilvl w:val="0"/>
          <w:numId w:val="11"/>
        </w:numPr>
      </w:pPr>
      <w:r>
        <w:rPr>
          <w:color w:val="000000"/>
        </w:rPr>
        <w:t>At consortium level, open up established networks to new connections and partnerships, improve research excellence of the Widening country’s institutions in specific fields, enlarge outreach of the participants’ R&amp;I actions and provides access to new talent pools;</w:t>
      </w:r>
    </w:p>
    <w:p w14:paraId="1FB51D6B" w14:textId="77777777" w:rsidR="00721C98" w:rsidRDefault="00AE7B71" w:rsidP="00AE7B71">
      <w:pPr>
        <w:pStyle w:val="ListParagraph"/>
        <w:numPr>
          <w:ilvl w:val="0"/>
          <w:numId w:val="11"/>
        </w:numPr>
      </w:pPr>
      <w:r>
        <w:rPr>
          <w:color w:val="000000"/>
        </w:rPr>
        <w:t>At the level of the Widening beneficiary, develop new competencies and skills for working in transnational projects including research management and dissemination and exploitation.</w:t>
      </w:r>
    </w:p>
    <w:p w14:paraId="0236553C" w14:textId="77777777" w:rsidR="00721C98" w:rsidRDefault="00AE7B71">
      <w:r>
        <w:rPr>
          <w:u w:val="single"/>
        </w:rPr>
        <w:t>Scope</w:t>
      </w:r>
      <w:r>
        <w:t xml:space="preserve">: </w:t>
      </w:r>
      <w:r>
        <w:rPr>
          <w:color w:val="000000"/>
        </w:rPr>
        <w:t>The Hop-on Facility integrates one additional beneficiary from a Widening country to an ongoing project under Pillar 2 or the EIC pathfinder scheme who contributes a relevant task, work package or another visible and distinguishable activity.</w:t>
      </w:r>
    </w:p>
    <w:p w14:paraId="79709D95" w14:textId="77777777" w:rsidR="00721C98" w:rsidRDefault="00AE7B71">
      <w:r>
        <w:rPr>
          <w:color w:val="000000"/>
        </w:rPr>
        <w:t>Applications must demonstrate the R&amp;I added value of the new beneficiary for the eligible already selected action. The proposal should include a detailed description of the profile of the new beneficiary and its R&amp;I role and complementarity in the existing project.</w:t>
      </w:r>
    </w:p>
    <w:p w14:paraId="705A6593" w14:textId="77777777" w:rsidR="00721C98" w:rsidRDefault="00AE7B71">
      <w:r>
        <w:rPr>
          <w:color w:val="000000"/>
        </w:rPr>
        <w:t xml:space="preserve">The additional beneficiary and activities should be presented in a dedicated proposal template with the Description of the Action (DOA) of the ongoing action uploaded as an annex. In case of a successful evaluation, the consortia (coordinator) of the eligible already funded action (i.e. relevant existing grant agreement) will be invited to submit an amendment request for accession of the Widening beneficiary, modification of the description of the action. If budget </w:t>
      </w:r>
      <w:r>
        <w:rPr>
          <w:color w:val="000000"/>
        </w:rPr>
        <w:lastRenderedPageBreak/>
        <w:t>is reserved for the coordinator, the proposal should justify the amounts in terms of integration efforts for the new participant.</w:t>
      </w:r>
    </w:p>
    <w:p w14:paraId="56F7A054" w14:textId="77777777" w:rsidR="00721C98" w:rsidRDefault="00AE7B71">
      <w:pPr>
        <w:pStyle w:val="HeadingThree"/>
      </w:pPr>
      <w:r>
        <w:t>HORIZON-WIDERA-2026-04-WIDENING-01: Research Management Facility</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0"/>
        <w:gridCol w:w="7282"/>
      </w:tblGrid>
      <w:tr w:rsidR="00DB4111" w14:paraId="3EAED6F9" w14:textId="77777777" w:rsidTr="00DB4111">
        <w:tc>
          <w:tcPr>
            <w:tcW w:w="0" w:type="auto"/>
            <w:gridSpan w:val="2"/>
          </w:tcPr>
          <w:p w14:paraId="74CE8DF4" w14:textId="77777777" w:rsidR="00721C98" w:rsidRDefault="00AE7B71">
            <w:pPr>
              <w:pStyle w:val="CellTextValue"/>
            </w:pPr>
            <w:r>
              <w:rPr>
                <w:b/>
              </w:rPr>
              <w:t>Call: Research Management Facility</w:t>
            </w:r>
          </w:p>
        </w:tc>
      </w:tr>
      <w:tr w:rsidR="00DB4111" w14:paraId="6544B0A6" w14:textId="77777777" w:rsidTr="00DB4111">
        <w:tc>
          <w:tcPr>
            <w:tcW w:w="0" w:type="auto"/>
            <w:gridSpan w:val="2"/>
          </w:tcPr>
          <w:p w14:paraId="5479DEA1" w14:textId="77777777" w:rsidR="00721C98" w:rsidRDefault="00AE7B71">
            <w:pPr>
              <w:pStyle w:val="CellTextValue"/>
            </w:pPr>
            <w:r>
              <w:rPr>
                <w:b/>
              </w:rPr>
              <w:t>Specific conditions</w:t>
            </w:r>
          </w:p>
        </w:tc>
      </w:tr>
      <w:tr w:rsidR="00721C98" w14:paraId="4CF01C6F" w14:textId="77777777">
        <w:tc>
          <w:tcPr>
            <w:tcW w:w="0" w:type="auto"/>
          </w:tcPr>
          <w:p w14:paraId="1739BAEE" w14:textId="77777777" w:rsidR="00721C98" w:rsidRDefault="00AE7B71">
            <w:pPr>
              <w:pStyle w:val="CellTextValue"/>
              <w:jc w:val="left"/>
            </w:pPr>
            <w:r>
              <w:rPr>
                <w:i/>
              </w:rPr>
              <w:t>Expected EU contribution per project</w:t>
            </w:r>
          </w:p>
        </w:tc>
        <w:tc>
          <w:tcPr>
            <w:tcW w:w="0" w:type="auto"/>
          </w:tcPr>
          <w:p w14:paraId="1CC50226" w14:textId="77777777" w:rsidR="00721C98" w:rsidRDefault="00AE7B71">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721C98" w14:paraId="1A52304E" w14:textId="77777777">
        <w:tc>
          <w:tcPr>
            <w:tcW w:w="0" w:type="auto"/>
          </w:tcPr>
          <w:p w14:paraId="327FA3BE" w14:textId="77777777" w:rsidR="00721C98" w:rsidRDefault="00AE7B71">
            <w:pPr>
              <w:pStyle w:val="CellTextValue"/>
              <w:jc w:val="left"/>
            </w:pPr>
            <w:r>
              <w:rPr>
                <w:i/>
              </w:rPr>
              <w:t>Indicative budget</w:t>
            </w:r>
          </w:p>
        </w:tc>
        <w:tc>
          <w:tcPr>
            <w:tcW w:w="0" w:type="auto"/>
          </w:tcPr>
          <w:p w14:paraId="65B98C8F" w14:textId="77777777" w:rsidR="00721C98" w:rsidRDefault="00AE7B71">
            <w:pPr>
              <w:pStyle w:val="CellTextValue"/>
            </w:pPr>
            <w:r>
              <w:t>The total indicative budget for the topic is EUR 7.00 million.</w:t>
            </w:r>
          </w:p>
        </w:tc>
      </w:tr>
      <w:tr w:rsidR="00721C98" w14:paraId="24041069" w14:textId="77777777">
        <w:tc>
          <w:tcPr>
            <w:tcW w:w="0" w:type="auto"/>
          </w:tcPr>
          <w:p w14:paraId="5E13D875" w14:textId="77777777" w:rsidR="00721C98" w:rsidRDefault="00AE7B71">
            <w:pPr>
              <w:pStyle w:val="CellTextValue"/>
              <w:jc w:val="left"/>
            </w:pPr>
            <w:r>
              <w:rPr>
                <w:i/>
              </w:rPr>
              <w:t>Type of Action</w:t>
            </w:r>
          </w:p>
        </w:tc>
        <w:tc>
          <w:tcPr>
            <w:tcW w:w="0" w:type="auto"/>
          </w:tcPr>
          <w:p w14:paraId="3A63DC38" w14:textId="77777777" w:rsidR="00721C98" w:rsidRDefault="00AE7B71">
            <w:pPr>
              <w:pStyle w:val="CellTextValue"/>
            </w:pPr>
            <w:r>
              <w:rPr>
                <w:color w:val="000000"/>
              </w:rPr>
              <w:t>Coordination and Support Actions</w:t>
            </w:r>
          </w:p>
        </w:tc>
      </w:tr>
      <w:tr w:rsidR="00721C98" w14:paraId="0D0A21B5" w14:textId="77777777">
        <w:tc>
          <w:tcPr>
            <w:tcW w:w="0" w:type="auto"/>
          </w:tcPr>
          <w:p w14:paraId="4AF64B3C" w14:textId="77777777" w:rsidR="00721C98" w:rsidRDefault="00AE7B71">
            <w:pPr>
              <w:pStyle w:val="CellTextValue"/>
              <w:jc w:val="left"/>
            </w:pPr>
            <w:r>
              <w:rPr>
                <w:i/>
              </w:rPr>
              <w:t>Eligibility conditions</w:t>
            </w:r>
          </w:p>
        </w:tc>
        <w:tc>
          <w:tcPr>
            <w:tcW w:w="0" w:type="auto"/>
          </w:tcPr>
          <w:p w14:paraId="65B11463" w14:textId="77777777" w:rsidR="00721C98" w:rsidRDefault="00AE7B71">
            <w:pPr>
              <w:pStyle w:val="CellTextValue"/>
            </w:pPr>
            <w:r>
              <w:rPr>
                <w:color w:val="000000"/>
              </w:rPr>
              <w:t>The conditions are described in General Annex B. The following exceptions apply:</w:t>
            </w:r>
          </w:p>
          <w:p w14:paraId="556800C4" w14:textId="77777777" w:rsidR="00721C98" w:rsidRDefault="00AE7B71">
            <w:pPr>
              <w:pStyle w:val="CellTextValue"/>
            </w:pPr>
            <w:r>
              <w:rPr>
                <w:color w:val="000000"/>
              </w:rPr>
              <w:t>To achieve the expected outcomes, participation as coordinators is limited to legal entities established in Widening countries, as defined in the Horizon Europe regulation.</w:t>
            </w:r>
          </w:p>
          <w:p w14:paraId="11F24123"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p w14:paraId="15B99EB4" w14:textId="77777777" w:rsidR="00721C98" w:rsidRDefault="00AE7B71">
            <w:pPr>
              <w:pStyle w:val="CellTextValue"/>
            </w:pPr>
            <w:r>
              <w:rPr>
                <w:color w:val="000000"/>
              </w:rPr>
              <w:t>Due to the specific nature of the call, organisations hosting WIDERA NCPs in Widening countries are exceptionally eligible to participate.</w:t>
            </w:r>
          </w:p>
        </w:tc>
      </w:tr>
    </w:tbl>
    <w:p w14:paraId="58BBC6B6" w14:textId="77777777" w:rsidR="00721C98" w:rsidRDefault="00721C98">
      <w:pPr>
        <w:spacing w:after="0" w:line="150" w:lineRule="auto"/>
      </w:pPr>
    </w:p>
    <w:p w14:paraId="36C32988" w14:textId="77777777" w:rsidR="00721C98" w:rsidRDefault="00AE7B71">
      <w:r>
        <w:rPr>
          <w:u w:val="single"/>
        </w:rPr>
        <w:t>Expected Outcome</w:t>
      </w:r>
      <w:r>
        <w:t xml:space="preserve">: </w:t>
      </w:r>
      <w:r>
        <w:rPr>
          <w:color w:val="000000"/>
        </w:rPr>
        <w:t>Excellent capacities in research management are essential for institutions and national R&amp;I systems to enhance their research excellence and capitalize on their R&amp;I activities in a knowledge-based economy and society. The Research Management Facility aims at providing institutions in Widening countries that want to establish or upgrade their research management capacities with tailored support. The Research Management Facility also advises on an implementation strategy to introduce changes in the institutio</w:t>
      </w:r>
      <w:r>
        <w:rPr>
          <w:color w:val="000000"/>
        </w:rPr>
        <w:t>nal set-up, in line with the ERA priorities. However, the action does not provide support for the implementation of the strategy.</w:t>
      </w:r>
    </w:p>
    <w:p w14:paraId="781D1215" w14:textId="77777777" w:rsidR="00721C98" w:rsidRDefault="00AE7B71">
      <w:r>
        <w:rPr>
          <w:color w:val="000000"/>
        </w:rPr>
        <w:t>Strong research management ensures effective grant acquisition, resource allocation, compliance with funding regulations, and strategic planning. It supports high-quality research by streamlining administrative processes, facilitating interdisciplinary collaborations, attracting and retaining international high-profile researchers, and optimizing the use of research infrastructures.</w:t>
      </w:r>
    </w:p>
    <w:p w14:paraId="0E4B9B01" w14:textId="77777777" w:rsidR="00721C98" w:rsidRDefault="00AE7B71">
      <w:r>
        <w:rPr>
          <w:color w:val="000000"/>
        </w:rPr>
        <w:t>Proposals are expected to contribute to the following outcomes:</w:t>
      </w:r>
    </w:p>
    <w:p w14:paraId="05863415" w14:textId="77777777" w:rsidR="00721C98" w:rsidRDefault="00AE7B71" w:rsidP="00AE7B71">
      <w:pPr>
        <w:pStyle w:val="ListParagraph"/>
        <w:numPr>
          <w:ilvl w:val="0"/>
          <w:numId w:val="12"/>
        </w:numPr>
      </w:pPr>
      <w:r>
        <w:rPr>
          <w:color w:val="000000"/>
        </w:rPr>
        <w:lastRenderedPageBreak/>
        <w:t>Encourage the establishment of stronger research management capacities in Widening countries to enhance their participation in the European Research Area;</w:t>
      </w:r>
    </w:p>
    <w:p w14:paraId="0888BE62" w14:textId="77777777" w:rsidR="00721C98" w:rsidRDefault="00AE7B71" w:rsidP="00AE7B71">
      <w:pPr>
        <w:pStyle w:val="ListParagraph"/>
        <w:numPr>
          <w:ilvl w:val="0"/>
          <w:numId w:val="12"/>
        </w:numPr>
      </w:pPr>
      <w:r>
        <w:rPr>
          <w:color w:val="000000"/>
        </w:rPr>
        <w:t>Support institutional reforms in research institutions and national R&amp;I systems to strengthen governance, efficiency, and alignment with European research and innovation priorities;</w:t>
      </w:r>
    </w:p>
    <w:p w14:paraId="00FC6449" w14:textId="77777777" w:rsidR="00721C98" w:rsidRDefault="00AE7B71" w:rsidP="00AE7B71">
      <w:pPr>
        <w:pStyle w:val="ListParagraph"/>
        <w:numPr>
          <w:ilvl w:val="0"/>
          <w:numId w:val="12"/>
        </w:numPr>
      </w:pPr>
      <w:r>
        <w:rPr>
          <w:color w:val="000000"/>
        </w:rPr>
        <w:t>Strengthen human capital with entrepreneurial and well-trained research managers;</w:t>
      </w:r>
    </w:p>
    <w:p w14:paraId="6D9FFE36" w14:textId="77777777" w:rsidR="00721C98" w:rsidRDefault="00AE7B71" w:rsidP="00AE7B71">
      <w:pPr>
        <w:pStyle w:val="ListParagraph"/>
        <w:numPr>
          <w:ilvl w:val="0"/>
          <w:numId w:val="12"/>
        </w:numPr>
      </w:pPr>
      <w:r>
        <w:rPr>
          <w:color w:val="000000"/>
        </w:rPr>
        <w:t>Promote and support multidisciplinary and transnational cooperation in the field of research management to foster knowledge exchange, capacity building, and alignment of best practices across institutions and countries;</w:t>
      </w:r>
    </w:p>
    <w:p w14:paraId="2DE85894" w14:textId="77777777" w:rsidR="00721C98" w:rsidRDefault="00AE7B71" w:rsidP="00AE7B71">
      <w:pPr>
        <w:pStyle w:val="ListParagraph"/>
        <w:numPr>
          <w:ilvl w:val="0"/>
          <w:numId w:val="12"/>
        </w:numPr>
      </w:pPr>
      <w:r>
        <w:rPr>
          <w:color w:val="000000"/>
        </w:rPr>
        <w:t>Promote of ERA priorities such as research integrity and responsible research and innovation (ethics, public engagement, gender equality, science education, open access) and knowledge valorisation, thereby strengthening the institution’s overall research ecosystem.</w:t>
      </w:r>
    </w:p>
    <w:p w14:paraId="459AE7A1" w14:textId="77777777" w:rsidR="00721C98" w:rsidRDefault="00AE7B71">
      <w:r>
        <w:rPr>
          <w:u w:val="single"/>
        </w:rPr>
        <w:t>Scope</w:t>
      </w:r>
      <w:r>
        <w:t xml:space="preserve">: </w:t>
      </w:r>
      <w:r>
        <w:rPr>
          <w:color w:val="000000"/>
        </w:rPr>
        <w:t>This action aims at creating a research management facility to provide support services including trainings to research institutions and their staff in Widening countries that want to establish or upgrade existing capacities and competencies in research management. The project should establish a facility inviting research performing organisations from Widening countries to support them in assessing their needs for excellent research management capacities, and develop implementation plans to improve their in</w:t>
      </w:r>
      <w:r>
        <w:rPr>
          <w:color w:val="000000"/>
        </w:rPr>
        <w:t>stitutional and human capacities. The facility may also support successful applicants of ERA Research Manager actions in identifying leading research manager internationally.</w:t>
      </w:r>
    </w:p>
    <w:p w14:paraId="62B4D85D" w14:textId="77777777" w:rsidR="00721C98" w:rsidRDefault="00AE7B71">
      <w:r>
        <w:rPr>
          <w:color w:val="000000"/>
        </w:rPr>
        <w:t>Proposals are expected to cover at least the following activities:</w:t>
      </w:r>
    </w:p>
    <w:p w14:paraId="4EDD4F8F" w14:textId="77777777" w:rsidR="00721C98" w:rsidRDefault="00AE7B71" w:rsidP="00AE7B71">
      <w:pPr>
        <w:pStyle w:val="ListParagraph"/>
        <w:numPr>
          <w:ilvl w:val="0"/>
          <w:numId w:val="13"/>
        </w:numPr>
      </w:pPr>
      <w:r>
        <w:rPr>
          <w:color w:val="000000"/>
        </w:rPr>
        <w:t>Support the assessment of institutional needs in research management, administration and training in close collaboration with the research performing institutions that express interest in their expertise;</w:t>
      </w:r>
    </w:p>
    <w:p w14:paraId="1B4210BF" w14:textId="77777777" w:rsidR="00721C98" w:rsidRDefault="00AE7B71" w:rsidP="00AE7B71">
      <w:pPr>
        <w:pStyle w:val="ListParagraph"/>
        <w:numPr>
          <w:ilvl w:val="0"/>
          <w:numId w:val="13"/>
        </w:numPr>
      </w:pPr>
      <w:r>
        <w:rPr>
          <w:color w:val="000000"/>
        </w:rPr>
        <w:t>Support the development of a tailor-made implementation plans to establish or upgrade research management capacities at institutional level;</w:t>
      </w:r>
    </w:p>
    <w:p w14:paraId="50892329" w14:textId="77777777" w:rsidR="00721C98" w:rsidRDefault="00AE7B71" w:rsidP="00AE7B71">
      <w:pPr>
        <w:pStyle w:val="ListParagraph"/>
        <w:numPr>
          <w:ilvl w:val="0"/>
          <w:numId w:val="13"/>
        </w:numPr>
      </w:pPr>
      <w:r>
        <w:rPr>
          <w:color w:val="000000"/>
        </w:rPr>
        <w:t>Facilitate peer exchange and best practice sharing between Widening countries and more experienced institutions to support sustainable capacity building;</w:t>
      </w:r>
    </w:p>
    <w:p w14:paraId="3816C971" w14:textId="77777777" w:rsidR="00721C98" w:rsidRDefault="00AE7B71" w:rsidP="00AE7B71">
      <w:pPr>
        <w:pStyle w:val="ListParagraph"/>
        <w:numPr>
          <w:ilvl w:val="0"/>
          <w:numId w:val="13"/>
        </w:numPr>
      </w:pPr>
      <w:r>
        <w:rPr>
          <w:color w:val="000000"/>
        </w:rPr>
        <w:t>Deliver training modules for research managers in Widening countries to strengthen their skills and professional competences, in line with the European Competence Framework for Research Managers</w:t>
      </w:r>
      <w:r>
        <w:rPr>
          <w:vertAlign w:val="superscript"/>
        </w:rPr>
        <w:footnoteReference w:id="33"/>
      </w:r>
      <w:r>
        <w:rPr>
          <w:color w:val="000000"/>
        </w:rPr>
        <w:t>;</w:t>
      </w:r>
    </w:p>
    <w:p w14:paraId="5D3ABCF4" w14:textId="77777777" w:rsidR="00721C98" w:rsidRDefault="00AE7B71" w:rsidP="00AE7B71">
      <w:pPr>
        <w:pStyle w:val="ListParagraph"/>
        <w:numPr>
          <w:ilvl w:val="0"/>
          <w:numId w:val="13"/>
        </w:numPr>
      </w:pPr>
      <w:r>
        <w:rPr>
          <w:color w:val="000000"/>
        </w:rPr>
        <w:t>Facilitate networking opportunities for research managers from Widening countries at European and international levels, to strengthen peer exchange, promote best practice sharing, and enhance their integration into the broader research management ecosystem.</w:t>
      </w:r>
    </w:p>
    <w:p w14:paraId="316FD2BB" w14:textId="77777777" w:rsidR="00721C98" w:rsidRDefault="00AE7B71">
      <w:r>
        <w:rPr>
          <w:color w:val="000000"/>
        </w:rPr>
        <w:lastRenderedPageBreak/>
        <w:t>Proposals should provide an estimate on the number of institutions and individuals they target during the action that is commensurate to the requested Union contribution. They should describe how they plan to prioritise their support if the demand exceeds the project’ resources. In their proposals, applicants should demonstrate how they will ensure the full geographical coverage of their activities for all Widening countries including Outermost Regions and the relevant Associated Countries.</w:t>
      </w:r>
    </w:p>
    <w:p w14:paraId="29F40D9A" w14:textId="77777777" w:rsidR="00721C98" w:rsidRDefault="00AE7B71">
      <w:r>
        <w:rPr>
          <w:color w:val="000000"/>
        </w:rPr>
        <w:t>Documentation and reporting on the support provided, their follow-up and impacts are considered key to the Research Management Facility. Proposals should include a methodology on documentation and feedback to the European Commission on the profiles of the institution supported, the support provided including recommendations developed, follow-up actions implemented by the institutions, and impacts achieved. In view of continuous improvement of support, and gathering and communicating of transferable outcomes</w:t>
      </w:r>
      <w:r>
        <w:rPr>
          <w:color w:val="000000"/>
        </w:rPr>
        <w:t>, adequate dissemination and communication activities need to be part of the activities.</w:t>
      </w:r>
    </w:p>
    <w:p w14:paraId="12BA933B" w14:textId="77777777" w:rsidR="00721C98" w:rsidRDefault="00AE7B71">
      <w:r>
        <w:rPr>
          <w:color w:val="000000"/>
        </w:rPr>
        <w:t>Proposals should demonstrate the collective competences and capacities, including relevant experiences in the field that are necessary to carry out the activities and achieve the expected outcomes.</w:t>
      </w:r>
    </w:p>
    <w:p w14:paraId="1AAF0073" w14:textId="77777777" w:rsidR="00721C98" w:rsidRDefault="00AE7B71">
      <w:pPr>
        <w:pStyle w:val="HeadingThree"/>
      </w:pPr>
      <w:r>
        <w:t>HORIZON-WIDERA-2026-05-WIDENING-01: ERA Fellowships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577"/>
        <w:gridCol w:w="7725"/>
      </w:tblGrid>
      <w:tr w:rsidR="00DB4111" w14:paraId="5775C47D" w14:textId="77777777" w:rsidTr="00DB4111">
        <w:tc>
          <w:tcPr>
            <w:tcW w:w="0" w:type="auto"/>
            <w:gridSpan w:val="2"/>
          </w:tcPr>
          <w:p w14:paraId="46B0F03A" w14:textId="77777777" w:rsidR="00721C98" w:rsidRDefault="00AE7B71">
            <w:pPr>
              <w:pStyle w:val="CellTextValue"/>
            </w:pPr>
            <w:r>
              <w:rPr>
                <w:b/>
              </w:rPr>
              <w:t>Call: ERA Fellowships</w:t>
            </w:r>
          </w:p>
        </w:tc>
      </w:tr>
      <w:tr w:rsidR="00DB4111" w14:paraId="0B3C95F8" w14:textId="77777777" w:rsidTr="00DB4111">
        <w:tc>
          <w:tcPr>
            <w:tcW w:w="0" w:type="auto"/>
            <w:gridSpan w:val="2"/>
          </w:tcPr>
          <w:p w14:paraId="5BFFC281" w14:textId="77777777" w:rsidR="00721C98" w:rsidRDefault="00AE7B71">
            <w:pPr>
              <w:pStyle w:val="CellTextValue"/>
            </w:pPr>
            <w:r>
              <w:rPr>
                <w:b/>
              </w:rPr>
              <w:t>Specific conditions</w:t>
            </w:r>
          </w:p>
        </w:tc>
      </w:tr>
      <w:tr w:rsidR="00721C98" w14:paraId="64C72990" w14:textId="77777777">
        <w:tc>
          <w:tcPr>
            <w:tcW w:w="0" w:type="auto"/>
          </w:tcPr>
          <w:p w14:paraId="2E51F7AD" w14:textId="77777777" w:rsidR="00721C98" w:rsidRDefault="00AE7B71">
            <w:pPr>
              <w:pStyle w:val="CellTextValue"/>
              <w:jc w:val="left"/>
            </w:pPr>
            <w:r>
              <w:rPr>
                <w:i/>
              </w:rPr>
              <w:t>Indicative budget</w:t>
            </w:r>
          </w:p>
        </w:tc>
        <w:tc>
          <w:tcPr>
            <w:tcW w:w="0" w:type="auto"/>
          </w:tcPr>
          <w:p w14:paraId="1997849D" w14:textId="77777777" w:rsidR="00721C98" w:rsidRDefault="00AE7B71">
            <w:pPr>
              <w:pStyle w:val="CellTextValue"/>
            </w:pPr>
            <w:r>
              <w:t>The total indicative budget for the topic is EUR 8.00 million.</w:t>
            </w:r>
          </w:p>
        </w:tc>
      </w:tr>
      <w:tr w:rsidR="00721C98" w14:paraId="0AB3CEC8" w14:textId="77777777">
        <w:tc>
          <w:tcPr>
            <w:tcW w:w="0" w:type="auto"/>
          </w:tcPr>
          <w:p w14:paraId="479271CC" w14:textId="77777777" w:rsidR="00721C98" w:rsidRDefault="00AE7B71">
            <w:pPr>
              <w:pStyle w:val="CellTextValue"/>
              <w:jc w:val="left"/>
            </w:pPr>
            <w:r>
              <w:rPr>
                <w:i/>
              </w:rPr>
              <w:t>Type of Action</w:t>
            </w:r>
          </w:p>
        </w:tc>
        <w:tc>
          <w:tcPr>
            <w:tcW w:w="0" w:type="auto"/>
          </w:tcPr>
          <w:p w14:paraId="58247BF2" w14:textId="77777777" w:rsidR="00721C98" w:rsidRDefault="00AE7B71">
            <w:pPr>
              <w:pStyle w:val="CellTextValue"/>
            </w:pPr>
            <w:r>
              <w:rPr>
                <w:color w:val="000000"/>
              </w:rPr>
              <w:t>TMA Postdoctoral Fellowships - European Fellowships</w:t>
            </w:r>
          </w:p>
        </w:tc>
      </w:tr>
      <w:tr w:rsidR="00721C98" w14:paraId="1F254E28" w14:textId="77777777">
        <w:tc>
          <w:tcPr>
            <w:tcW w:w="0" w:type="auto"/>
          </w:tcPr>
          <w:p w14:paraId="2F10764B" w14:textId="77777777" w:rsidR="00721C98" w:rsidRDefault="00AE7B71">
            <w:pPr>
              <w:pStyle w:val="CellTextValue"/>
              <w:jc w:val="left"/>
            </w:pPr>
            <w:r>
              <w:rPr>
                <w:i/>
              </w:rPr>
              <w:t>Eligibility conditions</w:t>
            </w:r>
          </w:p>
        </w:tc>
        <w:tc>
          <w:tcPr>
            <w:tcW w:w="0" w:type="auto"/>
          </w:tcPr>
          <w:p w14:paraId="2596F875" w14:textId="77777777" w:rsidR="00721C98" w:rsidRDefault="00AE7B71">
            <w:pPr>
              <w:pStyle w:val="CellTextValue"/>
            </w:pPr>
            <w:r>
              <w:rPr>
                <w:color w:val="000000"/>
              </w:rPr>
              <w:t>The conditions are described in General Annex B. The following exceptions apply:</w:t>
            </w:r>
          </w:p>
          <w:p w14:paraId="2BC678D9" w14:textId="77777777" w:rsidR="00721C98" w:rsidRDefault="00AE7B71">
            <w:pPr>
              <w:pStyle w:val="CellTextValue"/>
            </w:pPr>
            <w:r>
              <w:rPr>
                <w:color w:val="000000"/>
              </w:rPr>
              <w:t>See these exceptions and specific conditions for the MSCA Postdoctoral Fellowships at the end of the MSCA Work Programme part.</w:t>
            </w:r>
          </w:p>
          <w:p w14:paraId="7816D639" w14:textId="77777777" w:rsidR="00721C98" w:rsidRDefault="00AE7B71">
            <w:r>
              <w:rPr>
                <w:color w:val="000000"/>
              </w:rPr>
              <w:t>To be eligible to this call the host organisation must be located in a Widening country.</w:t>
            </w:r>
          </w:p>
        </w:tc>
      </w:tr>
      <w:tr w:rsidR="00721C98" w14:paraId="4B01C807" w14:textId="77777777">
        <w:tc>
          <w:tcPr>
            <w:tcW w:w="0" w:type="auto"/>
          </w:tcPr>
          <w:p w14:paraId="75341B56" w14:textId="77777777" w:rsidR="00721C98" w:rsidRDefault="00AE7B71">
            <w:pPr>
              <w:pStyle w:val="CellTextValue"/>
              <w:jc w:val="left"/>
            </w:pPr>
            <w:r>
              <w:rPr>
                <w:i/>
              </w:rPr>
              <w:t>Procedure</w:t>
            </w:r>
          </w:p>
        </w:tc>
        <w:tc>
          <w:tcPr>
            <w:tcW w:w="0" w:type="auto"/>
          </w:tcPr>
          <w:p w14:paraId="6B09A508" w14:textId="77777777" w:rsidR="00721C98" w:rsidRDefault="00AE7B71">
            <w:pPr>
              <w:pStyle w:val="CellTextValue"/>
            </w:pPr>
            <w:r>
              <w:rPr>
                <w:color w:val="000000"/>
              </w:rPr>
              <w:t>The procedure is described in General Annex F. The following exceptions apply:</w:t>
            </w:r>
          </w:p>
          <w:p w14:paraId="6C0D083C" w14:textId="77777777" w:rsidR="00721C98" w:rsidRDefault="00AE7B71">
            <w:pPr>
              <w:pStyle w:val="CellTextValue"/>
            </w:pPr>
            <w:r>
              <w:rPr>
                <w:color w:val="000000"/>
              </w:rPr>
              <w:t>Seals of Excellence will be awarded to applications exceeding all of the evaluation thresholds set out in this work programme but which cannot be funded due to lack of budget available to the call.</w:t>
            </w:r>
          </w:p>
        </w:tc>
      </w:tr>
      <w:tr w:rsidR="00721C98" w14:paraId="6AD8BF87" w14:textId="77777777">
        <w:tc>
          <w:tcPr>
            <w:tcW w:w="0" w:type="auto"/>
          </w:tcPr>
          <w:p w14:paraId="1E63937B" w14:textId="77777777" w:rsidR="00721C98" w:rsidRDefault="00AE7B71">
            <w:pPr>
              <w:pStyle w:val="CellTextValue"/>
              <w:jc w:val="left"/>
            </w:pPr>
            <w:r>
              <w:rPr>
                <w:i/>
              </w:rPr>
              <w:t xml:space="preserve">Other </w:t>
            </w:r>
            <w:r>
              <w:rPr>
                <w:i/>
              </w:rPr>
              <w:lastRenderedPageBreak/>
              <w:t>conditions</w:t>
            </w:r>
          </w:p>
        </w:tc>
        <w:tc>
          <w:tcPr>
            <w:tcW w:w="0" w:type="auto"/>
          </w:tcPr>
          <w:p w14:paraId="6D1D8E7A" w14:textId="77777777" w:rsidR="00721C98" w:rsidRDefault="00AE7B71">
            <w:pPr>
              <w:pStyle w:val="CellTextValue"/>
            </w:pPr>
            <w:r>
              <w:rPr>
                <w:color w:val="000000"/>
              </w:rPr>
              <w:lastRenderedPageBreak/>
              <w:t xml:space="preserve">For application of the general award criteria, including weighting and thresholds, see the specific conditions at the end of the MSCA Work </w:t>
            </w:r>
            <w:r>
              <w:rPr>
                <w:color w:val="000000"/>
              </w:rPr>
              <w:lastRenderedPageBreak/>
              <w:t>Programme part.</w:t>
            </w:r>
          </w:p>
          <w:p w14:paraId="21EFD263" w14:textId="77777777" w:rsidR="00721C98" w:rsidRDefault="00AE7B71">
            <w:r>
              <w:rPr>
                <w:color w:val="000000"/>
              </w:rPr>
              <w:t>For admissibility, procedure and legal and financial set-up of the Grant Agreement see exceptions and specific conditions for MSCA Postdoctoral Fellowships - European Fellowships in the MSCA Work Programme part.</w:t>
            </w:r>
          </w:p>
          <w:p w14:paraId="0866E162" w14:textId="77777777" w:rsidR="00721C98" w:rsidRDefault="00AE7B71">
            <w:r>
              <w:rPr>
                <w:color w:val="000000"/>
              </w:rPr>
              <w:t>The expected EU contribution depends on the number of person-months requested. For the applicable unit contributions, see specific conditions for MSCA Postdoctoral Fellowships - European Fellowships in the MSCA Work Programme part.</w:t>
            </w:r>
          </w:p>
          <w:p w14:paraId="6DE10FAA" w14:textId="77777777" w:rsidR="00721C98" w:rsidRDefault="00AE7B71">
            <w:r>
              <w:rPr>
                <w:color w:val="000000"/>
              </w:rPr>
              <w:t>In order to apply for the ERA Fellowships call, applicants must submit their proposal to the Marie Skłodowska-Curie actions (MSCA) Postdoctoral Fellowships 2026. The application to the (MSCA) Postdoctoral Fellowships 2026 will be automatically resubmitted to this call in case the proposal fails to reach an adequate place in the ranking to be funded. This simplified submission procedure to the ERA Fellowships call presents applicants moving to Widening countries with an additional funding opportunity but the</w:t>
            </w:r>
            <w:r>
              <w:rPr>
                <w:color w:val="000000"/>
              </w:rPr>
              <w:t>re is the possibility to opt out during the application stage.</w:t>
            </w:r>
          </w:p>
          <w:p w14:paraId="6E22ED42" w14:textId="77777777" w:rsidR="00721C98" w:rsidRDefault="00AE7B71">
            <w:r>
              <w:rPr>
                <w:color w:val="000000"/>
              </w:rPr>
              <w:t>ERA Fellowships will be implemented applying the award criteria, scoring and threshold for Marie Skłodowska-Curie actions. The ranking order for the ERA Fellowships call will follow the MSCA Postdoctoral Fellowships 2026 call scores and evaluation procedure and proposals will also retain the scores and comments included in the Evaluation Summary Report (ESR) of this call.</w:t>
            </w:r>
          </w:p>
          <w:p w14:paraId="4CF4EA99" w14:textId="77777777" w:rsidR="00721C98" w:rsidRDefault="00AE7B71">
            <w:r>
              <w:rPr>
                <w:color w:val="000000"/>
              </w:rPr>
              <w:t>The proposals submitted under the ERA Fellowships must fulfil all the admissibility and eligibility conditions of the MSCA Postdoctoral Fellowships 2026 and pass all the thresholds for that call.</w:t>
            </w:r>
          </w:p>
        </w:tc>
      </w:tr>
      <w:tr w:rsidR="00721C98" w14:paraId="2A75EFB0" w14:textId="77777777">
        <w:tc>
          <w:tcPr>
            <w:tcW w:w="0" w:type="auto"/>
          </w:tcPr>
          <w:p w14:paraId="183896FB" w14:textId="77777777" w:rsidR="00721C98" w:rsidRDefault="00AE7B71">
            <w:pPr>
              <w:pStyle w:val="CellTextValue"/>
              <w:jc w:val="left"/>
            </w:pPr>
            <w:r>
              <w:rPr>
                <w:i/>
              </w:rPr>
              <w:lastRenderedPageBreak/>
              <w:t>Other requirement</w:t>
            </w:r>
          </w:p>
        </w:tc>
        <w:tc>
          <w:tcPr>
            <w:tcW w:w="0" w:type="auto"/>
          </w:tcPr>
          <w:p w14:paraId="4E04D541" w14:textId="77777777" w:rsidR="00721C98" w:rsidRDefault="00AE7B71">
            <w:pPr>
              <w:pStyle w:val="CellTextValue"/>
            </w:pPr>
            <w:r>
              <w:rPr>
                <w:color w:val="000000"/>
              </w:rPr>
              <w:t>The part of the MSCA Work Programme referring to synergies with the Euratom Research and Training Programme 2021-2025 does not apply to the ERA Fellowships.</w:t>
            </w:r>
          </w:p>
        </w:tc>
      </w:tr>
    </w:tbl>
    <w:p w14:paraId="0978FAF2" w14:textId="77777777" w:rsidR="00721C98" w:rsidRDefault="00721C98">
      <w:pPr>
        <w:spacing w:after="0" w:line="150" w:lineRule="auto"/>
      </w:pPr>
    </w:p>
    <w:p w14:paraId="013FDEC0" w14:textId="77777777" w:rsidR="00721C98" w:rsidRDefault="00AE7B71">
      <w:r>
        <w:rPr>
          <w:u w:val="single"/>
        </w:rPr>
        <w:t>Expected Outcome</w:t>
      </w:r>
      <w:r>
        <w:t xml:space="preserve">: </w:t>
      </w:r>
      <w:r>
        <w:rPr>
          <w:color w:val="000000"/>
        </w:rPr>
        <w:t>This action builds on the MSCA Postdoctoral Fellowships 2026 action (HORIZON-MSCA-PF-2026). The target group are host organisations located in Widening countries.</w:t>
      </w:r>
    </w:p>
    <w:p w14:paraId="0A510E25" w14:textId="77777777" w:rsidR="00721C98" w:rsidRDefault="00AE7B71">
      <w:r>
        <w:rPr>
          <w:color w:val="000000"/>
        </w:rPr>
        <w:t xml:space="preserve">Project results are expected to contribute to the following </w:t>
      </w:r>
      <w:r>
        <w:rPr>
          <w:color w:val="000000"/>
          <w:u w:val="single"/>
        </w:rPr>
        <w:t>outcomes</w:t>
      </w:r>
      <w:r>
        <w:rPr>
          <w:color w:val="000000"/>
        </w:rPr>
        <w:t>:</w:t>
      </w:r>
    </w:p>
    <w:p w14:paraId="6298633A" w14:textId="77777777" w:rsidR="00721C98" w:rsidRDefault="00AE7B71">
      <w:r>
        <w:rPr>
          <w:color w:val="000000"/>
        </w:rPr>
        <w:t>For supported ERA Fellows:</w:t>
      </w:r>
    </w:p>
    <w:p w14:paraId="0B239FD9" w14:textId="77777777" w:rsidR="00721C98" w:rsidRDefault="00AE7B71" w:rsidP="00AE7B71">
      <w:pPr>
        <w:pStyle w:val="ListParagraph"/>
        <w:numPr>
          <w:ilvl w:val="0"/>
          <w:numId w:val="14"/>
        </w:numPr>
      </w:pPr>
      <w:r>
        <w:rPr>
          <w:color w:val="000000"/>
        </w:rPr>
        <w:t>Increased set of research and transferable skills and competences, leading to improved employability and career prospects of fellows within academia and beyond;</w:t>
      </w:r>
    </w:p>
    <w:p w14:paraId="70B7F5AF" w14:textId="77777777" w:rsidR="00721C98" w:rsidRDefault="00AE7B71" w:rsidP="00AE7B71">
      <w:pPr>
        <w:pStyle w:val="ListParagraph"/>
        <w:numPr>
          <w:ilvl w:val="0"/>
          <w:numId w:val="14"/>
        </w:numPr>
      </w:pPr>
      <w:r>
        <w:rPr>
          <w:color w:val="000000"/>
        </w:rPr>
        <w:t>New mind-sets and approaches to R&amp;I work forged through international, inter-sectoral and interdisciplinary experience;</w:t>
      </w:r>
    </w:p>
    <w:p w14:paraId="5C594112" w14:textId="77777777" w:rsidR="00721C98" w:rsidRDefault="00AE7B71" w:rsidP="00AE7B71">
      <w:pPr>
        <w:pStyle w:val="ListParagraph"/>
        <w:numPr>
          <w:ilvl w:val="0"/>
          <w:numId w:val="14"/>
        </w:numPr>
      </w:pPr>
      <w:r>
        <w:rPr>
          <w:color w:val="000000"/>
        </w:rPr>
        <w:lastRenderedPageBreak/>
        <w:t>Enhanced networking and communication capacities with scientific peers, as well as with the general public, that will increase and broaden the research and innovation impact;</w:t>
      </w:r>
    </w:p>
    <w:p w14:paraId="67222B2D" w14:textId="77777777" w:rsidR="00721C98" w:rsidRDefault="00AE7B71">
      <w:r>
        <w:rPr>
          <w:color w:val="000000"/>
        </w:rPr>
        <w:t>For participating organisations in the Widening countries:</w:t>
      </w:r>
    </w:p>
    <w:p w14:paraId="24DF3CCF" w14:textId="77777777" w:rsidR="00721C98" w:rsidRDefault="00AE7B71" w:rsidP="00AE7B71">
      <w:pPr>
        <w:pStyle w:val="ListParagraph"/>
        <w:numPr>
          <w:ilvl w:val="0"/>
          <w:numId w:val="15"/>
        </w:numPr>
      </w:pPr>
      <w:r>
        <w:rPr>
          <w:color w:val="000000"/>
        </w:rPr>
        <w:t>Increased alignment of working conditions for researchers in accordance with the principles set out in the European Charter for Researchers</w:t>
      </w:r>
      <w:r>
        <w:rPr>
          <w:vertAlign w:val="superscript"/>
        </w:rPr>
        <w:footnoteReference w:id="34"/>
      </w:r>
      <w:r>
        <w:rPr>
          <w:color w:val="000000"/>
        </w:rPr>
        <w:t>;</w:t>
      </w:r>
    </w:p>
    <w:p w14:paraId="232C9469" w14:textId="77777777" w:rsidR="00721C98" w:rsidRDefault="00AE7B71" w:rsidP="00AE7B71">
      <w:pPr>
        <w:pStyle w:val="ListParagraph"/>
        <w:numPr>
          <w:ilvl w:val="0"/>
          <w:numId w:val="15"/>
        </w:numPr>
      </w:pPr>
      <w:r>
        <w:rPr>
          <w:color w:val="000000"/>
        </w:rPr>
        <w:t>Enhanced quality and sustainability of research training and supervision;</w:t>
      </w:r>
    </w:p>
    <w:p w14:paraId="0046575E" w14:textId="77777777" w:rsidR="00721C98" w:rsidRDefault="00AE7B71" w:rsidP="00AE7B71">
      <w:pPr>
        <w:pStyle w:val="ListParagraph"/>
        <w:numPr>
          <w:ilvl w:val="0"/>
          <w:numId w:val="15"/>
        </w:numPr>
      </w:pPr>
      <w:r>
        <w:rPr>
          <w:color w:val="000000"/>
        </w:rPr>
        <w:t>Increased global attractiveness, visibility and reputation;</w:t>
      </w:r>
    </w:p>
    <w:p w14:paraId="25924EBF" w14:textId="77777777" w:rsidR="00721C98" w:rsidRDefault="00AE7B71" w:rsidP="00AE7B71">
      <w:pPr>
        <w:pStyle w:val="ListParagraph"/>
        <w:numPr>
          <w:ilvl w:val="0"/>
          <w:numId w:val="15"/>
        </w:numPr>
      </w:pPr>
      <w:r>
        <w:rPr>
          <w:color w:val="000000"/>
        </w:rPr>
        <w:t>Stronger R&amp;I capacity and output; better transfer of knowledge.</w:t>
      </w:r>
    </w:p>
    <w:p w14:paraId="78E3C58F" w14:textId="77777777" w:rsidR="00721C98" w:rsidRDefault="00AE7B71">
      <w:r>
        <w:rPr>
          <w:color w:val="000000"/>
        </w:rPr>
        <w:t>For Widening countries:</w:t>
      </w:r>
    </w:p>
    <w:p w14:paraId="551EF4CF" w14:textId="77777777" w:rsidR="00721C98" w:rsidRDefault="00AE7B71" w:rsidP="00AE7B71">
      <w:pPr>
        <w:pStyle w:val="ListParagraph"/>
        <w:numPr>
          <w:ilvl w:val="0"/>
          <w:numId w:val="16"/>
        </w:numPr>
      </w:pPr>
      <w:r>
        <w:rPr>
          <w:color w:val="000000"/>
        </w:rPr>
        <w:t>More postdoctoral researchers attracted to Widening countries with competitive grants and attractive working and employment conditions.</w:t>
      </w:r>
    </w:p>
    <w:p w14:paraId="1FA29EC4" w14:textId="77777777" w:rsidR="00721C98" w:rsidRDefault="00AE7B71">
      <w:r>
        <w:rPr>
          <w:u w:val="single"/>
        </w:rPr>
        <w:t>Scope</w:t>
      </w:r>
      <w:r>
        <w:t xml:space="preserve">: </w:t>
      </w:r>
      <w:r>
        <w:rPr>
          <w:color w:val="000000"/>
        </w:rPr>
        <w:t>Fellowships should be provided to excellent researchers, undertaking cross-border mobility. Applications must be made jointly by the researcher together with a legal entity in the academic or non-academic sector located in a Widening country.</w:t>
      </w:r>
    </w:p>
    <w:p w14:paraId="3CB17874" w14:textId="77777777" w:rsidR="00721C98" w:rsidRDefault="00AE7B71">
      <w:r>
        <w:rPr>
          <w:color w:val="000000"/>
        </w:rPr>
        <w:t>ERA Fellowships should take place in a Widening country. Fellowships are open to researchers of any nationality who wish to engage in R&amp;I projects by either coming to the EU from any country in the world or moving within the EU to a Widening country.</w:t>
      </w:r>
    </w:p>
    <w:p w14:paraId="7F66DD44" w14:textId="77777777" w:rsidR="00721C98" w:rsidRDefault="00AE7B71">
      <w:r>
        <w:rPr>
          <w:i/>
          <w:color w:val="000000"/>
        </w:rPr>
        <w:t>Secondments</w:t>
      </w:r>
    </w:p>
    <w:p w14:paraId="284385D2" w14:textId="77777777" w:rsidR="00721C98" w:rsidRDefault="00AE7B71">
      <w:r>
        <w:rPr>
          <w:color w:val="000000"/>
        </w:rPr>
        <w:t>Researchers receiving an ERA Fellowship may opt to include a secondment phase, within the overall duration of their fellowship in any country worldwide. The secondment phase can be a single period or be divided into shorter mobility periods. Secondments cannot exceed one third of the standard fellowship duration and should be in line with the project objectives, adding significant value and impact to the fellowship.</w:t>
      </w:r>
    </w:p>
    <w:p w14:paraId="4171968A" w14:textId="77777777" w:rsidR="00721C98" w:rsidRDefault="00AE7B71">
      <w:r>
        <w:rPr>
          <w:i/>
          <w:color w:val="000000"/>
        </w:rPr>
        <w:t>Placements in the non-academic sector</w:t>
      </w:r>
    </w:p>
    <w:p w14:paraId="3DA91063" w14:textId="77777777" w:rsidR="00721C98" w:rsidRDefault="00AE7B71">
      <w:r>
        <w:rPr>
          <w:color w:val="000000"/>
        </w:rPr>
        <w:t xml:space="preserve">ERA Fellowships can provide an additional period of up to six months to support researchers opting for a placement at the end of the project to work on R&amp;I projects in an organisation from the non-academic sector established in an EU Member State or Horizon Europe Associated Country. While this possibility is also available to fellows recruited in the non-academic sector, such a placement should be implemented at a different non-academic host organisation established in an EU Member State or Horizon Europe </w:t>
      </w:r>
      <w:r>
        <w:rPr>
          <w:color w:val="000000"/>
        </w:rPr>
        <w:t xml:space="preserve">Associated Country. The </w:t>
      </w:r>
      <w:r>
        <w:rPr>
          <w:color w:val="000000"/>
        </w:rPr>
        <w:lastRenderedPageBreak/>
        <w:t>request for such a non-academic placement should be an integral part of the proposal, explaining the added value for the project and for the career development of the researcher, and will be subject to evaluation. This incentive aims at promoting career moves between sectors and organisations and thereby stimulate innovation and knowledge transfer while expanding career opportunities for researchers.</w:t>
      </w:r>
    </w:p>
    <w:p w14:paraId="19E68128" w14:textId="77777777" w:rsidR="00721C98" w:rsidRDefault="00AE7B71">
      <w:r>
        <w:rPr>
          <w:i/>
          <w:color w:val="000000"/>
        </w:rPr>
        <w:t>Training activities</w:t>
      </w:r>
    </w:p>
    <w:p w14:paraId="3AF5912E" w14:textId="77777777" w:rsidR="00721C98" w:rsidRDefault="00AE7B71">
      <w:r>
        <w:rPr>
          <w:color w:val="000000"/>
        </w:rPr>
        <w:t>The training activities implemented under the ERA Fellowships should include training for key transferable skills</w:t>
      </w:r>
      <w:r>
        <w:rPr>
          <w:vertAlign w:val="superscript"/>
        </w:rPr>
        <w:footnoteReference w:id="35"/>
      </w:r>
      <w:r>
        <w:rPr>
          <w:color w:val="000000"/>
        </w:rPr>
        <w:t>, foster innovation and entrepreneurship, (e.g. commercialisation of results, Intellectual Property Rights, communication, public engagement and citizen science), foster good scientific conduct such as research integrity and promote Open Science practices (open access to publications and to other research outputs, including data, FAIR data management, societal engagement and citizen science, etc.).</w:t>
      </w:r>
    </w:p>
    <w:p w14:paraId="79CF6DA5" w14:textId="77777777" w:rsidR="00721C98" w:rsidRDefault="00AE7B71">
      <w:r>
        <w:rPr>
          <w:i/>
          <w:color w:val="000000"/>
        </w:rPr>
        <w:t>Career Development Plan</w:t>
      </w:r>
    </w:p>
    <w:p w14:paraId="25AE4E46" w14:textId="77777777" w:rsidR="00721C98" w:rsidRDefault="00AE7B71">
      <w:r>
        <w:rPr>
          <w:color w:val="000000"/>
        </w:rPr>
        <w:t>In order to equip ERA Fellows with skills that enhance and expand their career opportunities inside and outside academia, a Career Development Plan should be established jointly by the supervisor(s) and the researcher. In addition to research objectives, this plan should comprise the researcher's training and career needs, including training on transferable skills, teaching, planning for publications and participation in conferences and events aiming at opening science and research to citizens. The plan has</w:t>
      </w:r>
      <w:r>
        <w:rPr>
          <w:color w:val="000000"/>
        </w:rPr>
        <w:t xml:space="preserve"> to be submitted as a project deliverable at the beginning of the action and can be updated when needed.</w:t>
      </w:r>
    </w:p>
    <w:p w14:paraId="2AFDACAC" w14:textId="77777777" w:rsidR="00721C98" w:rsidRDefault="00AE7B71">
      <w:pPr>
        <w:pStyle w:val="HeadingThree"/>
      </w:pPr>
      <w:r>
        <w:t>HORIZON-WIDERA-2027-01-WIDENING-01: EIC Pre-accelerator - Widening</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DB4111" w14:paraId="4DFC0453" w14:textId="77777777" w:rsidTr="00DB4111">
        <w:tc>
          <w:tcPr>
            <w:tcW w:w="0" w:type="auto"/>
            <w:gridSpan w:val="2"/>
          </w:tcPr>
          <w:p w14:paraId="60D602C5" w14:textId="77777777" w:rsidR="00721C98" w:rsidRDefault="00AE7B71">
            <w:pPr>
              <w:pStyle w:val="CellTextValue"/>
            </w:pPr>
            <w:r>
              <w:rPr>
                <w:b/>
              </w:rPr>
              <w:t>Call: EIC Pre-accelerator - Widening</w:t>
            </w:r>
          </w:p>
        </w:tc>
      </w:tr>
      <w:tr w:rsidR="00DB4111" w14:paraId="239402C0" w14:textId="77777777" w:rsidTr="00DB4111">
        <w:tc>
          <w:tcPr>
            <w:tcW w:w="0" w:type="auto"/>
            <w:gridSpan w:val="2"/>
          </w:tcPr>
          <w:p w14:paraId="583ECC14" w14:textId="77777777" w:rsidR="00721C98" w:rsidRDefault="00AE7B71">
            <w:pPr>
              <w:pStyle w:val="CellTextValue"/>
            </w:pPr>
            <w:r>
              <w:rPr>
                <w:b/>
              </w:rPr>
              <w:t>Specific conditions</w:t>
            </w:r>
          </w:p>
        </w:tc>
      </w:tr>
      <w:tr w:rsidR="00721C98" w14:paraId="5CFBED74" w14:textId="77777777">
        <w:tc>
          <w:tcPr>
            <w:tcW w:w="0" w:type="auto"/>
          </w:tcPr>
          <w:p w14:paraId="003A47C3" w14:textId="77777777" w:rsidR="00721C98" w:rsidRDefault="00AE7B71">
            <w:pPr>
              <w:pStyle w:val="CellTextValue"/>
              <w:jc w:val="left"/>
            </w:pPr>
            <w:r>
              <w:rPr>
                <w:i/>
              </w:rPr>
              <w:t>Expected EU contribution per project</w:t>
            </w:r>
          </w:p>
        </w:tc>
        <w:tc>
          <w:tcPr>
            <w:tcW w:w="0" w:type="auto"/>
          </w:tcPr>
          <w:p w14:paraId="56DFA64E" w14:textId="77777777" w:rsidR="00721C98" w:rsidRDefault="00AE7B71">
            <w:pPr>
              <w:pStyle w:val="CellTextValue"/>
            </w:pPr>
            <w:r>
              <w:t>The Commission estimates that an EU contribution of between EUR 0.50 and 1.00 million would allow these outcomes to be addressed appropriately. Nonetheless, this does not preclude submission and selection of a proposal requesting different amounts.</w:t>
            </w:r>
          </w:p>
        </w:tc>
      </w:tr>
      <w:tr w:rsidR="00721C98" w14:paraId="0E8B0113" w14:textId="77777777">
        <w:tc>
          <w:tcPr>
            <w:tcW w:w="0" w:type="auto"/>
          </w:tcPr>
          <w:p w14:paraId="47D171AD" w14:textId="77777777" w:rsidR="00721C98" w:rsidRDefault="00AE7B71">
            <w:pPr>
              <w:pStyle w:val="CellTextValue"/>
              <w:jc w:val="left"/>
            </w:pPr>
            <w:r>
              <w:rPr>
                <w:i/>
              </w:rPr>
              <w:t>Indicative budget</w:t>
            </w:r>
          </w:p>
        </w:tc>
        <w:tc>
          <w:tcPr>
            <w:tcW w:w="0" w:type="auto"/>
          </w:tcPr>
          <w:p w14:paraId="4902E153" w14:textId="77777777" w:rsidR="00721C98" w:rsidRDefault="00AE7B71">
            <w:pPr>
              <w:pStyle w:val="CellTextValue"/>
            </w:pPr>
            <w:r>
              <w:t>The total indicative budget for the topic is EUR 40.00 million.</w:t>
            </w:r>
          </w:p>
        </w:tc>
      </w:tr>
      <w:tr w:rsidR="00721C98" w14:paraId="63280E8A" w14:textId="77777777">
        <w:tc>
          <w:tcPr>
            <w:tcW w:w="0" w:type="auto"/>
          </w:tcPr>
          <w:p w14:paraId="05B4FA2A" w14:textId="77777777" w:rsidR="00721C98" w:rsidRDefault="00AE7B71">
            <w:pPr>
              <w:pStyle w:val="CellTextValue"/>
              <w:jc w:val="left"/>
            </w:pPr>
            <w:r>
              <w:rPr>
                <w:i/>
              </w:rPr>
              <w:t>Type of Action</w:t>
            </w:r>
          </w:p>
        </w:tc>
        <w:tc>
          <w:tcPr>
            <w:tcW w:w="0" w:type="auto"/>
          </w:tcPr>
          <w:p w14:paraId="0AEDE2F2" w14:textId="77777777" w:rsidR="00721C98" w:rsidRDefault="00AE7B71">
            <w:pPr>
              <w:pStyle w:val="CellTextValue"/>
            </w:pPr>
            <w:r>
              <w:rPr>
                <w:color w:val="000000"/>
              </w:rPr>
              <w:t>Coordination and Support Actions</w:t>
            </w:r>
          </w:p>
        </w:tc>
      </w:tr>
      <w:tr w:rsidR="00721C98" w14:paraId="5CBD7524" w14:textId="77777777">
        <w:tc>
          <w:tcPr>
            <w:tcW w:w="0" w:type="auto"/>
          </w:tcPr>
          <w:p w14:paraId="12C2BFEB" w14:textId="77777777" w:rsidR="00721C98" w:rsidRDefault="00AE7B71">
            <w:pPr>
              <w:pStyle w:val="CellTextValue"/>
              <w:jc w:val="left"/>
            </w:pPr>
            <w:r>
              <w:rPr>
                <w:i/>
              </w:rPr>
              <w:t>Eligibility conditions</w:t>
            </w:r>
          </w:p>
        </w:tc>
        <w:tc>
          <w:tcPr>
            <w:tcW w:w="0" w:type="auto"/>
          </w:tcPr>
          <w:p w14:paraId="5449508B" w14:textId="77777777" w:rsidR="00721C98" w:rsidRDefault="00AE7B71">
            <w:pPr>
              <w:pStyle w:val="CellTextValue"/>
            </w:pPr>
            <w:r>
              <w:rPr>
                <w:color w:val="000000"/>
              </w:rPr>
              <w:t>The conditions are described in General Annex B. The following exceptions apply:</w:t>
            </w:r>
          </w:p>
          <w:p w14:paraId="1BA3CADA" w14:textId="77777777" w:rsidR="00721C98" w:rsidRDefault="00AE7B71">
            <w:pPr>
              <w:pStyle w:val="CellTextValue"/>
            </w:pPr>
            <w:r>
              <w:rPr>
                <w:color w:val="000000"/>
              </w:rPr>
              <w:t>Applications may only be submitted by one legal entity (mono-beneficiary).</w:t>
            </w:r>
          </w:p>
          <w:p w14:paraId="75A9C550" w14:textId="77777777" w:rsidR="00721C98" w:rsidRDefault="00AE7B71">
            <w:r>
              <w:rPr>
                <w:color w:val="000000"/>
              </w:rPr>
              <w:lastRenderedPageBreak/>
              <w:t>The following additional eligibility criteria apply:</w:t>
            </w:r>
          </w:p>
          <w:p w14:paraId="0D039024" w14:textId="77777777" w:rsidR="00721C98" w:rsidRDefault="00AE7B71">
            <w:r>
              <w:rPr>
                <w:color w:val="000000"/>
              </w:rPr>
              <w:t>Beneficiaries must be a small and medium enterprise (SME) established in a Horizon Europe Widening country.</w:t>
            </w:r>
          </w:p>
        </w:tc>
      </w:tr>
      <w:tr w:rsidR="00721C98" w14:paraId="732A3D4C" w14:textId="77777777">
        <w:tc>
          <w:tcPr>
            <w:tcW w:w="0" w:type="auto"/>
          </w:tcPr>
          <w:p w14:paraId="6B43CB87" w14:textId="77777777" w:rsidR="00721C98" w:rsidRDefault="00AE7B71">
            <w:pPr>
              <w:pStyle w:val="CellTextValue"/>
              <w:jc w:val="left"/>
            </w:pPr>
            <w:r>
              <w:rPr>
                <w:i/>
              </w:rPr>
              <w:lastRenderedPageBreak/>
              <w:t>Award criteria</w:t>
            </w:r>
          </w:p>
        </w:tc>
        <w:tc>
          <w:tcPr>
            <w:tcW w:w="0" w:type="auto"/>
          </w:tcPr>
          <w:p w14:paraId="22E3F800" w14:textId="77777777" w:rsidR="00721C98" w:rsidRDefault="00AE7B71">
            <w:pPr>
              <w:pStyle w:val="CellTextValue"/>
            </w:pPr>
            <w:r>
              <w:rPr>
                <w:color w:val="000000"/>
              </w:rPr>
              <w:t>The criteria are described in General Annex D. The following exceptions apply:</w:t>
            </w:r>
          </w:p>
          <w:p w14:paraId="1EADD884" w14:textId="77777777" w:rsidR="00721C98" w:rsidRDefault="00AE7B71">
            <w:pPr>
              <w:pStyle w:val="CellTextValue"/>
            </w:pPr>
            <w:r>
              <w:rPr>
                <w:color w:val="000000"/>
              </w:rPr>
              <w:t>The following additions to the general award criteria apply:</w:t>
            </w:r>
          </w:p>
          <w:p w14:paraId="0E58027E" w14:textId="77777777" w:rsidR="00721C98" w:rsidRDefault="00AE7B71">
            <w:r>
              <w:rPr>
                <w:color w:val="000000"/>
              </w:rPr>
              <w:t>The proposals will be evaluated by 3 independent evaluators following the award criteria for EIC Transition Open at first evaluation step, EIC Work Programme 2027. These are:</w:t>
            </w:r>
          </w:p>
          <w:p w14:paraId="61645AA3" w14:textId="77777777" w:rsidR="00721C98" w:rsidRDefault="00AE7B71">
            <w:r>
              <w:rPr>
                <w:b/>
                <w:color w:val="000000"/>
              </w:rPr>
              <w:t>Excellence (Threshold: 4/5)</w:t>
            </w:r>
          </w:p>
          <w:p w14:paraId="61F60843" w14:textId="77777777" w:rsidR="00721C98" w:rsidRDefault="00AE7B71">
            <w:r>
              <w:rPr>
                <w:b/>
                <w:color w:val="000000"/>
              </w:rPr>
              <w:t xml:space="preserve">Technological breakthrough: </w:t>
            </w:r>
            <w:r>
              <w:rPr>
                <w:color w:val="000000"/>
              </w:rPr>
              <w:t>Does the technology have a high degree of novelty and higher performance compared to other technologies available or in development? Does the technology indicate high commercial potential?</w:t>
            </w:r>
          </w:p>
          <w:p w14:paraId="36A7E581" w14:textId="77777777" w:rsidR="00721C98" w:rsidRDefault="00AE7B71">
            <w:r>
              <w:rPr>
                <w:b/>
                <w:color w:val="000000"/>
              </w:rPr>
              <w:t xml:space="preserve">Objectives: </w:t>
            </w:r>
            <w:r>
              <w:rPr>
                <w:color w:val="000000"/>
              </w:rPr>
              <w:t>How credible and feasible are the objectives for the planned technology development and maturation? How credible and feasible are the objectives and KPIs for the planned business development process?</w:t>
            </w:r>
          </w:p>
          <w:p w14:paraId="621C66AB" w14:textId="77777777" w:rsidR="00721C98" w:rsidRDefault="00AE7B71">
            <w:r>
              <w:rPr>
                <w:b/>
                <w:color w:val="000000"/>
              </w:rPr>
              <w:t>Methodology</w:t>
            </w:r>
            <w:r>
              <w:rPr>
                <w:color w:val="000000"/>
              </w:rPr>
              <w:t>: Is the timing right for this technology/innovation (i.g. feasibility, minimum technological readiness level (TRL), unique selling points)?</w:t>
            </w:r>
          </w:p>
          <w:p w14:paraId="769BA208" w14:textId="77777777" w:rsidR="00721C98" w:rsidRDefault="00AE7B71">
            <w:r>
              <w:rPr>
                <w:b/>
                <w:color w:val="000000"/>
              </w:rPr>
              <w:t>Impact (Threshold: 4/5)</w:t>
            </w:r>
          </w:p>
          <w:p w14:paraId="4BA40D09" w14:textId="77777777" w:rsidR="00721C98" w:rsidRDefault="00AE7B71">
            <w:r>
              <w:rPr>
                <w:b/>
                <w:color w:val="000000"/>
              </w:rPr>
              <w:t xml:space="preserve">Credibility of the impacts: </w:t>
            </w:r>
            <w:r>
              <w:rPr>
                <w:color w:val="000000"/>
              </w:rPr>
              <w:t>To what extent the expected commercial impact(s) described in the proposal are credible and substantial within the project and beyond (e.g. one or several sectors, setting new standards, etc.)?</w:t>
            </w:r>
          </w:p>
          <w:p w14:paraId="6F94DD1F" w14:textId="77777777" w:rsidR="00721C98" w:rsidRDefault="00AE7B71">
            <w:r>
              <w:rPr>
                <w:b/>
                <w:color w:val="000000"/>
              </w:rPr>
              <w:t xml:space="preserve">Economic and/or societal benefits: </w:t>
            </w:r>
            <w:r>
              <w:rPr>
                <w:color w:val="000000"/>
              </w:rPr>
              <w:t>To what extent does the proposed innovation have scale up potential including high capacity to gain or create new European or global markets? To what extent is the proposed innovation expected to generate positive impacts for the European Union, Member States or Associated Countries (e.g. strategic autonomy, employment etc.)? To what extent does the proposal contribute (beyond the establishment of the beneficiary in a widening country) to enhancing the innovation potential of widening countries?</w:t>
            </w:r>
          </w:p>
          <w:p w14:paraId="3CF3D9B6" w14:textId="77777777" w:rsidR="00721C98" w:rsidRDefault="00AE7B71">
            <w:r>
              <w:rPr>
                <w:b/>
                <w:color w:val="000000"/>
              </w:rPr>
              <w:t xml:space="preserve">Investment readiness and go to market strategy: </w:t>
            </w:r>
            <w:r>
              <w:rPr>
                <w:color w:val="000000"/>
              </w:rPr>
              <w:t xml:space="preserve">To what extent the proposal and its activities contribute to make the technology and the team investment ready (including through IP protection and market </w:t>
            </w:r>
            <w:r>
              <w:rPr>
                <w:color w:val="000000"/>
              </w:rPr>
              <w:lastRenderedPageBreak/>
              <w:t>validation)? Is there a well-defined and convincing go-to-market strategy and pathway, including what regulatory approvals may be needed (if relevant), time to market, possible business and revenue model?</w:t>
            </w:r>
          </w:p>
          <w:p w14:paraId="71F3E0DF" w14:textId="77777777" w:rsidR="00721C98" w:rsidRDefault="00AE7B71">
            <w:r>
              <w:rPr>
                <w:b/>
                <w:color w:val="000000"/>
              </w:rPr>
              <w:t>Quality and efficiency of the implementation (Threshold 3/5)</w:t>
            </w:r>
          </w:p>
          <w:p w14:paraId="3406CF56" w14:textId="77777777" w:rsidR="00721C98" w:rsidRDefault="00AE7B71">
            <w:r>
              <w:rPr>
                <w:b/>
                <w:color w:val="000000"/>
              </w:rPr>
              <w:t xml:space="preserve">Quality and motivation of the team: </w:t>
            </w:r>
            <w:r>
              <w:rPr>
                <w:color w:val="000000"/>
              </w:rPr>
              <w:t>To what extent does the (project) team have the necessary high-quality capabilities and high motivation to move decisively towards market? To what extent does the applicant have the necessary expertise to create a unique commercial value from the emerging technology and develop an attractive business and investment proposition?</w:t>
            </w:r>
          </w:p>
          <w:p w14:paraId="044CE7B1" w14:textId="77777777" w:rsidR="00721C98" w:rsidRDefault="00AE7B71">
            <w:r>
              <w:rPr>
                <w:b/>
                <w:color w:val="000000"/>
              </w:rPr>
              <w:t xml:space="preserve">KPIs and Milestones: </w:t>
            </w:r>
            <w:r>
              <w:rPr>
                <w:color w:val="000000"/>
              </w:rPr>
              <w:t>Are both milestones and KPIs present, relevant and clearly defined (measurable, timed, comparable etc.) to track progress along the pathway towards objectives? Have the main risks (e.g. technological, market, financial etc.) been identified, together with measures to mitigate in order to achieve the project objectives?</w:t>
            </w:r>
          </w:p>
          <w:p w14:paraId="156135CA" w14:textId="77777777" w:rsidR="00721C98" w:rsidRDefault="00AE7B71">
            <w:r>
              <w:rPr>
                <w:b/>
                <w:color w:val="000000"/>
              </w:rPr>
              <w:t xml:space="preserve">Workplan and allocation of resources: </w:t>
            </w:r>
            <w:r>
              <w:rPr>
                <w:color w:val="000000"/>
              </w:rPr>
              <w:t>How appropriate and effective is the allocation of resources (person-months and equipment) between work packages?</w:t>
            </w:r>
          </w:p>
          <w:p w14:paraId="4D593A9B" w14:textId="77777777" w:rsidR="00721C98" w:rsidRDefault="00AE7B71">
            <w:r>
              <w:rPr>
                <w:color w:val="000000"/>
              </w:rPr>
              <w:t>The following rules for dealing with ex-aequo applications apply: in the first place, ex-aequo proposals will be prioritised according to geographical diversity criteria, defined as proposals with coordinators established in a Widening country, not otherwise represented as coordinator higher up the ranking list. The method described in Points 1), 2), 3)</w:t>
            </w:r>
            <w:r>
              <w:rPr>
                <w:vertAlign w:val="superscript"/>
              </w:rPr>
              <w:footnoteReference w:id="36"/>
            </w:r>
            <w:r>
              <w:rPr>
                <w:color w:val="000000"/>
              </w:rPr>
              <w:t xml:space="preserve"> and 5) of General Annexes Part F (Procedure/Evaluation procedure and ranking) will then be applied to the remaining equally ranking proposals in the group. This rule establishing the priority order serves to better spread the impact of the action and to strengthen the efficiency of the ‘Widening participation and spreading excellence’ programme.</w:t>
            </w:r>
          </w:p>
        </w:tc>
      </w:tr>
      <w:tr w:rsidR="00721C98" w14:paraId="71411CA1" w14:textId="77777777">
        <w:tc>
          <w:tcPr>
            <w:tcW w:w="0" w:type="auto"/>
          </w:tcPr>
          <w:p w14:paraId="367E8984" w14:textId="77777777" w:rsidR="00721C98" w:rsidRDefault="00AE7B71">
            <w:pPr>
              <w:pStyle w:val="CellTextValue"/>
              <w:jc w:val="left"/>
            </w:pPr>
            <w:r>
              <w:rPr>
                <w:i/>
              </w:rPr>
              <w:lastRenderedPageBreak/>
              <w:t>Procedure</w:t>
            </w:r>
          </w:p>
        </w:tc>
        <w:tc>
          <w:tcPr>
            <w:tcW w:w="0" w:type="auto"/>
          </w:tcPr>
          <w:p w14:paraId="2F6E5F00" w14:textId="77777777" w:rsidR="00721C98" w:rsidRDefault="00AE7B71">
            <w:pPr>
              <w:pStyle w:val="CellTextValue"/>
            </w:pPr>
            <w:r>
              <w:rPr>
                <w:color w:val="000000"/>
              </w:rPr>
              <w:t>The procedure is described in General Annex F. The following exceptions apply:</w:t>
            </w:r>
          </w:p>
          <w:p w14:paraId="383F58DE" w14:textId="77777777" w:rsidR="00721C98" w:rsidRDefault="00AE7B71">
            <w:pPr>
              <w:pStyle w:val="CellTextValue"/>
            </w:pPr>
            <w:r>
              <w:rPr>
                <w:color w:val="000000"/>
              </w:rPr>
              <w:t>Seals of Excellence will be awarded to applications exceeding all of the evaluation thresholds set out in this work programme but which cannot be funded due to lack of budget available to the call.</w:t>
            </w:r>
          </w:p>
        </w:tc>
      </w:tr>
      <w:tr w:rsidR="00721C98" w14:paraId="39D9010E" w14:textId="77777777">
        <w:tc>
          <w:tcPr>
            <w:tcW w:w="0" w:type="auto"/>
          </w:tcPr>
          <w:p w14:paraId="69F4407A" w14:textId="77777777" w:rsidR="00721C98" w:rsidRDefault="00AE7B71">
            <w:pPr>
              <w:pStyle w:val="CellTextValue"/>
              <w:jc w:val="left"/>
            </w:pPr>
            <w:r>
              <w:rPr>
                <w:i/>
              </w:rPr>
              <w:t xml:space="preserve">Legal and financial set-up of </w:t>
            </w:r>
            <w:r>
              <w:rPr>
                <w:i/>
              </w:rPr>
              <w:lastRenderedPageBreak/>
              <w:t>the Grant Agreements</w:t>
            </w:r>
          </w:p>
        </w:tc>
        <w:tc>
          <w:tcPr>
            <w:tcW w:w="0" w:type="auto"/>
          </w:tcPr>
          <w:p w14:paraId="5A5A690D" w14:textId="77777777" w:rsidR="00721C98" w:rsidRDefault="00AE7B71">
            <w:pPr>
              <w:pStyle w:val="CellTextValue"/>
            </w:pPr>
            <w:r>
              <w:rPr>
                <w:color w:val="000000"/>
              </w:rPr>
              <w:lastRenderedPageBreak/>
              <w:t>The rules are described in General Annex G. The following exceptions apply:</w:t>
            </w:r>
          </w:p>
          <w:p w14:paraId="597D04AB" w14:textId="77777777" w:rsidR="00721C98" w:rsidRDefault="00AE7B71">
            <w:pPr>
              <w:pStyle w:val="CellTextValue"/>
            </w:pPr>
            <w:r>
              <w:rPr>
                <w:color w:val="000000"/>
              </w:rPr>
              <w:lastRenderedPageBreak/>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7"/>
            </w:r>
            <w:r>
              <w:rPr>
                <w:color w:val="000000"/>
              </w:rPr>
              <w:t>.</w:t>
            </w:r>
          </w:p>
          <w:p w14:paraId="2C28F202" w14:textId="77777777" w:rsidR="00721C98" w:rsidRDefault="00AE7B71">
            <w:pPr>
              <w:pStyle w:val="CellTextValue"/>
            </w:pPr>
            <w:r>
              <w:rPr>
                <w:color w:val="000000"/>
              </w:rPr>
              <w:t>The funding rate is 70 % of the eligible costs.</w:t>
            </w:r>
          </w:p>
        </w:tc>
      </w:tr>
      <w:tr w:rsidR="00721C98" w14:paraId="46C706B2" w14:textId="77777777">
        <w:tc>
          <w:tcPr>
            <w:tcW w:w="0" w:type="auto"/>
          </w:tcPr>
          <w:p w14:paraId="550A571E" w14:textId="77777777" w:rsidR="00721C98" w:rsidRDefault="00AE7B71">
            <w:pPr>
              <w:pStyle w:val="CellTextValue"/>
              <w:jc w:val="left"/>
            </w:pPr>
            <w:r>
              <w:rPr>
                <w:i/>
              </w:rPr>
              <w:lastRenderedPageBreak/>
              <w:t>Other conditions</w:t>
            </w:r>
          </w:p>
        </w:tc>
        <w:tc>
          <w:tcPr>
            <w:tcW w:w="0" w:type="auto"/>
          </w:tcPr>
          <w:p w14:paraId="08BCFC5C" w14:textId="77777777" w:rsidR="00721C98" w:rsidRDefault="00AE7B71">
            <w:pPr>
              <w:pStyle w:val="CellTextValue"/>
            </w:pPr>
            <w:r>
              <w:rPr>
                <w:color w:val="000000"/>
              </w:rPr>
              <w:t>Proposals which specifically target Western Balkans beneficiaries (SMEs established in Albania, Bosnia and Herzegovina, Kosovo, Montenegro, North Macedonia or Serbia) may be selected from the reserve list, in the order of ranking, for indicatively up to EUR 10 million of Union contribution.</w:t>
            </w:r>
          </w:p>
          <w:p w14:paraId="5529FC75" w14:textId="77777777" w:rsidR="00721C98" w:rsidRDefault="00AE7B71">
            <w:r>
              <w:rPr>
                <w:color w:val="000000"/>
              </w:rPr>
              <w:t>Horizon Europe rules shall apply to these projects.</w:t>
            </w:r>
          </w:p>
        </w:tc>
      </w:tr>
    </w:tbl>
    <w:p w14:paraId="5C58AD9C" w14:textId="77777777" w:rsidR="00721C98" w:rsidRDefault="00721C98">
      <w:pPr>
        <w:spacing w:after="0" w:line="150" w:lineRule="auto"/>
      </w:pPr>
    </w:p>
    <w:p w14:paraId="5109166F" w14:textId="77777777" w:rsidR="00721C98" w:rsidRDefault="00AE7B71">
      <w:r>
        <w:rPr>
          <w:u w:val="single"/>
        </w:rPr>
        <w:t>Expected Outcome</w:t>
      </w:r>
      <w:r>
        <w:t xml:space="preserve">: </w:t>
      </w:r>
      <w:r>
        <w:rPr>
          <w:color w:val="000000"/>
        </w:rPr>
        <w:t>This call will increase the innovation potential of deep-tech startups in the Widening countries and enable them to better attract private investments and scale up. It will further strengthen the innovation dimension of the widening component and increase the overall competitiveness of these countries.</w:t>
      </w:r>
    </w:p>
    <w:p w14:paraId="64AE7537" w14:textId="77777777" w:rsidR="00721C98" w:rsidRDefault="00AE7B71">
      <w:r>
        <w:rPr>
          <w:color w:val="000000"/>
        </w:rPr>
        <w:t xml:space="preserve">The specific outcome expected of this action is increased business, investor, and technology readiness of high potential deep-tech startups in Widening countries to a level where they will: </w:t>
      </w:r>
    </w:p>
    <w:p w14:paraId="13D3B778" w14:textId="77777777" w:rsidR="00721C98" w:rsidRDefault="00AE7B71" w:rsidP="00AE7B71">
      <w:pPr>
        <w:pStyle w:val="ListParagraph"/>
        <w:numPr>
          <w:ilvl w:val="0"/>
          <w:numId w:val="17"/>
        </w:numPr>
      </w:pPr>
      <w:r>
        <w:rPr>
          <w:color w:val="000000"/>
        </w:rPr>
        <w:t>be successful in applying and attracting the EIC Accelerator funding and/or;</w:t>
      </w:r>
    </w:p>
    <w:p w14:paraId="3C322D11" w14:textId="77777777" w:rsidR="00721C98" w:rsidRDefault="00AE7B71" w:rsidP="00AE7B71">
      <w:pPr>
        <w:pStyle w:val="ListParagraph"/>
        <w:numPr>
          <w:ilvl w:val="0"/>
          <w:numId w:val="17"/>
        </w:numPr>
      </w:pPr>
      <w:r>
        <w:rPr>
          <w:color w:val="000000"/>
        </w:rPr>
        <w:t>manage to secure other private investment and/or;</w:t>
      </w:r>
    </w:p>
    <w:p w14:paraId="6BF7C109" w14:textId="77777777" w:rsidR="00721C98" w:rsidRDefault="00AE7B71" w:rsidP="00AE7B71">
      <w:pPr>
        <w:pStyle w:val="ListParagraph"/>
        <w:numPr>
          <w:ilvl w:val="0"/>
          <w:numId w:val="17"/>
        </w:numPr>
      </w:pPr>
      <w:r>
        <w:rPr>
          <w:color w:val="000000"/>
        </w:rPr>
        <w:t>attract successfully national or regional funding as alternative funding sources (e.g. through Seal of Excellence programmes).</w:t>
      </w:r>
    </w:p>
    <w:p w14:paraId="1AB56AA3" w14:textId="77777777" w:rsidR="00721C98" w:rsidRDefault="00AE7B71">
      <w:r>
        <w:rPr>
          <w:u w:val="single"/>
        </w:rPr>
        <w:t>Scope</w:t>
      </w:r>
      <w:r>
        <w:t xml:space="preserve">: </w:t>
      </w:r>
      <w:r>
        <w:rPr>
          <w:color w:val="000000"/>
        </w:rPr>
        <w:t>This action focuses on early-stage deep-tech startups which 1) have high-impact innovation technology, product, service, or business model that could create new markets or disrupt existing ones, and 2) have the ambition and commitments to scale up.</w:t>
      </w:r>
    </w:p>
    <w:p w14:paraId="3CC8A623" w14:textId="77777777" w:rsidR="00721C98" w:rsidRDefault="00AE7B71">
      <w:r>
        <w:rPr>
          <w:color w:val="000000"/>
        </w:rPr>
        <w:t>The successful applicants need to work on deep tech innovation. Such companies often struggle to attract financing because the technology and investment risks are too high.</w:t>
      </w:r>
    </w:p>
    <w:p w14:paraId="789A6C05" w14:textId="77777777" w:rsidR="00721C98" w:rsidRDefault="00AE7B71">
      <w:r>
        <w:rPr>
          <w:color w:val="000000"/>
        </w:rPr>
        <w:t xml:space="preserve">In the framework of this call, </w:t>
      </w:r>
      <w:r>
        <w:rPr>
          <w:b/>
          <w:color w:val="000000"/>
        </w:rPr>
        <w:t>deep-tech</w:t>
      </w:r>
      <w:r>
        <w:rPr>
          <w:vertAlign w:val="superscript"/>
        </w:rPr>
        <w:footnoteReference w:id="38"/>
      </w:r>
      <w:r>
        <w:rPr>
          <w:color w:val="000000"/>
        </w:rPr>
        <w:t xml:space="preserve"> is technology that is based on cutting-edge scientific advances and discoveries and is characterised by the need to stay at the </w:t>
      </w:r>
      <w:r>
        <w:rPr>
          <w:color w:val="000000"/>
        </w:rPr>
        <w:lastRenderedPageBreak/>
        <w:t>technological forefront by constant interaction with new ideas and results from the lab. Deep-tech innovations are understood to be those that have the potential to deliver transformative solutions, rooted in cutting-edge science, technology, and engineering, including innovation that combines advances in the physical, biological and digital spheres. Deep-tech is distinct from ‘high-tech’ which tends to refer only to R&amp;D intensity</w:t>
      </w:r>
      <w:r>
        <w:rPr>
          <w:vertAlign w:val="superscript"/>
        </w:rPr>
        <w:footnoteReference w:id="39"/>
      </w:r>
      <w:r>
        <w:rPr>
          <w:color w:val="000000"/>
        </w:rPr>
        <w:t>.</w:t>
      </w:r>
    </w:p>
    <w:p w14:paraId="572EFDD1" w14:textId="77777777" w:rsidR="00721C98" w:rsidRDefault="00AE7B71">
      <w:r>
        <w:rPr>
          <w:color w:val="000000"/>
        </w:rPr>
        <w:t>This EIC Pre-accelerator - Widening call is designed to enable promising deep-tech startups to develop further their innovations (from TRL 4 to TRL 5/6)</w:t>
      </w:r>
      <w:r>
        <w:rPr>
          <w:vertAlign w:val="superscript"/>
        </w:rPr>
        <w:footnoteReference w:id="40"/>
      </w:r>
      <w:r>
        <w:rPr>
          <w:color w:val="000000"/>
        </w:rPr>
        <w:t>, attract the investment amounts needed for scale up in a shorter timeframe and successfully apply and attract funding from EIC Accelerator or other sources.</w:t>
      </w:r>
    </w:p>
    <w:p w14:paraId="40CC1A76" w14:textId="77777777" w:rsidR="00721C98" w:rsidRDefault="00AE7B71">
      <w:r>
        <w:rPr>
          <w:color w:val="000000"/>
        </w:rPr>
        <w:t>The applicants are expected to demonstrate in their application that they:</w:t>
      </w:r>
    </w:p>
    <w:p w14:paraId="711FEB0B" w14:textId="77777777" w:rsidR="00721C98" w:rsidRDefault="00AE7B71" w:rsidP="00AE7B71">
      <w:pPr>
        <w:pStyle w:val="ListParagraph"/>
        <w:numPr>
          <w:ilvl w:val="0"/>
          <w:numId w:val="18"/>
        </w:numPr>
      </w:pPr>
      <w:r>
        <w:rPr>
          <w:color w:val="000000"/>
        </w:rPr>
        <w:t>have completed all elements of TRL 3 (Experimental proof of concept) and therefore the technology is currently at TRL 4 (Technology validated in lab);</w:t>
      </w:r>
    </w:p>
    <w:p w14:paraId="7088FE74" w14:textId="77777777" w:rsidR="00721C98" w:rsidRDefault="00AE7B71" w:rsidP="00AE7B71">
      <w:pPr>
        <w:pStyle w:val="ListParagraph"/>
        <w:numPr>
          <w:ilvl w:val="0"/>
          <w:numId w:val="18"/>
        </w:numPr>
      </w:pPr>
      <w:r>
        <w:rPr>
          <w:color w:val="000000"/>
        </w:rPr>
        <w:t>possess the necessary Intellectual Property Rights to ensure freedom to operate and adequate protection of the idea;</w:t>
      </w:r>
    </w:p>
    <w:p w14:paraId="529692EA" w14:textId="77777777" w:rsidR="00721C98" w:rsidRDefault="00AE7B71" w:rsidP="00AE7B71">
      <w:pPr>
        <w:pStyle w:val="ListParagraph"/>
        <w:numPr>
          <w:ilvl w:val="0"/>
          <w:numId w:val="18"/>
        </w:numPr>
      </w:pPr>
      <w:r>
        <w:rPr>
          <w:color w:val="000000"/>
        </w:rPr>
        <w:t>have a clear vision on the intended pathway and route to market. This includes specific milestones together with concrete and verifiable KPIs to assess progress towards the market.</w:t>
      </w:r>
    </w:p>
    <w:p w14:paraId="758EEEB3" w14:textId="77777777" w:rsidR="00721C98" w:rsidRDefault="00AE7B71">
      <w:r>
        <w:rPr>
          <w:color w:val="000000"/>
        </w:rPr>
        <w:t>The support will be in awarded by grants max at 70% funding of the eligible costs. 30% co-funding to be covered by the beneficiary through its own resources.</w:t>
      </w:r>
    </w:p>
    <w:p w14:paraId="0768451D" w14:textId="77777777" w:rsidR="00721C98" w:rsidRDefault="00AE7B71">
      <w:r>
        <w:rPr>
          <w:color w:val="000000"/>
        </w:rPr>
        <w:t>An amount between EUR 500.000 and max EUR 1.000.000 in the form of a lump sum for a period of up to 2 years is considered appropriate.</w:t>
      </w:r>
    </w:p>
    <w:p w14:paraId="46301538" w14:textId="77777777" w:rsidR="00721C98" w:rsidRDefault="00AE7B71">
      <w:r>
        <w:rPr>
          <w:color w:val="000000"/>
        </w:rPr>
        <w:t>The requested grant is expected to be used for:</w:t>
      </w:r>
    </w:p>
    <w:p w14:paraId="3DAADB36" w14:textId="77777777" w:rsidR="00721C98" w:rsidRDefault="00AE7B71" w:rsidP="00AE7B71">
      <w:pPr>
        <w:pStyle w:val="ListParagraph"/>
        <w:numPr>
          <w:ilvl w:val="0"/>
          <w:numId w:val="19"/>
        </w:numPr>
      </w:pPr>
      <w:r>
        <w:rPr>
          <w:color w:val="000000"/>
        </w:rPr>
        <w:t xml:space="preserve">addressing the investor and market readiness towards commercialisation and deployment (market research, value proposition, business case and business model, prospects for growth, intellectual property protection, competitor analysis etc.) and if relevant, aspects of regulation, certification and standardisation, aimed at getting both the technology and the business idea investment ready </w:t>
      </w:r>
      <w:r>
        <w:rPr>
          <w:b/>
          <w:color w:val="000000"/>
        </w:rPr>
        <w:t>and/or;</w:t>
      </w:r>
    </w:p>
    <w:p w14:paraId="5EA88699" w14:textId="77777777" w:rsidR="00721C98" w:rsidRDefault="00AE7B71" w:rsidP="00AE7B71">
      <w:pPr>
        <w:pStyle w:val="ListParagraph"/>
        <w:numPr>
          <w:ilvl w:val="0"/>
          <w:numId w:val="19"/>
        </w:numPr>
      </w:pPr>
      <w:r>
        <w:rPr>
          <w:color w:val="000000"/>
        </w:rPr>
        <w:t>the maturation and validation of novel technologies beyond proof of concept to viable demonstrators of the technology in the intended field of application (i.e., from minimum TRL 4 up to TRL 6).</w:t>
      </w:r>
    </w:p>
    <w:p w14:paraId="02408F93" w14:textId="77777777" w:rsidR="00721C98" w:rsidRDefault="00AE7B71">
      <w:r>
        <w:rPr>
          <w:color w:val="000000"/>
        </w:rPr>
        <w:lastRenderedPageBreak/>
        <w:t>At the end of the EIC Pre-accelerator project, it needs to:</w:t>
      </w:r>
    </w:p>
    <w:p w14:paraId="01D0B4C7" w14:textId="77777777" w:rsidR="00721C98" w:rsidRDefault="00AE7B71" w:rsidP="00AE7B71">
      <w:pPr>
        <w:pStyle w:val="ListParagraph"/>
        <w:numPr>
          <w:ilvl w:val="0"/>
          <w:numId w:val="20"/>
        </w:numPr>
      </w:pPr>
      <w:r>
        <w:rPr>
          <w:color w:val="000000"/>
        </w:rPr>
        <w:t>demonstrate that the technology component of their innovation has at least been validated in a relevant environment (e.g. at least completed all aspects of TRL 5);</w:t>
      </w:r>
    </w:p>
    <w:p w14:paraId="3EB3D684" w14:textId="77777777" w:rsidR="00721C98" w:rsidRDefault="00AE7B71" w:rsidP="00AE7B71">
      <w:pPr>
        <w:pStyle w:val="ListParagraph"/>
        <w:numPr>
          <w:ilvl w:val="0"/>
          <w:numId w:val="20"/>
        </w:numPr>
      </w:pPr>
      <w:r>
        <w:rPr>
          <w:color w:val="000000"/>
        </w:rPr>
        <w:t>be ready to apply for EIC Accelerator and/or to seek other investors or sources of funding, to enter licensing or collaboration agreements with third parties, or other routes to market deployment.</w:t>
      </w:r>
    </w:p>
    <w:p w14:paraId="1439547A" w14:textId="77777777" w:rsidR="00721C98" w:rsidRDefault="00AE7B71">
      <w:r>
        <w:rPr>
          <w:color w:val="000000"/>
        </w:rPr>
        <w:t>Successful applicants and those awarded the Seal of Excellence will be granted free access to the EIC Business Acceleration Services</w:t>
      </w:r>
      <w:r>
        <w:rPr>
          <w:vertAlign w:val="superscript"/>
        </w:rPr>
        <w:footnoteReference w:id="41"/>
      </w:r>
      <w:r>
        <w:rPr>
          <w:color w:val="000000"/>
        </w:rPr>
        <w:t>, such as coaching and specific events tailored to their needs (e.g. for improving investor and market readiness).</w:t>
      </w:r>
    </w:p>
    <w:p w14:paraId="766A85F0" w14:textId="77777777" w:rsidR="00721C98" w:rsidRDefault="00AE7B71">
      <w:r>
        <w:rPr>
          <w:color w:val="000000"/>
        </w:rPr>
        <w:t>This will be complemented by access to the EIC Accelerator Fast Track for submissions to the Accelerator programme following a project review in the second half of the project.</w:t>
      </w:r>
    </w:p>
    <w:p w14:paraId="6FA13C2D" w14:textId="77777777" w:rsidR="00721C98" w:rsidRDefault="00AE7B71">
      <w:pPr>
        <w:pStyle w:val="HeadingThree"/>
      </w:pPr>
      <w:r>
        <w:t>HORIZON-WIDERA-2027-02-WIDENING-01: ERA Chairs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DB4111" w14:paraId="45B9945F" w14:textId="77777777" w:rsidTr="00DB4111">
        <w:tc>
          <w:tcPr>
            <w:tcW w:w="0" w:type="auto"/>
            <w:gridSpan w:val="2"/>
          </w:tcPr>
          <w:p w14:paraId="178E6B15" w14:textId="77777777" w:rsidR="00721C98" w:rsidRDefault="00AE7B71">
            <w:pPr>
              <w:pStyle w:val="CellTextValue"/>
            </w:pPr>
            <w:r>
              <w:rPr>
                <w:b/>
              </w:rPr>
              <w:t>Call: ERA Chairs and Research Managers</w:t>
            </w:r>
          </w:p>
        </w:tc>
      </w:tr>
      <w:tr w:rsidR="00DB4111" w14:paraId="11C2D835" w14:textId="77777777" w:rsidTr="00DB4111">
        <w:tc>
          <w:tcPr>
            <w:tcW w:w="0" w:type="auto"/>
            <w:gridSpan w:val="2"/>
          </w:tcPr>
          <w:p w14:paraId="7B7DED14" w14:textId="77777777" w:rsidR="00721C98" w:rsidRDefault="00AE7B71">
            <w:pPr>
              <w:pStyle w:val="CellTextValue"/>
            </w:pPr>
            <w:r>
              <w:rPr>
                <w:b/>
              </w:rPr>
              <w:t>Specific conditions</w:t>
            </w:r>
          </w:p>
        </w:tc>
      </w:tr>
      <w:tr w:rsidR="00721C98" w14:paraId="14428903" w14:textId="77777777">
        <w:tc>
          <w:tcPr>
            <w:tcW w:w="0" w:type="auto"/>
          </w:tcPr>
          <w:p w14:paraId="7AED220C" w14:textId="77777777" w:rsidR="00721C98" w:rsidRDefault="00AE7B71">
            <w:pPr>
              <w:pStyle w:val="CellTextValue"/>
              <w:jc w:val="left"/>
            </w:pPr>
            <w:r>
              <w:rPr>
                <w:i/>
              </w:rPr>
              <w:t>Expected EU contribution per project</w:t>
            </w:r>
          </w:p>
        </w:tc>
        <w:tc>
          <w:tcPr>
            <w:tcW w:w="0" w:type="auto"/>
          </w:tcPr>
          <w:p w14:paraId="76401A6C" w14:textId="77777777" w:rsidR="00721C98" w:rsidRDefault="00AE7B71">
            <w:pPr>
              <w:pStyle w:val="CellTextValue"/>
            </w:pPr>
            <w:r>
              <w:t>The Commission estimates that an EU contribution of between EUR 1.50 and 2.50 million would allow these outcomes to be addressed appropriately. Nonetheless, this does not preclude submission and selection of a proposal requesting different amounts.</w:t>
            </w:r>
          </w:p>
        </w:tc>
      </w:tr>
      <w:tr w:rsidR="00721C98" w14:paraId="54022A93" w14:textId="77777777">
        <w:tc>
          <w:tcPr>
            <w:tcW w:w="0" w:type="auto"/>
          </w:tcPr>
          <w:p w14:paraId="578F0198" w14:textId="77777777" w:rsidR="00721C98" w:rsidRDefault="00AE7B71">
            <w:pPr>
              <w:pStyle w:val="CellTextValue"/>
              <w:jc w:val="left"/>
            </w:pPr>
            <w:r>
              <w:rPr>
                <w:i/>
              </w:rPr>
              <w:t>Indicative budget</w:t>
            </w:r>
          </w:p>
        </w:tc>
        <w:tc>
          <w:tcPr>
            <w:tcW w:w="0" w:type="auto"/>
          </w:tcPr>
          <w:p w14:paraId="243D0554" w14:textId="77777777" w:rsidR="00721C98" w:rsidRDefault="00AE7B71">
            <w:pPr>
              <w:pStyle w:val="CellTextValue"/>
            </w:pPr>
            <w:r>
              <w:t>The total indicative budget for the topic is EUR 175.00 million.</w:t>
            </w:r>
          </w:p>
        </w:tc>
      </w:tr>
      <w:tr w:rsidR="00721C98" w14:paraId="74A95CCF" w14:textId="77777777">
        <w:tc>
          <w:tcPr>
            <w:tcW w:w="0" w:type="auto"/>
          </w:tcPr>
          <w:p w14:paraId="7228390B" w14:textId="77777777" w:rsidR="00721C98" w:rsidRDefault="00AE7B71">
            <w:pPr>
              <w:pStyle w:val="CellTextValue"/>
              <w:jc w:val="left"/>
            </w:pPr>
            <w:r>
              <w:rPr>
                <w:i/>
              </w:rPr>
              <w:t>Type of Action</w:t>
            </w:r>
          </w:p>
        </w:tc>
        <w:tc>
          <w:tcPr>
            <w:tcW w:w="0" w:type="auto"/>
          </w:tcPr>
          <w:p w14:paraId="0C214D91" w14:textId="77777777" w:rsidR="00721C98" w:rsidRDefault="00AE7B71">
            <w:pPr>
              <w:pStyle w:val="CellTextValue"/>
            </w:pPr>
            <w:r>
              <w:rPr>
                <w:color w:val="000000"/>
              </w:rPr>
              <w:t>Coordination and Support Actions</w:t>
            </w:r>
          </w:p>
        </w:tc>
      </w:tr>
      <w:tr w:rsidR="00721C98" w14:paraId="6085A11C" w14:textId="77777777">
        <w:tc>
          <w:tcPr>
            <w:tcW w:w="0" w:type="auto"/>
          </w:tcPr>
          <w:p w14:paraId="205A66B0" w14:textId="77777777" w:rsidR="00721C98" w:rsidRDefault="00AE7B71">
            <w:pPr>
              <w:pStyle w:val="CellTextValue"/>
              <w:jc w:val="left"/>
            </w:pPr>
            <w:r>
              <w:rPr>
                <w:i/>
              </w:rPr>
              <w:t>Eligibility conditions</w:t>
            </w:r>
          </w:p>
        </w:tc>
        <w:tc>
          <w:tcPr>
            <w:tcW w:w="0" w:type="auto"/>
          </w:tcPr>
          <w:p w14:paraId="47224095" w14:textId="77777777" w:rsidR="00721C98" w:rsidRDefault="00AE7B71">
            <w:pPr>
              <w:pStyle w:val="CellTextValue"/>
            </w:pPr>
            <w:r>
              <w:rPr>
                <w:color w:val="000000"/>
              </w:rPr>
              <w:t>The conditions are described in General Annex B. The following exceptions apply:</w:t>
            </w:r>
          </w:p>
          <w:p w14:paraId="08147B62" w14:textId="77777777" w:rsidR="00721C98" w:rsidRDefault="00AE7B71">
            <w:pPr>
              <w:pStyle w:val="CellTextValue"/>
            </w:pPr>
            <w:r>
              <w:rPr>
                <w:color w:val="000000"/>
              </w:rPr>
              <w:t>To achieve the expected outcomes, participation as coordinators to the call is limited to legal entities established in Widening countries, as defined in the Horizon Europe regulation.</w:t>
            </w:r>
          </w:p>
          <w:p w14:paraId="14CE1D9F" w14:textId="77777777" w:rsidR="00721C98" w:rsidRDefault="00AE7B71">
            <w:pPr>
              <w:pStyle w:val="CellTextValue"/>
            </w:pPr>
            <w:r>
              <w:rPr>
                <w:color w:val="000000"/>
              </w:rPr>
              <w:t>Applications may only be submitted by one legal entity (mono-beneficiary).</w:t>
            </w:r>
          </w:p>
          <w:p w14:paraId="42530705" w14:textId="77777777" w:rsidR="00721C98" w:rsidRDefault="00AE7B71">
            <w:pPr>
              <w:pStyle w:val="CellTextValue"/>
            </w:pPr>
            <w:r>
              <w:rPr>
                <w:color w:val="000000"/>
              </w:rPr>
              <w:t>The following additional eligibility criteria apply:</w:t>
            </w:r>
          </w:p>
          <w:p w14:paraId="064135BE" w14:textId="77777777" w:rsidR="00721C98" w:rsidRDefault="00AE7B71">
            <w:r>
              <w:rPr>
                <w:color w:val="000000"/>
              </w:rPr>
              <w:t>To allow for the assessment of the commitment of the future ERA Chair holder and of the coordinator institution, proposals must include:</w:t>
            </w:r>
          </w:p>
          <w:p w14:paraId="0EB77538" w14:textId="77777777" w:rsidR="00721C98" w:rsidRDefault="00AE7B71">
            <w:r>
              <w:rPr>
                <w:color w:val="000000"/>
              </w:rPr>
              <w:t xml:space="preserve">1) a letter signed by the prospective ERA Chair holder expressing their commitment to the proposal corresponding to at least 50% full time </w:t>
            </w:r>
            <w:r>
              <w:rPr>
                <w:color w:val="000000"/>
              </w:rPr>
              <w:lastRenderedPageBreak/>
              <w:t>equivalent (FTE) until the permanent appointment of a research group leader by M36, and their willingness to take on the underlying tasks and obligations and agreed contractual arrangements including salary and on-site presence at the host institution. Following the recruitment of the research leader, the ERA chair should remain committed (at least 20%) for the remaining duration of the project in support to the research leader to ensure efficient reforms and improved research performance.</w:t>
            </w:r>
          </w:p>
          <w:p w14:paraId="2F18ABDA" w14:textId="77777777" w:rsidR="00721C98" w:rsidRDefault="00AE7B71">
            <w:r>
              <w:rPr>
                <w:color w:val="000000"/>
              </w:rPr>
              <w:t>2) a letter signed by the head of the coordinator institution committing to the proposal and stating that the ERA Chair holder will receive adequate support for their tasks and duties including, for example, access to research facilities, supervision of researchers, teaching duties (if any) and freedom to apply to national and international funding.</w:t>
            </w:r>
          </w:p>
        </w:tc>
      </w:tr>
      <w:tr w:rsidR="00721C98" w14:paraId="1ECE7819" w14:textId="77777777">
        <w:tc>
          <w:tcPr>
            <w:tcW w:w="0" w:type="auto"/>
          </w:tcPr>
          <w:p w14:paraId="0182A3FD" w14:textId="77777777" w:rsidR="00721C98" w:rsidRDefault="00AE7B71">
            <w:pPr>
              <w:pStyle w:val="CellTextValue"/>
              <w:jc w:val="left"/>
            </w:pPr>
            <w:r>
              <w:rPr>
                <w:i/>
              </w:rPr>
              <w:lastRenderedPageBreak/>
              <w:t>Procedure</w:t>
            </w:r>
          </w:p>
        </w:tc>
        <w:tc>
          <w:tcPr>
            <w:tcW w:w="0" w:type="auto"/>
          </w:tcPr>
          <w:p w14:paraId="0BD9DB35" w14:textId="77777777" w:rsidR="00721C98" w:rsidRDefault="00AE7B71">
            <w:pPr>
              <w:pStyle w:val="CellTextValue"/>
            </w:pPr>
            <w:r>
              <w:rPr>
                <w:color w:val="000000"/>
              </w:rPr>
              <w:t>The procedure is described in General Annex F. The following exceptions apply:</w:t>
            </w:r>
          </w:p>
          <w:p w14:paraId="3FBB3FDF" w14:textId="77777777" w:rsidR="00721C98" w:rsidRDefault="00AE7B71">
            <w:pPr>
              <w:pStyle w:val="CellTextValue"/>
            </w:pPr>
            <w:r>
              <w:rPr>
                <w:color w:val="000000"/>
              </w:rPr>
              <w:t>Seals of Excellence will be awarded to applications exceeding all of the evaluation thresholds set out in this work programme but which cannot be funded due to lack of budget available to the call.</w:t>
            </w:r>
          </w:p>
          <w:p w14:paraId="0D8E1529" w14:textId="77777777" w:rsidR="00721C98" w:rsidRDefault="00AE7B71">
            <w:pPr>
              <w:pStyle w:val="CellTextValue"/>
            </w:pPr>
            <w:r>
              <w:rPr>
                <w:color w:val="000000"/>
              </w:rPr>
              <w:t xml:space="preserve">The following rules for dealing with ex-aequo applications apply: in the first place, ex-aequo proposals will be prioritised according to geographical diversity criteria, defined as proposals with coordinators established in a Widening country, not otherwise represented as coordinator higher up the ranking list. The method described in Points 1), 2), 3) and 5) of General Annexes Part F (Procedure/Evaluation procedure and ranking) will then be applied to the remaining equally ranking proposals in the group. </w:t>
            </w:r>
            <w:r>
              <w:rPr>
                <w:color w:val="000000"/>
              </w:rPr>
              <w:t>This rule establishing the priority order serves to better spread the impact of the action and to strengthen the efficiency of the ‘Widening participation and spreading excellence’ programme.</w:t>
            </w:r>
          </w:p>
        </w:tc>
      </w:tr>
      <w:tr w:rsidR="00721C98" w14:paraId="2C6C50FC" w14:textId="77777777">
        <w:tc>
          <w:tcPr>
            <w:tcW w:w="0" w:type="auto"/>
          </w:tcPr>
          <w:p w14:paraId="71E22561" w14:textId="77777777" w:rsidR="00721C98" w:rsidRDefault="00AE7B71">
            <w:pPr>
              <w:pStyle w:val="CellTextValue"/>
              <w:jc w:val="left"/>
            </w:pPr>
            <w:r>
              <w:rPr>
                <w:i/>
              </w:rPr>
              <w:t>Legal and financial set-up of the Grant Agreements</w:t>
            </w:r>
          </w:p>
        </w:tc>
        <w:tc>
          <w:tcPr>
            <w:tcW w:w="0" w:type="auto"/>
          </w:tcPr>
          <w:p w14:paraId="0BC0F353" w14:textId="77777777" w:rsidR="00721C98" w:rsidRDefault="00AE7B71">
            <w:pPr>
              <w:pStyle w:val="CellTextValue"/>
            </w:pPr>
            <w:r>
              <w:rPr>
                <w:color w:val="000000"/>
              </w:rPr>
              <w:t>The rules are described in General Annex G. The following exceptions apply:</w:t>
            </w:r>
          </w:p>
          <w:p w14:paraId="04437F03"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2"/>
            </w:r>
            <w:r>
              <w:rPr>
                <w:color w:val="000000"/>
              </w:rPr>
              <w:t>.</w:t>
            </w:r>
          </w:p>
        </w:tc>
      </w:tr>
      <w:tr w:rsidR="00721C98" w14:paraId="02C9F783" w14:textId="77777777">
        <w:tc>
          <w:tcPr>
            <w:tcW w:w="0" w:type="auto"/>
          </w:tcPr>
          <w:p w14:paraId="526BA48B" w14:textId="77777777" w:rsidR="00721C98" w:rsidRDefault="00AE7B71">
            <w:pPr>
              <w:pStyle w:val="CellTextValue"/>
              <w:jc w:val="left"/>
            </w:pPr>
            <w:r>
              <w:rPr>
                <w:i/>
              </w:rPr>
              <w:lastRenderedPageBreak/>
              <w:t>Evaluation and award procedure</w:t>
            </w:r>
          </w:p>
        </w:tc>
        <w:tc>
          <w:tcPr>
            <w:tcW w:w="0" w:type="auto"/>
          </w:tcPr>
          <w:p w14:paraId="06944FE7" w14:textId="77777777" w:rsidR="00721C98" w:rsidRDefault="00AE7B71">
            <w:pPr>
              <w:pStyle w:val="CellTextValue"/>
            </w:pPr>
            <w:r>
              <w:rPr>
                <w:color w:val="000000"/>
              </w:rPr>
              <w:t>To ensure a balanced portfolio with the widest geographical coverage, grants will be awarded to applications not only in order of ranking but at least also to each application that is highest ranked per country based on where the coordinator is established, provided that the applications attain all thresholds.</w:t>
            </w:r>
          </w:p>
        </w:tc>
      </w:tr>
    </w:tbl>
    <w:p w14:paraId="1928FE9C" w14:textId="77777777" w:rsidR="00721C98" w:rsidRDefault="00721C98">
      <w:pPr>
        <w:spacing w:after="0" w:line="150" w:lineRule="auto"/>
      </w:pPr>
    </w:p>
    <w:p w14:paraId="54BC6BFB" w14:textId="77777777" w:rsidR="00721C98" w:rsidRDefault="00AE7B71">
      <w:r>
        <w:rPr>
          <w:u w:val="single"/>
        </w:rPr>
        <w:t>Expected Outcome</w:t>
      </w:r>
      <w:r>
        <w:t xml:space="preserve">: </w:t>
      </w:r>
      <w:r>
        <w:rPr>
          <w:color w:val="000000"/>
        </w:rPr>
        <w:t>Progress in strengthening links between research and innovation actors across the European Research Area (ERA) is essential for Europe to capitalize on excellence. ERA Chairs aim to attract outstanding scientists and innovators to universities, research organisations or research infrastructures in Widening countries, fostering brain circulation and creating pockets of excellence that enhance institutional culture and performance.</w:t>
      </w:r>
    </w:p>
    <w:p w14:paraId="5B876DB3" w14:textId="77777777" w:rsidR="00721C98" w:rsidRDefault="00AE7B71">
      <w:r>
        <w:rPr>
          <w:color w:val="000000"/>
        </w:rPr>
        <w:t>The ERA Chair holder’s leadership and the establishment of a permanent, high-quality research group will boost excellence, visibility, and integration within the ERA, improving competitiveness in research and promoting institutional reforms aligned with ERA priorities.</w:t>
      </w:r>
    </w:p>
    <w:p w14:paraId="75884CFB" w14:textId="77777777" w:rsidR="00721C98" w:rsidRDefault="00AE7B71">
      <w:r>
        <w:rPr>
          <w:color w:val="000000"/>
        </w:rPr>
        <w:t>Projects are expected to contribute to some of the following outcomes:</w:t>
      </w:r>
    </w:p>
    <w:p w14:paraId="08FE3B0A" w14:textId="77777777" w:rsidR="00721C98" w:rsidRDefault="00AE7B71">
      <w:r>
        <w:rPr>
          <w:color w:val="000000"/>
        </w:rPr>
        <w:t>At system level:</w:t>
      </w:r>
    </w:p>
    <w:p w14:paraId="1C2B99DE" w14:textId="77777777" w:rsidR="00721C98" w:rsidRDefault="00AE7B71" w:rsidP="00AE7B71">
      <w:pPr>
        <w:pStyle w:val="ListParagraph"/>
        <w:numPr>
          <w:ilvl w:val="0"/>
          <w:numId w:val="21"/>
        </w:numPr>
      </w:pPr>
      <w:r>
        <w:rPr>
          <w:color w:val="000000"/>
        </w:rPr>
        <w:t>Increased international, interdisciplinary, and intersectoral mobility of R&amp;I talent towards Widening countries;</w:t>
      </w:r>
    </w:p>
    <w:p w14:paraId="4FBAAC12" w14:textId="77777777" w:rsidR="00721C98" w:rsidRDefault="00AE7B71" w:rsidP="00AE7B71">
      <w:pPr>
        <w:pStyle w:val="ListParagraph"/>
        <w:numPr>
          <w:ilvl w:val="0"/>
          <w:numId w:val="21"/>
        </w:numPr>
      </w:pPr>
      <w:r>
        <w:rPr>
          <w:color w:val="000000"/>
        </w:rPr>
        <w:t>Institutional reforms in research institutions and national R&amp;I systems;</w:t>
      </w:r>
    </w:p>
    <w:p w14:paraId="476800E3" w14:textId="77777777" w:rsidR="00721C98" w:rsidRDefault="00AE7B71" w:rsidP="00AE7B71">
      <w:pPr>
        <w:pStyle w:val="ListParagraph"/>
        <w:numPr>
          <w:ilvl w:val="0"/>
          <w:numId w:val="21"/>
        </w:numPr>
      </w:pPr>
      <w:r>
        <w:rPr>
          <w:color w:val="000000"/>
        </w:rPr>
        <w:t>Strengthened human capital with more entrepreneurial and well-trained researchers;</w:t>
      </w:r>
    </w:p>
    <w:p w14:paraId="7BF6CFD7" w14:textId="77777777" w:rsidR="00721C98" w:rsidRDefault="00AE7B71" w:rsidP="00AE7B71">
      <w:pPr>
        <w:pStyle w:val="ListParagraph"/>
        <w:numPr>
          <w:ilvl w:val="0"/>
          <w:numId w:val="21"/>
        </w:numPr>
      </w:pPr>
      <w:r>
        <w:rPr>
          <w:color w:val="000000"/>
        </w:rPr>
        <w:t>Better communication of R&amp;I results to society;</w:t>
      </w:r>
    </w:p>
    <w:p w14:paraId="469060F8" w14:textId="77777777" w:rsidR="00721C98" w:rsidRDefault="00AE7B71" w:rsidP="00AE7B71">
      <w:pPr>
        <w:pStyle w:val="ListParagraph"/>
        <w:numPr>
          <w:ilvl w:val="0"/>
          <w:numId w:val="21"/>
        </w:numPr>
      </w:pPr>
      <w:r>
        <w:rPr>
          <w:color w:val="000000"/>
        </w:rPr>
        <w:t>Enhanced research capacity, competitiveness, and economic growth.</w:t>
      </w:r>
    </w:p>
    <w:p w14:paraId="2BE4D94B" w14:textId="77777777" w:rsidR="00721C98" w:rsidRDefault="00AE7B71">
      <w:r>
        <w:rPr>
          <w:color w:val="000000"/>
        </w:rPr>
        <w:t>At organisation level:</w:t>
      </w:r>
    </w:p>
    <w:p w14:paraId="0570EBDD" w14:textId="77777777" w:rsidR="00721C98" w:rsidRDefault="00AE7B71" w:rsidP="00AE7B71">
      <w:pPr>
        <w:pStyle w:val="ListParagraph"/>
        <w:numPr>
          <w:ilvl w:val="0"/>
          <w:numId w:val="22"/>
        </w:numPr>
      </w:pPr>
      <w:r>
        <w:rPr>
          <w:color w:val="000000"/>
        </w:rPr>
        <w:t>Strengthened research excellence in ERA Chair fields;</w:t>
      </w:r>
    </w:p>
    <w:p w14:paraId="58153A0D" w14:textId="77777777" w:rsidR="00721C98" w:rsidRDefault="00AE7B71" w:rsidP="00AE7B71">
      <w:pPr>
        <w:pStyle w:val="ListParagraph"/>
        <w:numPr>
          <w:ilvl w:val="0"/>
          <w:numId w:val="22"/>
        </w:numPr>
      </w:pPr>
      <w:r>
        <w:rPr>
          <w:color w:val="000000"/>
        </w:rPr>
        <w:t>Increased attractiveness to top international researchers;</w:t>
      </w:r>
    </w:p>
    <w:p w14:paraId="4160EA7A" w14:textId="77777777" w:rsidR="00721C98" w:rsidRDefault="00AE7B71" w:rsidP="00AE7B71">
      <w:pPr>
        <w:pStyle w:val="ListParagraph"/>
        <w:numPr>
          <w:ilvl w:val="0"/>
          <w:numId w:val="22"/>
        </w:numPr>
      </w:pPr>
      <w:r>
        <w:rPr>
          <w:color w:val="000000"/>
        </w:rPr>
        <w:t>Establishment of a lasting, high-performing research group with institutional benefits;</w:t>
      </w:r>
    </w:p>
    <w:p w14:paraId="3E10176C" w14:textId="77777777" w:rsidR="00721C98" w:rsidRDefault="00AE7B71" w:rsidP="00AE7B71">
      <w:pPr>
        <w:pStyle w:val="ListParagraph"/>
        <w:numPr>
          <w:ilvl w:val="0"/>
          <w:numId w:val="22"/>
        </w:numPr>
      </w:pPr>
      <w:r>
        <w:rPr>
          <w:color w:val="000000"/>
        </w:rPr>
        <w:t>Improved success in EU and global competitive funding.</w:t>
      </w:r>
    </w:p>
    <w:p w14:paraId="0A5F608E" w14:textId="77777777" w:rsidR="00721C98" w:rsidRDefault="00AE7B71">
      <w:r>
        <w:rPr>
          <w:u w:val="single"/>
        </w:rPr>
        <w:t>Scope</w:t>
      </w:r>
      <w:r>
        <w:t xml:space="preserve">: </w:t>
      </w:r>
      <w:r>
        <w:rPr>
          <w:color w:val="000000"/>
        </w:rPr>
        <w:t>Research organisations or research infrastructures in Widening countries seeking to establish an ERA Chair should submit a proposal with a prospective ERA Chair holder - an outstanding researcher or innovator in any scientific domain. The research institution will act as the sole applicant (mono-beneficiary), and ERA Chair holders may be from any country, but may not already have a contractual relationship with the coordinating entity.</w:t>
      </w:r>
    </w:p>
    <w:p w14:paraId="0807E4A8" w14:textId="77777777" w:rsidR="00721C98" w:rsidRDefault="00AE7B71">
      <w:r>
        <w:rPr>
          <w:color w:val="000000"/>
        </w:rPr>
        <w:lastRenderedPageBreak/>
        <w:t>Proposals should include a Curriculum Vitae (CV) in Europass form</w:t>
      </w:r>
      <w:r>
        <w:rPr>
          <w:vertAlign w:val="superscript"/>
        </w:rPr>
        <w:footnoteReference w:id="43"/>
      </w:r>
      <w:r>
        <w:rPr>
          <w:color w:val="000000"/>
        </w:rPr>
        <w:t xml:space="preserve"> of the prospective ERA Chair holder, detailing their scientific and technical contributions to the coordinating institution. The CV should be uploaded as an Annex to the proposal.</w:t>
      </w:r>
    </w:p>
    <w:p w14:paraId="31DBB5EF" w14:textId="77777777" w:rsidR="00721C98" w:rsidRDefault="00AE7B71">
      <w:r>
        <w:rPr>
          <w:color w:val="000000"/>
        </w:rPr>
        <w:t>Proposals should also describe any relevant investments of the coordinator in research projects, facilities and infrastructures and how those will be achieved and/or a better use of the installed research capacity (in particular of EU co-funded research infrastructures &amp; facilities). Existing or foreseen arrangements for compliance with ERA priorities</w:t>
      </w:r>
      <w:r>
        <w:rPr>
          <w:vertAlign w:val="superscript"/>
        </w:rPr>
        <w:footnoteReference w:id="44"/>
      </w:r>
      <w:r>
        <w:rPr>
          <w:color w:val="000000"/>
        </w:rPr>
        <w:t xml:space="preserve"> including the European Charter for Researchers &amp; Code of Conduct for the Recruitment of Researchers</w:t>
      </w:r>
      <w:r>
        <w:rPr>
          <w:vertAlign w:val="superscript"/>
        </w:rPr>
        <w:footnoteReference w:id="45"/>
      </w:r>
      <w:r>
        <w:rPr>
          <w:color w:val="000000"/>
        </w:rPr>
        <w:t xml:space="preserve"> should be outlined in the proposal.</w:t>
      </w:r>
    </w:p>
    <w:p w14:paraId="54DF4E71" w14:textId="77777777" w:rsidR="00721C98" w:rsidRDefault="00AE7B71">
      <w:r>
        <w:rPr>
          <w:color w:val="000000"/>
        </w:rPr>
        <w:t>ERA Chair holders should be excellent researchers and/or innovators in the chosen field of research</w:t>
      </w:r>
      <w:r>
        <w:rPr>
          <w:vertAlign w:val="superscript"/>
        </w:rPr>
        <w:footnoteReference w:id="46"/>
      </w:r>
      <w:r>
        <w:rPr>
          <w:color w:val="000000"/>
        </w:rPr>
        <w:t>. They should establish a research team fully integrated in the coordinator's institution to significantly improve its research performance in the scientific domain of choice and to be more successful in obtaining competitive funding. The recruitment of the research team must follow an open, transparent and merit-based process and should be conducted by an international panel chaired by the ERA Chair. The ERA Chair holder should have a position within the organization enabling them to drive institutional re</w:t>
      </w:r>
      <w:r>
        <w:rPr>
          <w:color w:val="000000"/>
        </w:rPr>
        <w:t>forms within the organisation, ensure resource allocation, and to submit funding applications. Teaching duties may be included where appropriate.</w:t>
      </w:r>
    </w:p>
    <w:p w14:paraId="15D11CDF" w14:textId="77777777" w:rsidR="00721C98" w:rsidRDefault="00AE7B71">
      <w:r>
        <w:rPr>
          <w:color w:val="000000"/>
        </w:rPr>
        <w:t>ERA Chair holders may relocate permanently or temporarily to the coordinating institution, with secondments, sabbaticals, or part-time arrangements also possible. A minimum 50% full-time equivalent (FTE) commitment, including on-site presence, must be ensured, at least until the appointment of a research group leader on a permanent basis. A description of the transition phase between the team leader and the ERA chair holder should be provided in the proposal, explaining also their share of tasks and their r</w:t>
      </w:r>
      <w:r>
        <w:rPr>
          <w:color w:val="000000"/>
        </w:rPr>
        <w:t>ole in the remaining years of the project, in case the appointed research group leader is not the ERA Chair holder. In this case the ERA chair should remain committed (at least 20%) for the remaining duration of the project in support to the research leader to ensure efficient reforms and improved research performance.</w:t>
      </w:r>
    </w:p>
    <w:p w14:paraId="124D45FF" w14:textId="77777777" w:rsidR="00721C98" w:rsidRDefault="00AE7B71">
      <w:r>
        <w:rPr>
          <w:color w:val="000000"/>
        </w:rPr>
        <w:t>All contractual arrangements, time commitment and the timeline of the ERA Chair’s on-site presence at the coordinator should be indicated in the proposal, as well as the salary (gross amount), travel and daily allowances and/or other perks to be offered. If employment is the preferred option, contractual details must be provided.</w:t>
      </w:r>
    </w:p>
    <w:p w14:paraId="3982F6D8" w14:textId="77777777" w:rsidR="00721C98" w:rsidRDefault="00AE7B71">
      <w:r>
        <w:rPr>
          <w:color w:val="000000"/>
        </w:rPr>
        <w:t xml:space="preserve">The leader of the newly created research group should be appointed on a permanent basis within the institution within the first three years of the project through an open recruitment </w:t>
      </w:r>
      <w:r>
        <w:rPr>
          <w:color w:val="000000"/>
        </w:rPr>
        <w:lastRenderedPageBreak/>
        <w:t>process monitored by the European Commission, and to which the ERA Chair holder may apply.</w:t>
      </w:r>
    </w:p>
    <w:p w14:paraId="70448093" w14:textId="77777777" w:rsidR="00721C98" w:rsidRDefault="00AE7B71">
      <w:r>
        <w:rPr>
          <w:color w:val="000000"/>
        </w:rPr>
        <w:t>To ensure long-term sustainability, the ERA Chair research team should be structured for continuity beyond Horizon Europe funding. The proposal should clearly describe and detail the team composition in terms of the profiles, the researcher levels, the salaries, and the recruitment timelines. Since the research group will be newly established, the names of the researchers who will be recruited cannot be known at the proposal stage and therefore should not be indicated. In addition to the research group lead</w:t>
      </w:r>
      <w:r>
        <w:rPr>
          <w:color w:val="000000"/>
        </w:rPr>
        <w:t>er, at least 20% of the newly appointed research group members should have permanent positions and no more than 50% should have any prior contractual links to the host institution.</w:t>
      </w:r>
    </w:p>
    <w:p w14:paraId="0F058BE1" w14:textId="77777777" w:rsidR="00721C98" w:rsidRDefault="00AE7B71">
      <w:r>
        <w:rPr>
          <w:color w:val="000000"/>
        </w:rPr>
        <w:t>The grant covers salaries, recruitment</w:t>
      </w:r>
      <w:r>
        <w:rPr>
          <w:vertAlign w:val="superscript"/>
        </w:rPr>
        <w:footnoteReference w:id="47"/>
      </w:r>
      <w:r>
        <w:rPr>
          <w:color w:val="000000"/>
        </w:rPr>
        <w:t>, travel and administrative expenses related to the ERA Chair holder and research team. It also covers consumables and equipment (up to 10% of the EU contribution). The proposed structural reforms should be outlined in the proposal, such as improving working conditions, career prospects, HR policies, research governance, grant management and knowledge transfer. Gender equality should be addressed in alignment with ERA objectives and institutional commitments.</w:t>
      </w:r>
    </w:p>
    <w:p w14:paraId="62D3EF9B" w14:textId="77777777" w:rsidR="00721C98" w:rsidRDefault="00AE7B71">
      <w:r>
        <w:rPr>
          <w:color w:val="000000"/>
        </w:rPr>
        <w:t>Proposals should quantify expected impacts, including new research partnerships, institutional changes, increased research output enhanced, research knowledge and practice, innovative research. These should be supported by periodic impact indicators.</w:t>
      </w:r>
    </w:p>
    <w:p w14:paraId="779C0856" w14:textId="77777777" w:rsidR="00721C98" w:rsidRDefault="00AE7B71">
      <w:r>
        <w:rPr>
          <w:color w:val="000000"/>
        </w:rPr>
        <w:t>The expected duration of the actions is 5 years.</w:t>
      </w:r>
    </w:p>
    <w:p w14:paraId="37F8D530" w14:textId="77777777" w:rsidR="00721C98" w:rsidRDefault="00AE7B71">
      <w:pPr>
        <w:pStyle w:val="HeadingThree"/>
      </w:pPr>
      <w:r>
        <w:t>HORIZON-WIDERA-2027-02-WIDENING-02: ERA Research Managers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39"/>
        <w:gridCol w:w="7463"/>
      </w:tblGrid>
      <w:tr w:rsidR="00DB4111" w14:paraId="6EF76913" w14:textId="77777777" w:rsidTr="00DB4111">
        <w:tc>
          <w:tcPr>
            <w:tcW w:w="0" w:type="auto"/>
            <w:gridSpan w:val="2"/>
          </w:tcPr>
          <w:p w14:paraId="60175559" w14:textId="77777777" w:rsidR="00721C98" w:rsidRDefault="00AE7B71">
            <w:pPr>
              <w:pStyle w:val="CellTextValue"/>
            </w:pPr>
            <w:r>
              <w:rPr>
                <w:b/>
              </w:rPr>
              <w:t>Call: ERA Chairs and Research Managers</w:t>
            </w:r>
          </w:p>
        </w:tc>
      </w:tr>
      <w:tr w:rsidR="00DB4111" w14:paraId="09DEA721" w14:textId="77777777" w:rsidTr="00DB4111">
        <w:tc>
          <w:tcPr>
            <w:tcW w:w="0" w:type="auto"/>
            <w:gridSpan w:val="2"/>
          </w:tcPr>
          <w:p w14:paraId="2486F304" w14:textId="77777777" w:rsidR="00721C98" w:rsidRDefault="00AE7B71">
            <w:pPr>
              <w:pStyle w:val="CellTextValue"/>
            </w:pPr>
            <w:r>
              <w:rPr>
                <w:b/>
              </w:rPr>
              <w:t>Specific conditions</w:t>
            </w:r>
          </w:p>
        </w:tc>
      </w:tr>
      <w:tr w:rsidR="00721C98" w14:paraId="0DCD3138" w14:textId="77777777">
        <w:tc>
          <w:tcPr>
            <w:tcW w:w="0" w:type="auto"/>
          </w:tcPr>
          <w:p w14:paraId="3DBE5602" w14:textId="77777777" w:rsidR="00721C98" w:rsidRDefault="00AE7B71">
            <w:pPr>
              <w:pStyle w:val="CellTextValue"/>
              <w:jc w:val="left"/>
            </w:pPr>
            <w:r>
              <w:rPr>
                <w:i/>
              </w:rPr>
              <w:t>Expected EU contribution per project</w:t>
            </w:r>
          </w:p>
        </w:tc>
        <w:tc>
          <w:tcPr>
            <w:tcW w:w="0" w:type="auto"/>
          </w:tcPr>
          <w:p w14:paraId="49F66D55" w14:textId="77777777" w:rsidR="00721C98" w:rsidRDefault="00AE7B71">
            <w:pPr>
              <w:pStyle w:val="CellTextValue"/>
            </w:pPr>
            <w:r>
              <w:t>The Commission estimates that an EU contribution of between EUR 1.50 and 2.50 million would allow these outcomes to be addressed appropriately. Nonetheless, this does not preclude submission and selection of a proposal requesting different amounts.</w:t>
            </w:r>
          </w:p>
        </w:tc>
      </w:tr>
      <w:tr w:rsidR="00721C98" w14:paraId="1F152E40" w14:textId="77777777">
        <w:tc>
          <w:tcPr>
            <w:tcW w:w="0" w:type="auto"/>
          </w:tcPr>
          <w:p w14:paraId="13E5F4EF" w14:textId="77777777" w:rsidR="00721C98" w:rsidRDefault="00AE7B71">
            <w:pPr>
              <w:pStyle w:val="CellTextValue"/>
              <w:jc w:val="left"/>
            </w:pPr>
            <w:r>
              <w:rPr>
                <w:i/>
              </w:rPr>
              <w:t>Indicative budget</w:t>
            </w:r>
          </w:p>
        </w:tc>
        <w:tc>
          <w:tcPr>
            <w:tcW w:w="0" w:type="auto"/>
          </w:tcPr>
          <w:p w14:paraId="77F22227" w14:textId="77777777" w:rsidR="00721C98" w:rsidRDefault="00AE7B71">
            <w:pPr>
              <w:pStyle w:val="CellTextValue"/>
            </w:pPr>
            <w:r>
              <w:t>The total indicative budget for the topic is EUR 65.00 million.</w:t>
            </w:r>
          </w:p>
        </w:tc>
      </w:tr>
      <w:tr w:rsidR="00721C98" w14:paraId="43D9344E" w14:textId="77777777">
        <w:tc>
          <w:tcPr>
            <w:tcW w:w="0" w:type="auto"/>
          </w:tcPr>
          <w:p w14:paraId="0A9C1F4D" w14:textId="77777777" w:rsidR="00721C98" w:rsidRDefault="00AE7B71">
            <w:pPr>
              <w:pStyle w:val="CellTextValue"/>
              <w:jc w:val="left"/>
            </w:pPr>
            <w:r>
              <w:rPr>
                <w:i/>
              </w:rPr>
              <w:t>Type of Action</w:t>
            </w:r>
          </w:p>
        </w:tc>
        <w:tc>
          <w:tcPr>
            <w:tcW w:w="0" w:type="auto"/>
          </w:tcPr>
          <w:p w14:paraId="22697C7B" w14:textId="77777777" w:rsidR="00721C98" w:rsidRDefault="00AE7B71">
            <w:pPr>
              <w:pStyle w:val="CellTextValue"/>
            </w:pPr>
            <w:r>
              <w:rPr>
                <w:color w:val="000000"/>
              </w:rPr>
              <w:t>Coordination and Support Actions</w:t>
            </w:r>
          </w:p>
        </w:tc>
      </w:tr>
      <w:tr w:rsidR="00721C98" w14:paraId="3B04905C" w14:textId="77777777">
        <w:tc>
          <w:tcPr>
            <w:tcW w:w="0" w:type="auto"/>
          </w:tcPr>
          <w:p w14:paraId="7EB861F5" w14:textId="77777777" w:rsidR="00721C98" w:rsidRDefault="00AE7B71">
            <w:pPr>
              <w:pStyle w:val="CellTextValue"/>
              <w:jc w:val="left"/>
            </w:pPr>
            <w:r>
              <w:rPr>
                <w:i/>
              </w:rPr>
              <w:t>Eligibility conditions</w:t>
            </w:r>
          </w:p>
        </w:tc>
        <w:tc>
          <w:tcPr>
            <w:tcW w:w="0" w:type="auto"/>
          </w:tcPr>
          <w:p w14:paraId="0292FB1B" w14:textId="77777777" w:rsidR="00721C98" w:rsidRDefault="00AE7B71">
            <w:pPr>
              <w:pStyle w:val="CellTextValue"/>
            </w:pPr>
            <w:r>
              <w:rPr>
                <w:color w:val="000000"/>
              </w:rPr>
              <w:t>The conditions are described in General Annex B. The following exceptions apply:</w:t>
            </w:r>
          </w:p>
          <w:p w14:paraId="5BB7DB1A" w14:textId="77777777" w:rsidR="00721C98" w:rsidRDefault="00AE7B71">
            <w:pPr>
              <w:pStyle w:val="CellTextValue"/>
            </w:pPr>
            <w:r>
              <w:rPr>
                <w:color w:val="000000"/>
              </w:rPr>
              <w:t xml:space="preserve">To achieve the expected outcomes, participation as coordinators to the call is limited to legal entities established in Widening countries, as defined in </w:t>
            </w:r>
            <w:r>
              <w:rPr>
                <w:color w:val="000000"/>
              </w:rPr>
              <w:lastRenderedPageBreak/>
              <w:t>the Horizon Europe regulation.</w:t>
            </w:r>
          </w:p>
          <w:p w14:paraId="375D594D" w14:textId="77777777" w:rsidR="00721C98" w:rsidRDefault="00AE7B71">
            <w:pPr>
              <w:pStyle w:val="CellTextValue"/>
            </w:pPr>
            <w:r>
              <w:rPr>
                <w:color w:val="000000"/>
              </w:rPr>
              <w:t>Applications may only be submitted by one legal entity (mono-beneficiary).</w:t>
            </w:r>
          </w:p>
          <w:p w14:paraId="1337BC30" w14:textId="77777777" w:rsidR="00721C98" w:rsidRDefault="00AE7B71">
            <w:pPr>
              <w:pStyle w:val="CellTextValue"/>
            </w:pPr>
            <w:r>
              <w:rPr>
                <w:color w:val="000000"/>
              </w:rPr>
              <w:t>The following additional eligibility criteria apply: As the ERA Research Manager and team is expected to operate at the level of the institute, only one proposal per legal entity can be submitted.</w:t>
            </w:r>
          </w:p>
          <w:p w14:paraId="5C3B2F6A" w14:textId="77777777" w:rsidR="00721C98" w:rsidRDefault="00AE7B71">
            <w:pPr>
              <w:pStyle w:val="CellTextValue"/>
            </w:pPr>
            <w:r>
              <w:rPr>
                <w:color w:val="000000"/>
              </w:rPr>
              <w:t>The following additional eligibility criteria apply:</w:t>
            </w:r>
          </w:p>
          <w:p w14:paraId="6596D544" w14:textId="77777777" w:rsidR="00721C98" w:rsidRDefault="00AE7B71">
            <w:r>
              <w:rPr>
                <w:color w:val="000000"/>
              </w:rPr>
              <w:t>To allow for the assessment of the commitment of the future ERA Research Manager and of the coordinator institution, proposals must include:</w:t>
            </w:r>
          </w:p>
          <w:p w14:paraId="668070C9" w14:textId="77777777" w:rsidR="00721C98" w:rsidRDefault="00AE7B71">
            <w:r>
              <w:rPr>
                <w:color w:val="000000"/>
              </w:rPr>
              <w:t>1) a letter signed by the prospective ERA Research Manager expressing their commitment to the proposal corresponding to at least 50% full time equivalent (FTE) at least until the appointment of a research management leader on a permanent basis by month 36, and their willingness to take on the underlying tasks and obligations and agreed contractual arrangements including salary and on-site presence at the host institution</w:t>
            </w:r>
          </w:p>
          <w:p w14:paraId="6873BC1D" w14:textId="77777777" w:rsidR="00721C98" w:rsidRDefault="00AE7B71">
            <w:r>
              <w:rPr>
                <w:color w:val="000000"/>
              </w:rPr>
              <w:t>2) a letter signed by the head of the coordinator institution committing to the proposal and confirming that the ERA Research Manager will receive adequate support for their tasks and duties including, for example, overseeing institutional and structural reforms, streamlining administrative processes, and facilitating collaboration.</w:t>
            </w:r>
          </w:p>
        </w:tc>
      </w:tr>
      <w:tr w:rsidR="00721C98" w14:paraId="72722D6C" w14:textId="77777777">
        <w:tc>
          <w:tcPr>
            <w:tcW w:w="0" w:type="auto"/>
          </w:tcPr>
          <w:p w14:paraId="3922DB82" w14:textId="77777777" w:rsidR="00721C98" w:rsidRDefault="00AE7B71">
            <w:pPr>
              <w:pStyle w:val="CellTextValue"/>
              <w:jc w:val="left"/>
            </w:pPr>
            <w:r>
              <w:rPr>
                <w:i/>
              </w:rPr>
              <w:lastRenderedPageBreak/>
              <w:t>Procedure</w:t>
            </w:r>
          </w:p>
        </w:tc>
        <w:tc>
          <w:tcPr>
            <w:tcW w:w="0" w:type="auto"/>
          </w:tcPr>
          <w:p w14:paraId="094BEC03" w14:textId="77777777" w:rsidR="00721C98" w:rsidRDefault="00AE7B71">
            <w:pPr>
              <w:pStyle w:val="CellTextValue"/>
            </w:pPr>
            <w:r>
              <w:rPr>
                <w:color w:val="000000"/>
              </w:rPr>
              <w:t>The procedure is described in General Annex F. The following exceptions apply:</w:t>
            </w:r>
          </w:p>
          <w:p w14:paraId="40A9E424" w14:textId="77777777" w:rsidR="00721C98" w:rsidRDefault="00AE7B71">
            <w:pPr>
              <w:pStyle w:val="CellTextValue"/>
            </w:pPr>
            <w:r>
              <w:rPr>
                <w:color w:val="000000"/>
              </w:rPr>
              <w:t>Seals of Excellence will be awarded to applications exceeding all of the evaluation thresholds set out in this work programme but which cannot be funded due to lack of budget available to the call.</w:t>
            </w:r>
          </w:p>
          <w:p w14:paraId="50A203A2" w14:textId="77777777" w:rsidR="00721C98" w:rsidRDefault="00AE7B71">
            <w:pPr>
              <w:pStyle w:val="CellTextValue"/>
            </w:pPr>
            <w:r>
              <w:rPr>
                <w:color w:val="000000"/>
              </w:rPr>
              <w:t xml:space="preserve">The following rules for dealing with ex-aequo applications apply: in the first place, ex-aequo proposals will be prioritised according to geographical diversity criteria, defined as proposals with coordinators established in a Widening country, not otherwise represented as coordinator higher up the ranking list. The method described in Points 1), 2), 3) and 5) of General Annexes Part F (Procedure/Evaluation procedure and ranking) will then be applied to the remaining equally ranking proposals in the group. </w:t>
            </w:r>
            <w:r>
              <w:rPr>
                <w:color w:val="000000"/>
              </w:rPr>
              <w:t>This rule establishing the priority order serves to better spread the impact of the action and to strengthen the efficiency of the ‘Widening participation and spreading excellence’ programme.</w:t>
            </w:r>
          </w:p>
        </w:tc>
      </w:tr>
      <w:tr w:rsidR="00721C98" w14:paraId="3CF98E26" w14:textId="77777777">
        <w:tc>
          <w:tcPr>
            <w:tcW w:w="0" w:type="auto"/>
          </w:tcPr>
          <w:p w14:paraId="214584B1" w14:textId="77777777" w:rsidR="00721C98" w:rsidRDefault="00AE7B71">
            <w:pPr>
              <w:pStyle w:val="CellTextValue"/>
              <w:jc w:val="left"/>
            </w:pPr>
            <w:r>
              <w:rPr>
                <w:i/>
              </w:rPr>
              <w:t>Evaluation and award procedure</w:t>
            </w:r>
          </w:p>
        </w:tc>
        <w:tc>
          <w:tcPr>
            <w:tcW w:w="0" w:type="auto"/>
          </w:tcPr>
          <w:p w14:paraId="030048E8" w14:textId="77777777" w:rsidR="00721C98" w:rsidRDefault="00AE7B71">
            <w:pPr>
              <w:pStyle w:val="CellTextValue"/>
            </w:pPr>
            <w:r>
              <w:rPr>
                <w:color w:val="000000"/>
              </w:rPr>
              <w:t xml:space="preserve">To ensure a balanced portfolio with the widest geographical coverage, grants will be awarded to applications not only in order of ranking but at least also to each application that is highest ranked per country based on </w:t>
            </w:r>
            <w:r>
              <w:rPr>
                <w:color w:val="000000"/>
              </w:rPr>
              <w:lastRenderedPageBreak/>
              <w:t>where the coordinator is established, provided that the applications attain all thresholds.</w:t>
            </w:r>
          </w:p>
        </w:tc>
      </w:tr>
    </w:tbl>
    <w:p w14:paraId="4CCF258B" w14:textId="77777777" w:rsidR="00721C98" w:rsidRDefault="00721C98">
      <w:pPr>
        <w:spacing w:after="0" w:line="150" w:lineRule="auto"/>
      </w:pPr>
    </w:p>
    <w:p w14:paraId="41E018E4" w14:textId="77777777" w:rsidR="00721C98" w:rsidRDefault="00AE7B71">
      <w:r>
        <w:rPr>
          <w:u w:val="single"/>
        </w:rPr>
        <w:t>Expected Outcome</w:t>
      </w:r>
      <w:r>
        <w:t xml:space="preserve">: </w:t>
      </w:r>
      <w:r>
        <w:rPr>
          <w:color w:val="000000"/>
        </w:rPr>
        <w:t>Excellent capacities in research management are essential for institutions and national R&amp;I systems to capitalize on their R&amp;I activities. ERA Research Managers aim to attract experienced research managers to universities, research organisations or research infrastructures in Widening countries, establishing or upgrading institutional capacities for research management, fostering brain circulation and creating pockets of excellence that enhance institutional culture and performance.</w:t>
      </w:r>
    </w:p>
    <w:p w14:paraId="4D27C309" w14:textId="77777777" w:rsidR="00721C98" w:rsidRDefault="00AE7B71">
      <w:r>
        <w:rPr>
          <w:color w:val="000000"/>
        </w:rPr>
        <w:t>Research management capacities are crucial for research-performing institutions as they increase efficiency, competitiveness, and impact, thereby enhancing research excellence. Strong research management ensures effective grant acquisition, resource allocation, compliance with funding regulations, and strategic planning. It supports high-quality research by streamlining administrative processes, facilitating collaborations, and optimizing the use of research infrastructure.</w:t>
      </w:r>
    </w:p>
    <w:p w14:paraId="097212CE" w14:textId="77777777" w:rsidR="00721C98" w:rsidRDefault="00AE7B71">
      <w:r>
        <w:rPr>
          <w:color w:val="000000"/>
        </w:rPr>
        <w:t>The ERA Research Manager’s leadership and the establishment of a permanent, high-quality research management group will boost excellence, visibility, and integration within the ERA, improving competitiveness in research funding and promoting institutional reforms aligned with ERA priorities.</w:t>
      </w:r>
    </w:p>
    <w:p w14:paraId="784816D7" w14:textId="77777777" w:rsidR="00721C98" w:rsidRDefault="00AE7B71">
      <w:r>
        <w:rPr>
          <w:color w:val="000000"/>
        </w:rPr>
        <w:t>Projects are expected to contribute to some of the following outcomes:</w:t>
      </w:r>
    </w:p>
    <w:p w14:paraId="00A1242E" w14:textId="77777777" w:rsidR="00721C98" w:rsidRDefault="00AE7B71">
      <w:r>
        <w:rPr>
          <w:color w:val="000000"/>
        </w:rPr>
        <w:t>At system level:</w:t>
      </w:r>
    </w:p>
    <w:p w14:paraId="40F5A5BE" w14:textId="77777777" w:rsidR="00721C98" w:rsidRDefault="00AE7B71" w:rsidP="00AE7B71">
      <w:pPr>
        <w:pStyle w:val="ListParagraph"/>
        <w:numPr>
          <w:ilvl w:val="0"/>
          <w:numId w:val="23"/>
        </w:numPr>
      </w:pPr>
      <w:r>
        <w:rPr>
          <w:color w:val="000000"/>
        </w:rPr>
        <w:t>Increased international, interdisciplinary, and intersectoral mobility of research management talent towards Widening countries;</w:t>
      </w:r>
    </w:p>
    <w:p w14:paraId="2AE44A3C" w14:textId="77777777" w:rsidR="00721C98" w:rsidRDefault="00AE7B71" w:rsidP="00AE7B71">
      <w:pPr>
        <w:pStyle w:val="ListParagraph"/>
        <w:numPr>
          <w:ilvl w:val="0"/>
          <w:numId w:val="23"/>
        </w:numPr>
      </w:pPr>
      <w:r>
        <w:rPr>
          <w:color w:val="000000"/>
        </w:rPr>
        <w:t>Institutional reforms in research institutions and national R&amp;I systems;</w:t>
      </w:r>
    </w:p>
    <w:p w14:paraId="1300A76E" w14:textId="77777777" w:rsidR="00721C98" w:rsidRDefault="00AE7B71" w:rsidP="00AE7B71">
      <w:pPr>
        <w:pStyle w:val="ListParagraph"/>
        <w:numPr>
          <w:ilvl w:val="0"/>
          <w:numId w:val="23"/>
        </w:numPr>
      </w:pPr>
      <w:r>
        <w:rPr>
          <w:color w:val="000000"/>
        </w:rPr>
        <w:t>Strengthened human capital with more entrepreneurial and well-trained research managers;</w:t>
      </w:r>
    </w:p>
    <w:p w14:paraId="1B23F351" w14:textId="77777777" w:rsidR="00721C98" w:rsidRDefault="00AE7B71" w:rsidP="00AE7B71">
      <w:pPr>
        <w:pStyle w:val="ListParagraph"/>
        <w:numPr>
          <w:ilvl w:val="0"/>
          <w:numId w:val="23"/>
        </w:numPr>
      </w:pPr>
      <w:r>
        <w:rPr>
          <w:color w:val="000000"/>
        </w:rPr>
        <w:t>Better communication of R&amp;I results to society;</w:t>
      </w:r>
    </w:p>
    <w:p w14:paraId="4D3A216C" w14:textId="77777777" w:rsidR="00721C98" w:rsidRDefault="00AE7B71" w:rsidP="00AE7B71">
      <w:pPr>
        <w:pStyle w:val="ListParagraph"/>
        <w:numPr>
          <w:ilvl w:val="0"/>
          <w:numId w:val="23"/>
        </w:numPr>
      </w:pPr>
      <w:r>
        <w:rPr>
          <w:color w:val="000000"/>
        </w:rPr>
        <w:t>Enhanced research capacity, competitiveness, and economic growth.</w:t>
      </w:r>
    </w:p>
    <w:p w14:paraId="4A211283" w14:textId="77777777" w:rsidR="00721C98" w:rsidRDefault="00AE7B71">
      <w:r>
        <w:rPr>
          <w:color w:val="000000"/>
        </w:rPr>
        <w:t>At organisation level:</w:t>
      </w:r>
    </w:p>
    <w:p w14:paraId="71D0031A" w14:textId="77777777" w:rsidR="00721C98" w:rsidRDefault="00AE7B71" w:rsidP="00AE7B71">
      <w:pPr>
        <w:pStyle w:val="ListParagraph"/>
        <w:numPr>
          <w:ilvl w:val="0"/>
          <w:numId w:val="24"/>
        </w:numPr>
      </w:pPr>
      <w:r>
        <w:rPr>
          <w:color w:val="000000"/>
        </w:rPr>
        <w:t>Strengthened research management capacities;</w:t>
      </w:r>
    </w:p>
    <w:p w14:paraId="541402A4" w14:textId="77777777" w:rsidR="00721C98" w:rsidRDefault="00AE7B71" w:rsidP="00AE7B71">
      <w:pPr>
        <w:pStyle w:val="ListParagraph"/>
        <w:numPr>
          <w:ilvl w:val="0"/>
          <w:numId w:val="24"/>
        </w:numPr>
      </w:pPr>
      <w:r>
        <w:rPr>
          <w:color w:val="000000"/>
        </w:rPr>
        <w:t>Increased attractiveness to top international research managers, and subsequently researchers;</w:t>
      </w:r>
    </w:p>
    <w:p w14:paraId="1EB633B5" w14:textId="77777777" w:rsidR="00721C98" w:rsidRDefault="00AE7B71" w:rsidP="00AE7B71">
      <w:pPr>
        <w:pStyle w:val="ListParagraph"/>
        <w:numPr>
          <w:ilvl w:val="0"/>
          <w:numId w:val="24"/>
        </w:numPr>
      </w:pPr>
      <w:r>
        <w:rPr>
          <w:color w:val="000000"/>
        </w:rPr>
        <w:t>Establishment of a lasting, high-performing research management group with institutional benefits;</w:t>
      </w:r>
    </w:p>
    <w:p w14:paraId="4EEA7055" w14:textId="77777777" w:rsidR="00721C98" w:rsidRDefault="00AE7B71" w:rsidP="00AE7B71">
      <w:pPr>
        <w:pStyle w:val="ListParagraph"/>
        <w:numPr>
          <w:ilvl w:val="0"/>
          <w:numId w:val="24"/>
        </w:numPr>
      </w:pPr>
      <w:r>
        <w:rPr>
          <w:color w:val="000000"/>
        </w:rPr>
        <w:lastRenderedPageBreak/>
        <w:t>Improving the institution’s global visibility and success in securing competitive funding;</w:t>
      </w:r>
    </w:p>
    <w:p w14:paraId="12E454F5" w14:textId="77777777" w:rsidR="00721C98" w:rsidRDefault="00AE7B71" w:rsidP="00AE7B71">
      <w:pPr>
        <w:pStyle w:val="ListParagraph"/>
        <w:numPr>
          <w:ilvl w:val="0"/>
          <w:numId w:val="24"/>
        </w:numPr>
      </w:pPr>
      <w:r>
        <w:rPr>
          <w:color w:val="000000"/>
        </w:rPr>
        <w:t>Promote best practices in agreed ERA priorities such as ethics, open science and data, gender equality, thus strengthening the institution’s overall research ecosystem:</w:t>
      </w:r>
    </w:p>
    <w:p w14:paraId="5C9BF9F1" w14:textId="77777777" w:rsidR="00721C98" w:rsidRDefault="00AE7B71">
      <w:r>
        <w:rPr>
          <w:u w:val="single"/>
        </w:rPr>
        <w:t>Scope</w:t>
      </w:r>
      <w:r>
        <w:t xml:space="preserve">: </w:t>
      </w:r>
      <w:r>
        <w:rPr>
          <w:color w:val="000000"/>
        </w:rPr>
        <w:t>Research organisations in Widening countries seeking to establish an ERA Research Manager should submit a proposal aimed at establishing or upgrading research management capacities in the institution and ensuring that the conditions are in place to foster excellent research management aligned with ERA priorities. The research institution will act as the sole applicant (mono-beneficiary), and the ERA Research Manager may be from any country but may not already have a contractual relationship with the researc</w:t>
      </w:r>
      <w:r>
        <w:rPr>
          <w:color w:val="000000"/>
        </w:rPr>
        <w:t>h institution.</w:t>
      </w:r>
    </w:p>
    <w:p w14:paraId="66D08291" w14:textId="77777777" w:rsidR="00721C98" w:rsidRDefault="00AE7B71">
      <w:r>
        <w:rPr>
          <w:color w:val="000000"/>
        </w:rPr>
        <w:t>Proposals should include a Curriculum Vitae (CV) in Europass form</w:t>
      </w:r>
      <w:r>
        <w:rPr>
          <w:vertAlign w:val="superscript"/>
        </w:rPr>
        <w:footnoteReference w:id="48"/>
      </w:r>
      <w:r>
        <w:rPr>
          <w:color w:val="000000"/>
        </w:rPr>
        <w:t xml:space="preserve"> of the prospective ERA Research Manager, detailing their proposed managerial and technical contributions to the coordinating institution. The CV should be uploaded as an Annex to the proposal.</w:t>
      </w:r>
    </w:p>
    <w:p w14:paraId="682DE3B8" w14:textId="77777777" w:rsidR="00721C98" w:rsidRDefault="00AE7B71">
      <w:r>
        <w:rPr>
          <w:color w:val="000000"/>
        </w:rPr>
        <w:t>Proposals should include a self-assessment of the beneficiary’s existing institutional capacities and its needs in research management and administration. An implementation strategy should be designed to enhance the existing institutional capacities, with targeted actions and trainings. This strategy may be continuously adapted throughout the project duration. This plan will include all necessary measures to introduce institutional changes in research management. These measures should be realistic and feasi</w:t>
      </w:r>
      <w:r>
        <w:rPr>
          <w:color w:val="000000"/>
        </w:rPr>
        <w:t>ble within the duration of the project. Proposals should also describe any alternative/additional/other relevant investments in research management capacity building, projects, staffing, facilities and infrastructures and how those will be achieved.</w:t>
      </w:r>
    </w:p>
    <w:p w14:paraId="4385EB07" w14:textId="77777777" w:rsidR="00721C98" w:rsidRDefault="00AE7B71">
      <w:r>
        <w:rPr>
          <w:color w:val="000000"/>
        </w:rPr>
        <w:t>ERA Research Managers should be excellent research managers with international experience</w:t>
      </w:r>
      <w:r>
        <w:rPr>
          <w:vertAlign w:val="superscript"/>
        </w:rPr>
        <w:footnoteReference w:id="49"/>
      </w:r>
      <w:r>
        <w:rPr>
          <w:color w:val="000000"/>
        </w:rPr>
        <w:t>. The ERA Research Manager will establish/expand a research management team fully integrated in the coordinator's institution to significantly improve its overall performance in research management and R&amp;I. The team’s recruitment will be led by an international panel chaired by the ERA Research Manager and must follow an open, transparent and merit-based process. The ERA Research Manager should hold a position within the organisation, allowing resource allocation, supervision, and funding applications. Teac</w:t>
      </w:r>
      <w:r>
        <w:rPr>
          <w:color w:val="000000"/>
        </w:rPr>
        <w:t>hing duties may be included where appropriate.</w:t>
      </w:r>
    </w:p>
    <w:p w14:paraId="03963593" w14:textId="77777777" w:rsidR="00721C98" w:rsidRDefault="00AE7B71">
      <w:r>
        <w:rPr>
          <w:color w:val="000000"/>
        </w:rPr>
        <w:t xml:space="preserve">The ERA Research Manager may relocate permanently or temporarily to the coordinating institution, with secondments, sabbaticals, or part-time arrangements also being possible. A minimum 50% full-time equivalent (FTE) commitment, including on-site presence, must be ensured, at least until the appointment of a research management leader on a permanent basis. A description of the transition phase between the research management leader and the ERA Research Manager should be provided in the proposal, explaining </w:t>
      </w:r>
      <w:r>
        <w:rPr>
          <w:color w:val="000000"/>
        </w:rPr>
        <w:t xml:space="preserve">also their share of tasks and their role in the remaining years of the project, in case the appointed research management </w:t>
      </w:r>
      <w:r>
        <w:rPr>
          <w:color w:val="000000"/>
        </w:rPr>
        <w:lastRenderedPageBreak/>
        <w:t>leader is not the ERA Research Manager. All contractual arrangements, time commitment and the timeline of the ERA Research Manager’s on-site presence at the coordinator should be indicated in the proposal, as well as the salary (gross amount), travel and daily allowances and/or other perks to be offered. If employment is the preferred option, contractual details must be provided.</w:t>
      </w:r>
    </w:p>
    <w:p w14:paraId="34920D90" w14:textId="77777777" w:rsidR="00721C98" w:rsidRDefault="00AE7B71">
      <w:r>
        <w:rPr>
          <w:color w:val="000000"/>
        </w:rPr>
        <w:t>The permanent leader of the newly created or reinforced research management group should be appointed on a permanent basis within the first three years through an open recruitment process monitored by the European Commission, and to which the ERA Research Manager may apply.</w:t>
      </w:r>
    </w:p>
    <w:p w14:paraId="621F19E3" w14:textId="77777777" w:rsidR="00721C98" w:rsidRDefault="00AE7B71">
      <w:r>
        <w:rPr>
          <w:color w:val="000000"/>
        </w:rPr>
        <w:t>To ensure long-term sustainability, the ERA Research Managers team should be structured for continuity beyond Horizon Europe funding. The proposal should detail team composition, research management levels, salaries, and recruitment timelines. No more than 50% of the newly recruited team members should have any prior contractual links to the institution.</w:t>
      </w:r>
    </w:p>
    <w:p w14:paraId="5E310BBB" w14:textId="77777777" w:rsidR="00721C98" w:rsidRDefault="00AE7B71">
      <w:r>
        <w:rPr>
          <w:color w:val="000000"/>
        </w:rPr>
        <w:t>The grant covers the salaries of newly recruited research management team members, recruitment</w:t>
      </w:r>
      <w:r>
        <w:rPr>
          <w:vertAlign w:val="superscript"/>
        </w:rPr>
        <w:footnoteReference w:id="50"/>
      </w:r>
      <w:r>
        <w:rPr>
          <w:color w:val="000000"/>
        </w:rPr>
        <w:t>, travel and equipment, as well as administrative expenses related to the ERA Chair holder and research team. Proposed structural reforms to be driven by the ERA Research Manager should be outlined in the proposal, such as improving working conditions, career prospects, HR policies, research governance, grant management, knowledge transfer, and simplifying procedures like IPR. Gender equality should be addressed in alignment with ERA objectives and institutional commitments.</w:t>
      </w:r>
    </w:p>
    <w:p w14:paraId="1A9BDEDA" w14:textId="77777777" w:rsidR="00721C98" w:rsidRDefault="00AE7B71">
      <w:r>
        <w:rPr>
          <w:color w:val="000000"/>
        </w:rPr>
        <w:t>Proposals should quantify expected impacts, including institutional changes, increased research output (publications, IPR protection, knowledge valorisation), and improved research management. Additional relevant impact indicators are encouraged.</w:t>
      </w:r>
    </w:p>
    <w:p w14:paraId="68C10378" w14:textId="77777777" w:rsidR="00721C98" w:rsidRDefault="00AE7B71">
      <w:r>
        <w:rPr>
          <w:color w:val="000000"/>
        </w:rPr>
        <w:t>The expected duration of the actions is 5 years.</w:t>
      </w:r>
    </w:p>
    <w:p w14:paraId="4FAF0E3A" w14:textId="77777777" w:rsidR="00721C98" w:rsidRDefault="00AE7B71">
      <w:pPr>
        <w:pStyle w:val="HeadingThree"/>
      </w:pPr>
      <w:r>
        <w:t>HORIZON-WIDERA-2027-03-WIDENING-01: ERA Fellowships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577"/>
        <w:gridCol w:w="7725"/>
      </w:tblGrid>
      <w:tr w:rsidR="00DB4111" w14:paraId="703CDD37" w14:textId="77777777" w:rsidTr="00DB4111">
        <w:tc>
          <w:tcPr>
            <w:tcW w:w="0" w:type="auto"/>
            <w:gridSpan w:val="2"/>
          </w:tcPr>
          <w:p w14:paraId="09C195AC" w14:textId="77777777" w:rsidR="00721C98" w:rsidRDefault="00AE7B71">
            <w:pPr>
              <w:pStyle w:val="CellTextValue"/>
            </w:pPr>
            <w:r>
              <w:rPr>
                <w:b/>
              </w:rPr>
              <w:t>Call: ERA Fellowships</w:t>
            </w:r>
          </w:p>
        </w:tc>
      </w:tr>
      <w:tr w:rsidR="00DB4111" w14:paraId="3341947D" w14:textId="77777777" w:rsidTr="00DB4111">
        <w:tc>
          <w:tcPr>
            <w:tcW w:w="0" w:type="auto"/>
            <w:gridSpan w:val="2"/>
          </w:tcPr>
          <w:p w14:paraId="69FF69BC" w14:textId="77777777" w:rsidR="00721C98" w:rsidRDefault="00AE7B71">
            <w:pPr>
              <w:pStyle w:val="CellTextValue"/>
            </w:pPr>
            <w:r>
              <w:rPr>
                <w:b/>
              </w:rPr>
              <w:t>Specific conditions</w:t>
            </w:r>
          </w:p>
        </w:tc>
      </w:tr>
      <w:tr w:rsidR="00721C98" w14:paraId="5F699806" w14:textId="77777777">
        <w:tc>
          <w:tcPr>
            <w:tcW w:w="0" w:type="auto"/>
          </w:tcPr>
          <w:p w14:paraId="75EA4B9C" w14:textId="77777777" w:rsidR="00721C98" w:rsidRDefault="00AE7B71">
            <w:pPr>
              <w:pStyle w:val="CellTextValue"/>
              <w:jc w:val="left"/>
            </w:pPr>
            <w:r>
              <w:rPr>
                <w:i/>
              </w:rPr>
              <w:t>Indicative budget</w:t>
            </w:r>
          </w:p>
        </w:tc>
        <w:tc>
          <w:tcPr>
            <w:tcW w:w="0" w:type="auto"/>
          </w:tcPr>
          <w:p w14:paraId="38639576" w14:textId="77777777" w:rsidR="00721C98" w:rsidRDefault="00AE7B71">
            <w:pPr>
              <w:pStyle w:val="CellTextValue"/>
            </w:pPr>
            <w:r>
              <w:t>The total indicative budget for the topic is EUR 8.00 million.</w:t>
            </w:r>
          </w:p>
        </w:tc>
      </w:tr>
      <w:tr w:rsidR="00721C98" w14:paraId="11A8045C" w14:textId="77777777">
        <w:tc>
          <w:tcPr>
            <w:tcW w:w="0" w:type="auto"/>
          </w:tcPr>
          <w:p w14:paraId="70F9F4F2" w14:textId="77777777" w:rsidR="00721C98" w:rsidRDefault="00AE7B71">
            <w:pPr>
              <w:pStyle w:val="CellTextValue"/>
              <w:jc w:val="left"/>
            </w:pPr>
            <w:r>
              <w:rPr>
                <w:i/>
              </w:rPr>
              <w:t>Type of Action</w:t>
            </w:r>
          </w:p>
        </w:tc>
        <w:tc>
          <w:tcPr>
            <w:tcW w:w="0" w:type="auto"/>
          </w:tcPr>
          <w:p w14:paraId="4036CECA" w14:textId="77777777" w:rsidR="00721C98" w:rsidRDefault="00AE7B71">
            <w:pPr>
              <w:pStyle w:val="CellTextValue"/>
            </w:pPr>
            <w:r>
              <w:rPr>
                <w:color w:val="000000"/>
              </w:rPr>
              <w:t>TMA Postdoctoral Fellowships - European Fellowships</w:t>
            </w:r>
          </w:p>
        </w:tc>
      </w:tr>
      <w:tr w:rsidR="00721C98" w14:paraId="42A50BC4" w14:textId="77777777">
        <w:tc>
          <w:tcPr>
            <w:tcW w:w="0" w:type="auto"/>
          </w:tcPr>
          <w:p w14:paraId="75BC0341" w14:textId="77777777" w:rsidR="00721C98" w:rsidRDefault="00AE7B71">
            <w:pPr>
              <w:pStyle w:val="CellTextValue"/>
              <w:jc w:val="left"/>
            </w:pPr>
            <w:r>
              <w:rPr>
                <w:i/>
              </w:rPr>
              <w:t>Eligibility conditions</w:t>
            </w:r>
          </w:p>
        </w:tc>
        <w:tc>
          <w:tcPr>
            <w:tcW w:w="0" w:type="auto"/>
          </w:tcPr>
          <w:p w14:paraId="48D5B98B" w14:textId="77777777" w:rsidR="00721C98" w:rsidRDefault="00AE7B71">
            <w:pPr>
              <w:pStyle w:val="CellTextValue"/>
            </w:pPr>
            <w:r>
              <w:rPr>
                <w:color w:val="000000"/>
              </w:rPr>
              <w:t>The conditions are described in General Annex B. The following exceptions apply:</w:t>
            </w:r>
          </w:p>
          <w:p w14:paraId="4A3BD6BF" w14:textId="77777777" w:rsidR="00721C98" w:rsidRDefault="00AE7B71">
            <w:pPr>
              <w:pStyle w:val="CellTextValue"/>
            </w:pPr>
            <w:r>
              <w:rPr>
                <w:color w:val="000000"/>
              </w:rPr>
              <w:t xml:space="preserve">See these exceptions and specific conditions for the MSCA Postdoctoral </w:t>
            </w:r>
            <w:r>
              <w:rPr>
                <w:color w:val="000000"/>
              </w:rPr>
              <w:lastRenderedPageBreak/>
              <w:t>Fellowships at the end of the MSCA Work Programme part.</w:t>
            </w:r>
          </w:p>
          <w:p w14:paraId="74AA41A3" w14:textId="77777777" w:rsidR="00721C98" w:rsidRDefault="00AE7B71">
            <w:r>
              <w:rPr>
                <w:color w:val="000000"/>
              </w:rPr>
              <w:t>To be eligible to this call the host organisation must be located in a Widening country.</w:t>
            </w:r>
          </w:p>
        </w:tc>
      </w:tr>
      <w:tr w:rsidR="00721C98" w14:paraId="75BE51E5" w14:textId="77777777">
        <w:tc>
          <w:tcPr>
            <w:tcW w:w="0" w:type="auto"/>
          </w:tcPr>
          <w:p w14:paraId="50C13A4A" w14:textId="77777777" w:rsidR="00721C98" w:rsidRDefault="00AE7B71">
            <w:pPr>
              <w:pStyle w:val="CellTextValue"/>
              <w:jc w:val="left"/>
            </w:pPr>
            <w:r>
              <w:rPr>
                <w:i/>
              </w:rPr>
              <w:lastRenderedPageBreak/>
              <w:t>Procedure</w:t>
            </w:r>
          </w:p>
        </w:tc>
        <w:tc>
          <w:tcPr>
            <w:tcW w:w="0" w:type="auto"/>
          </w:tcPr>
          <w:p w14:paraId="1FE60BCA" w14:textId="77777777" w:rsidR="00721C98" w:rsidRDefault="00AE7B71">
            <w:pPr>
              <w:pStyle w:val="CellTextValue"/>
            </w:pPr>
            <w:r>
              <w:rPr>
                <w:color w:val="000000"/>
              </w:rPr>
              <w:t>The procedure is described in General Annex F. The following exceptions apply:</w:t>
            </w:r>
          </w:p>
          <w:p w14:paraId="575F153B" w14:textId="77777777" w:rsidR="00721C98" w:rsidRDefault="00AE7B71">
            <w:pPr>
              <w:pStyle w:val="CellTextValue"/>
            </w:pPr>
            <w:r>
              <w:rPr>
                <w:color w:val="000000"/>
              </w:rPr>
              <w:t>Seals of Excellence will be awarded to applications exceeding all of the evaluation thresholds set out in this work programme but which cannot be funded due to lack of budget available to the call.</w:t>
            </w:r>
          </w:p>
        </w:tc>
      </w:tr>
      <w:tr w:rsidR="00721C98" w14:paraId="0676092B" w14:textId="77777777">
        <w:tc>
          <w:tcPr>
            <w:tcW w:w="0" w:type="auto"/>
          </w:tcPr>
          <w:p w14:paraId="2158B9C0" w14:textId="77777777" w:rsidR="00721C98" w:rsidRDefault="00AE7B71">
            <w:pPr>
              <w:pStyle w:val="CellTextValue"/>
              <w:jc w:val="left"/>
            </w:pPr>
            <w:r>
              <w:rPr>
                <w:i/>
              </w:rPr>
              <w:t>Other conditions</w:t>
            </w:r>
          </w:p>
        </w:tc>
        <w:tc>
          <w:tcPr>
            <w:tcW w:w="0" w:type="auto"/>
          </w:tcPr>
          <w:p w14:paraId="63DAC274" w14:textId="77777777" w:rsidR="00721C98" w:rsidRDefault="00AE7B71">
            <w:pPr>
              <w:pStyle w:val="CellTextValue"/>
            </w:pPr>
            <w:r>
              <w:rPr>
                <w:color w:val="000000"/>
              </w:rPr>
              <w:t>For application of the general award criteria, including weighting and thresholds, see the specific conditions at the end of the MSCA Work Programme part.</w:t>
            </w:r>
          </w:p>
          <w:p w14:paraId="5A62D5D3" w14:textId="77777777" w:rsidR="00721C98" w:rsidRDefault="00AE7B71">
            <w:r>
              <w:rPr>
                <w:color w:val="000000"/>
              </w:rPr>
              <w:t>For admissibility, procedure and legal and financial set-up of the Grant Agreement see exceptions and specific conditions for MSCA Postdoctoral Fellowships - European Fellowships in the MSCA Work Programme part.</w:t>
            </w:r>
          </w:p>
          <w:p w14:paraId="1CB1D8E5" w14:textId="77777777" w:rsidR="00721C98" w:rsidRDefault="00AE7B71">
            <w:r>
              <w:rPr>
                <w:color w:val="000000"/>
              </w:rPr>
              <w:t>The MSCA Postdoctoral Fellowships 2027 model grant agreement will be used to the ERA Fellowships.</w:t>
            </w:r>
          </w:p>
          <w:p w14:paraId="6DDA897A" w14:textId="77777777" w:rsidR="00721C98" w:rsidRDefault="00AE7B71">
            <w:r>
              <w:rPr>
                <w:color w:val="000000"/>
              </w:rPr>
              <w:t>The expected EU contribution depends on the number of person-months requested. For the applicable unit contributions, see specific conditions for MSCA Postdoctoral Fellowships - European Fellowships in the MSCA Work Programme part.</w:t>
            </w:r>
          </w:p>
          <w:p w14:paraId="73D907AD" w14:textId="77777777" w:rsidR="00721C98" w:rsidRDefault="00AE7B71">
            <w:r>
              <w:rPr>
                <w:color w:val="000000"/>
              </w:rPr>
              <w:t>In order to apply for the ERA Fellowships call, applicants must submit their proposal to the Marie Skłodowska-Curie actions (MSCA) Postdoctoral Fellowships 2027. The application to the (MSCA) Postdoctoral Fellowships 2027 will be automatically resubmitted to this call in case the proposal fails to reach an adequate place in the ranking to be funded. This simplified submission procedure to the ERA Fellowships call presents applicants moving to Widening countries with an additional funding opportunity but the</w:t>
            </w:r>
            <w:r>
              <w:rPr>
                <w:color w:val="000000"/>
              </w:rPr>
              <w:t>re is the possibility to opt out during the application stage.</w:t>
            </w:r>
          </w:p>
          <w:p w14:paraId="68086983" w14:textId="77777777" w:rsidR="00721C98" w:rsidRDefault="00AE7B71">
            <w:r>
              <w:rPr>
                <w:color w:val="000000"/>
              </w:rPr>
              <w:t>ERA Fellowships will be implemented applying the award criteria, scoring and threshold for Marie Skłodowska-Curie actions. The ranking order for the ERA Fellowships call will follow the MSCA Postdoctoral Fellowships 2027 call scores and evaluation procedure and proposals will also retain the scores and comments included in the Evaluation Summary Report (ESR) of this call.</w:t>
            </w:r>
          </w:p>
          <w:p w14:paraId="25C4B590" w14:textId="77777777" w:rsidR="00721C98" w:rsidRDefault="00AE7B71">
            <w:r>
              <w:rPr>
                <w:color w:val="000000"/>
              </w:rPr>
              <w:t>The proposals submitted under the ERA Fellowships must fulfil all the admissibility and eligibility conditions of the MSCA Postdoctoral Fellowships 2027 and pass all the thresholds for that call.</w:t>
            </w:r>
          </w:p>
        </w:tc>
      </w:tr>
      <w:tr w:rsidR="00721C98" w14:paraId="7454C8B5" w14:textId="77777777">
        <w:tc>
          <w:tcPr>
            <w:tcW w:w="0" w:type="auto"/>
          </w:tcPr>
          <w:p w14:paraId="794A5E68" w14:textId="77777777" w:rsidR="00721C98" w:rsidRDefault="00AE7B71">
            <w:pPr>
              <w:pStyle w:val="CellTextValue"/>
              <w:jc w:val="left"/>
            </w:pPr>
            <w:r>
              <w:rPr>
                <w:i/>
              </w:rPr>
              <w:t xml:space="preserve">Other </w:t>
            </w:r>
            <w:r>
              <w:rPr>
                <w:i/>
              </w:rPr>
              <w:lastRenderedPageBreak/>
              <w:t>requirement</w:t>
            </w:r>
          </w:p>
        </w:tc>
        <w:tc>
          <w:tcPr>
            <w:tcW w:w="0" w:type="auto"/>
          </w:tcPr>
          <w:p w14:paraId="3514A6EE" w14:textId="77777777" w:rsidR="00721C98" w:rsidRDefault="00AE7B71">
            <w:pPr>
              <w:pStyle w:val="CellTextValue"/>
            </w:pPr>
            <w:r>
              <w:rPr>
                <w:color w:val="000000"/>
              </w:rPr>
              <w:lastRenderedPageBreak/>
              <w:t xml:space="preserve">The part of the MSCA Work Programme referring to synergies with the </w:t>
            </w:r>
            <w:r>
              <w:rPr>
                <w:color w:val="000000"/>
              </w:rPr>
              <w:lastRenderedPageBreak/>
              <w:t>Euratom Research and Training Programme 2021-2025 does not apply to the ERA Fellowships.</w:t>
            </w:r>
          </w:p>
        </w:tc>
      </w:tr>
    </w:tbl>
    <w:p w14:paraId="73A4B632" w14:textId="77777777" w:rsidR="00721C98" w:rsidRDefault="00721C98">
      <w:pPr>
        <w:spacing w:after="0" w:line="150" w:lineRule="auto"/>
      </w:pPr>
    </w:p>
    <w:p w14:paraId="10EE927B" w14:textId="77777777" w:rsidR="00721C98" w:rsidRDefault="00AE7B71">
      <w:r>
        <w:rPr>
          <w:u w:val="single"/>
        </w:rPr>
        <w:t>Expected Outcome</w:t>
      </w:r>
      <w:r>
        <w:t xml:space="preserve">: </w:t>
      </w:r>
      <w:r>
        <w:rPr>
          <w:color w:val="000000"/>
        </w:rPr>
        <w:t>This action builds on the MSCA Postdoctoral Fellowships 2027 action (HORIZON-MSCA-PF-2027). The target group are host organisations located in Widening countries.</w:t>
      </w:r>
    </w:p>
    <w:p w14:paraId="2B7624F8" w14:textId="77777777" w:rsidR="00721C98" w:rsidRDefault="00AE7B71">
      <w:r>
        <w:rPr>
          <w:color w:val="000000"/>
        </w:rPr>
        <w:t xml:space="preserve">Project results are expected to contribute to the following </w:t>
      </w:r>
      <w:r>
        <w:rPr>
          <w:color w:val="000000"/>
          <w:u w:val="single"/>
        </w:rPr>
        <w:t>outcomes</w:t>
      </w:r>
      <w:r>
        <w:rPr>
          <w:color w:val="000000"/>
        </w:rPr>
        <w:t>:</w:t>
      </w:r>
    </w:p>
    <w:p w14:paraId="6E74FEFB" w14:textId="77777777" w:rsidR="00721C98" w:rsidRDefault="00AE7B71">
      <w:r>
        <w:rPr>
          <w:color w:val="000000"/>
        </w:rPr>
        <w:t>For supported ERA Fellows:</w:t>
      </w:r>
    </w:p>
    <w:p w14:paraId="1966C890" w14:textId="77777777" w:rsidR="00721C98" w:rsidRDefault="00AE7B71" w:rsidP="00AE7B71">
      <w:pPr>
        <w:pStyle w:val="ListParagraph"/>
        <w:numPr>
          <w:ilvl w:val="0"/>
          <w:numId w:val="25"/>
        </w:numPr>
      </w:pPr>
      <w:r>
        <w:rPr>
          <w:color w:val="000000"/>
        </w:rPr>
        <w:t>Increased set of research and transferable skills and competences, leading to improved employability and career prospects of fellows within academia and beyond;</w:t>
      </w:r>
    </w:p>
    <w:p w14:paraId="17290D03" w14:textId="77777777" w:rsidR="00721C98" w:rsidRDefault="00AE7B71" w:rsidP="00AE7B71">
      <w:pPr>
        <w:pStyle w:val="ListParagraph"/>
        <w:numPr>
          <w:ilvl w:val="0"/>
          <w:numId w:val="25"/>
        </w:numPr>
      </w:pPr>
      <w:r>
        <w:rPr>
          <w:color w:val="000000"/>
        </w:rPr>
        <w:t>New mind-sets and approaches to R&amp;I work forged through international, inter-sectoral and interdisciplinary experience;</w:t>
      </w:r>
    </w:p>
    <w:p w14:paraId="1CE4F79F" w14:textId="77777777" w:rsidR="00721C98" w:rsidRDefault="00AE7B71" w:rsidP="00AE7B71">
      <w:pPr>
        <w:pStyle w:val="ListParagraph"/>
        <w:numPr>
          <w:ilvl w:val="0"/>
          <w:numId w:val="25"/>
        </w:numPr>
      </w:pPr>
      <w:r>
        <w:rPr>
          <w:color w:val="000000"/>
        </w:rPr>
        <w:t>Enhanced networking and communication capacities with scientific peers, as well as with the general public, that will increase and broaden the research and innovation impact;</w:t>
      </w:r>
    </w:p>
    <w:p w14:paraId="16FC45D6" w14:textId="77777777" w:rsidR="00721C98" w:rsidRDefault="00AE7B71">
      <w:r>
        <w:rPr>
          <w:color w:val="000000"/>
        </w:rPr>
        <w:t>For participating organisations in the Widening countries:</w:t>
      </w:r>
    </w:p>
    <w:p w14:paraId="670FE99F" w14:textId="77777777" w:rsidR="00721C98" w:rsidRDefault="00AE7B71" w:rsidP="00AE7B71">
      <w:pPr>
        <w:pStyle w:val="ListParagraph"/>
        <w:numPr>
          <w:ilvl w:val="0"/>
          <w:numId w:val="26"/>
        </w:numPr>
      </w:pPr>
      <w:r>
        <w:rPr>
          <w:color w:val="000000"/>
        </w:rPr>
        <w:t>Increased alignment of working conditions for researchers in accordance with the principles set out in the European Charter for Researchers</w:t>
      </w:r>
      <w:r>
        <w:rPr>
          <w:vertAlign w:val="superscript"/>
        </w:rPr>
        <w:footnoteReference w:id="51"/>
      </w:r>
      <w:r>
        <w:rPr>
          <w:color w:val="000000"/>
        </w:rPr>
        <w:t>;</w:t>
      </w:r>
    </w:p>
    <w:p w14:paraId="68827285" w14:textId="77777777" w:rsidR="00721C98" w:rsidRDefault="00AE7B71" w:rsidP="00AE7B71">
      <w:pPr>
        <w:pStyle w:val="ListParagraph"/>
        <w:numPr>
          <w:ilvl w:val="0"/>
          <w:numId w:val="26"/>
        </w:numPr>
      </w:pPr>
      <w:r>
        <w:rPr>
          <w:color w:val="000000"/>
        </w:rPr>
        <w:t>Enhanced quality and sustainability of research training and supervision;</w:t>
      </w:r>
    </w:p>
    <w:p w14:paraId="6F703886" w14:textId="77777777" w:rsidR="00721C98" w:rsidRDefault="00AE7B71" w:rsidP="00AE7B71">
      <w:pPr>
        <w:pStyle w:val="ListParagraph"/>
        <w:numPr>
          <w:ilvl w:val="0"/>
          <w:numId w:val="26"/>
        </w:numPr>
      </w:pPr>
      <w:r>
        <w:rPr>
          <w:color w:val="000000"/>
        </w:rPr>
        <w:t>Increased global attractiveness, visibility and reputation;</w:t>
      </w:r>
    </w:p>
    <w:p w14:paraId="3F354F36" w14:textId="77777777" w:rsidR="00721C98" w:rsidRDefault="00AE7B71" w:rsidP="00AE7B71">
      <w:pPr>
        <w:pStyle w:val="ListParagraph"/>
        <w:numPr>
          <w:ilvl w:val="0"/>
          <w:numId w:val="26"/>
        </w:numPr>
      </w:pPr>
      <w:r>
        <w:rPr>
          <w:color w:val="000000"/>
        </w:rPr>
        <w:t>Stronger R&amp;I capacity and output; better transfer of knowledge.</w:t>
      </w:r>
    </w:p>
    <w:p w14:paraId="7B2C9F0F" w14:textId="77777777" w:rsidR="00721C98" w:rsidRDefault="00AE7B71">
      <w:r>
        <w:rPr>
          <w:color w:val="000000"/>
        </w:rPr>
        <w:t>For Widening Countries:</w:t>
      </w:r>
    </w:p>
    <w:p w14:paraId="79DEF77C" w14:textId="77777777" w:rsidR="00721C98" w:rsidRDefault="00AE7B71" w:rsidP="00AE7B71">
      <w:pPr>
        <w:pStyle w:val="ListParagraph"/>
        <w:numPr>
          <w:ilvl w:val="0"/>
          <w:numId w:val="27"/>
        </w:numPr>
      </w:pPr>
      <w:r>
        <w:rPr>
          <w:color w:val="000000"/>
        </w:rPr>
        <w:t>More postdoctoral researchers attracted to Widening countries with competitive grants and attractive working and employment conditions.</w:t>
      </w:r>
    </w:p>
    <w:p w14:paraId="79C945C2" w14:textId="77777777" w:rsidR="00721C98" w:rsidRDefault="00AE7B71">
      <w:r>
        <w:rPr>
          <w:u w:val="single"/>
        </w:rPr>
        <w:t>Scope</w:t>
      </w:r>
      <w:r>
        <w:t xml:space="preserve">: </w:t>
      </w:r>
      <w:r>
        <w:rPr>
          <w:color w:val="000000"/>
        </w:rPr>
        <w:t>Fellowships should be provided to excellent researchers, undertaking cross-border mobility. Applications must be made jointly by the researcher together with a legal entity in the academic or non-academic sector located in a Widening country.</w:t>
      </w:r>
    </w:p>
    <w:p w14:paraId="39860B1A" w14:textId="77777777" w:rsidR="00721C98" w:rsidRDefault="00AE7B71">
      <w:r>
        <w:rPr>
          <w:color w:val="000000"/>
        </w:rPr>
        <w:t>ERA Fellowships should take place in a Widening Country. Fellowships are open to researchers of any nationality who wish to engage in R&amp;I projects by either coming to the EU from any country in the world or moving within the EU to a Widening country.</w:t>
      </w:r>
    </w:p>
    <w:p w14:paraId="6664C660" w14:textId="77777777" w:rsidR="00721C98" w:rsidRDefault="00AE7B71">
      <w:r>
        <w:rPr>
          <w:i/>
          <w:color w:val="000000"/>
        </w:rPr>
        <w:lastRenderedPageBreak/>
        <w:t>Secondments</w:t>
      </w:r>
    </w:p>
    <w:p w14:paraId="431B3A39" w14:textId="77777777" w:rsidR="00721C98" w:rsidRDefault="00AE7B71">
      <w:r>
        <w:rPr>
          <w:color w:val="000000"/>
        </w:rPr>
        <w:t>Researchers receiving an ERA Fellowship may opt to include a secondment phase, within the overall duration of their fellowship in any country worldwide. The secondment phase can be a single period or be divided into shorter mobility periods. Secondments cannot exceed half of the requested duration of the action (excluding from the duration of the action any additional period for a non-academic placement) and should be in line with the project objectives, adding significant value and impact to the fellowship</w:t>
      </w:r>
      <w:r>
        <w:rPr>
          <w:color w:val="000000"/>
        </w:rPr>
        <w:t>.</w:t>
      </w:r>
    </w:p>
    <w:p w14:paraId="06958563" w14:textId="77777777" w:rsidR="00721C98" w:rsidRDefault="00AE7B71">
      <w:r>
        <w:rPr>
          <w:i/>
          <w:color w:val="000000"/>
        </w:rPr>
        <w:t>Placements in the non-academic sector</w:t>
      </w:r>
    </w:p>
    <w:p w14:paraId="312AD0ED" w14:textId="77777777" w:rsidR="00721C98" w:rsidRDefault="00AE7B71">
      <w:r>
        <w:rPr>
          <w:color w:val="000000"/>
        </w:rPr>
        <w:t xml:space="preserve">ERA Fellowships can provide an additional period of up to six months to support researchers opting for a placement at the end of the project to work on R&amp;I projects in an organisation from the non-academic sector established in an EU Member State or Horizon Europe Associated Country. While this possibility is also available to fellows recruited in the non-academic sector, such a placement should be implemented at a different non-academic host organisation established in an EU Member State or Horizon Europe </w:t>
      </w:r>
      <w:r>
        <w:rPr>
          <w:color w:val="000000"/>
        </w:rPr>
        <w:t>Associated Country. The request for such a non-academic placement should be an integral part of the proposal, explaining the added value for the project and for the career development of the researcher, and will be subject to evaluation. This incentive aims at promoting career moves between sectors and organisations and thereby stimulate innovation and knowledge transfer while expanding career opportunities for researchers.</w:t>
      </w:r>
    </w:p>
    <w:p w14:paraId="529DE325" w14:textId="77777777" w:rsidR="00721C98" w:rsidRDefault="00AE7B71">
      <w:r>
        <w:rPr>
          <w:i/>
          <w:color w:val="000000"/>
        </w:rPr>
        <w:t>Training activities</w:t>
      </w:r>
    </w:p>
    <w:p w14:paraId="0E1FF47C" w14:textId="77777777" w:rsidR="00721C98" w:rsidRDefault="00AE7B71">
      <w:r>
        <w:rPr>
          <w:color w:val="000000"/>
        </w:rPr>
        <w:t>The training activities implemented under the ERA Fellowships should include training for key transferable skills</w:t>
      </w:r>
      <w:r>
        <w:rPr>
          <w:vertAlign w:val="superscript"/>
        </w:rPr>
        <w:footnoteReference w:id="52"/>
      </w:r>
      <w:r>
        <w:rPr>
          <w:color w:val="000000"/>
        </w:rPr>
        <w:t>, foster innovation and entrepreneurship, (e.g., commercialisation of results, Intellectual Property Rights, communication, public engagement and citizen science), foster good scientific conduct such as research integrity and promote Open Science practices (open access to publications and to other research outputs, including data, FAIR data management, societal engagement and citizen science, etc.).</w:t>
      </w:r>
    </w:p>
    <w:p w14:paraId="7AF2FE0D" w14:textId="77777777" w:rsidR="00721C98" w:rsidRDefault="00AE7B71">
      <w:r>
        <w:rPr>
          <w:i/>
          <w:color w:val="000000"/>
        </w:rPr>
        <w:t>Career Development Plan</w:t>
      </w:r>
    </w:p>
    <w:p w14:paraId="57094417" w14:textId="77777777" w:rsidR="00721C98" w:rsidRDefault="00AE7B71">
      <w:r>
        <w:rPr>
          <w:color w:val="000000"/>
        </w:rPr>
        <w:t>In order to equip ERA Fellows with skills that enhance and expand their career opportunities inside and outside academia, a Career Development Plan should be established jointly by the supervisor(s) and the researcher. In addition to research objectives, this plan should comprise the researcher's training and career needs, including training on transferable skills, teaching, planning for publications and participation in conferences and events aiming at opening science and research to citizens. The Plan has</w:t>
      </w:r>
      <w:r>
        <w:rPr>
          <w:color w:val="000000"/>
        </w:rPr>
        <w:t xml:space="preserve"> to be submitted as a project deliverable at the beginning of the action and can be updated when needed.</w:t>
      </w:r>
    </w:p>
    <w:p w14:paraId="1985FA81" w14:textId="77777777" w:rsidR="00721C98" w:rsidRDefault="00AE7B71">
      <w:pPr>
        <w:pStyle w:val="HeadingThree"/>
      </w:pPr>
      <w:r>
        <w:lastRenderedPageBreak/>
        <w:t>HORIZON-WIDERA-2027-04-WIDENING-01: Excellence Hubs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3"/>
        <w:gridCol w:w="7209"/>
      </w:tblGrid>
      <w:tr w:rsidR="00DB4111" w14:paraId="0C807D2B" w14:textId="77777777" w:rsidTr="00DB4111">
        <w:tc>
          <w:tcPr>
            <w:tcW w:w="0" w:type="auto"/>
            <w:gridSpan w:val="2"/>
          </w:tcPr>
          <w:p w14:paraId="43E7D9AA" w14:textId="77777777" w:rsidR="00721C98" w:rsidRDefault="00AE7B71">
            <w:pPr>
              <w:pStyle w:val="CellTextValue"/>
            </w:pPr>
            <w:r>
              <w:rPr>
                <w:b/>
              </w:rPr>
              <w:t>Call: Excellence Hubs</w:t>
            </w:r>
          </w:p>
        </w:tc>
      </w:tr>
      <w:tr w:rsidR="00DB4111" w14:paraId="71E2A163" w14:textId="77777777" w:rsidTr="00DB4111">
        <w:tc>
          <w:tcPr>
            <w:tcW w:w="0" w:type="auto"/>
            <w:gridSpan w:val="2"/>
          </w:tcPr>
          <w:p w14:paraId="384EA57A" w14:textId="77777777" w:rsidR="00721C98" w:rsidRDefault="00AE7B71">
            <w:pPr>
              <w:pStyle w:val="CellTextValue"/>
            </w:pPr>
            <w:r>
              <w:rPr>
                <w:b/>
              </w:rPr>
              <w:t>Specific conditions</w:t>
            </w:r>
          </w:p>
        </w:tc>
      </w:tr>
      <w:tr w:rsidR="00721C98" w14:paraId="590F68F5" w14:textId="77777777">
        <w:tc>
          <w:tcPr>
            <w:tcW w:w="0" w:type="auto"/>
          </w:tcPr>
          <w:p w14:paraId="1E56495B" w14:textId="77777777" w:rsidR="00721C98" w:rsidRDefault="00AE7B71">
            <w:pPr>
              <w:pStyle w:val="CellTextValue"/>
              <w:jc w:val="left"/>
            </w:pPr>
            <w:r>
              <w:rPr>
                <w:i/>
              </w:rPr>
              <w:t>Expected EU contribution per project</w:t>
            </w:r>
          </w:p>
        </w:tc>
        <w:tc>
          <w:tcPr>
            <w:tcW w:w="0" w:type="auto"/>
          </w:tcPr>
          <w:p w14:paraId="6F48DB3B" w14:textId="77777777" w:rsidR="00721C98" w:rsidRDefault="00AE7B71">
            <w:pPr>
              <w:pStyle w:val="CellTextValue"/>
            </w:pPr>
            <w:r>
              <w:t>The Commission estimates that an EU contribution of between EUR 1.50 and 4.50 million would allow these outcomes to be addressed appropriately. Nonetheless, this does not preclude submission and selection of a proposal requesting different amounts.</w:t>
            </w:r>
          </w:p>
        </w:tc>
      </w:tr>
      <w:tr w:rsidR="00721C98" w14:paraId="1ACD1EDA" w14:textId="77777777">
        <w:tc>
          <w:tcPr>
            <w:tcW w:w="0" w:type="auto"/>
          </w:tcPr>
          <w:p w14:paraId="3F3A6907" w14:textId="77777777" w:rsidR="00721C98" w:rsidRDefault="00AE7B71">
            <w:pPr>
              <w:pStyle w:val="CellTextValue"/>
              <w:jc w:val="left"/>
            </w:pPr>
            <w:r>
              <w:rPr>
                <w:i/>
              </w:rPr>
              <w:t>Indicative budget</w:t>
            </w:r>
          </w:p>
        </w:tc>
        <w:tc>
          <w:tcPr>
            <w:tcW w:w="0" w:type="auto"/>
          </w:tcPr>
          <w:p w14:paraId="3EDC0C35" w14:textId="77777777" w:rsidR="00721C98" w:rsidRDefault="00AE7B71">
            <w:pPr>
              <w:pStyle w:val="CellTextValue"/>
            </w:pPr>
            <w:r>
              <w:t>The total indicative budget for the topic is EUR 100.00 million.</w:t>
            </w:r>
          </w:p>
        </w:tc>
      </w:tr>
      <w:tr w:rsidR="00721C98" w14:paraId="10B748C5" w14:textId="77777777">
        <w:tc>
          <w:tcPr>
            <w:tcW w:w="0" w:type="auto"/>
          </w:tcPr>
          <w:p w14:paraId="4A25639E" w14:textId="77777777" w:rsidR="00721C98" w:rsidRDefault="00AE7B71">
            <w:pPr>
              <w:pStyle w:val="CellTextValue"/>
              <w:jc w:val="left"/>
            </w:pPr>
            <w:r>
              <w:rPr>
                <w:i/>
              </w:rPr>
              <w:t>Type of Action</w:t>
            </w:r>
          </w:p>
        </w:tc>
        <w:tc>
          <w:tcPr>
            <w:tcW w:w="0" w:type="auto"/>
          </w:tcPr>
          <w:p w14:paraId="176B76BF" w14:textId="77777777" w:rsidR="00721C98" w:rsidRDefault="00AE7B71">
            <w:pPr>
              <w:pStyle w:val="CellTextValue"/>
            </w:pPr>
            <w:r>
              <w:rPr>
                <w:color w:val="000000"/>
              </w:rPr>
              <w:t>Coordination and Support Actions</w:t>
            </w:r>
          </w:p>
        </w:tc>
      </w:tr>
      <w:tr w:rsidR="00721C98" w14:paraId="7F187CD4" w14:textId="77777777">
        <w:tc>
          <w:tcPr>
            <w:tcW w:w="0" w:type="auto"/>
          </w:tcPr>
          <w:p w14:paraId="626F56B3" w14:textId="77777777" w:rsidR="00721C98" w:rsidRDefault="00AE7B71">
            <w:pPr>
              <w:pStyle w:val="CellTextValue"/>
              <w:jc w:val="left"/>
            </w:pPr>
            <w:r>
              <w:rPr>
                <w:i/>
              </w:rPr>
              <w:t>Admissibility conditions</w:t>
            </w:r>
          </w:p>
        </w:tc>
        <w:tc>
          <w:tcPr>
            <w:tcW w:w="0" w:type="auto"/>
          </w:tcPr>
          <w:p w14:paraId="645E0683" w14:textId="77777777" w:rsidR="00721C98" w:rsidRDefault="00AE7B71">
            <w:pPr>
              <w:pStyle w:val="CellTextValue"/>
            </w:pPr>
            <w:r>
              <w:rPr>
                <w:color w:val="000000"/>
              </w:rPr>
              <w:t>The conditions are described in General Annex A. The following exceptions apply:</w:t>
            </w:r>
          </w:p>
          <w:p w14:paraId="062CC89A" w14:textId="77777777" w:rsidR="00721C98" w:rsidRDefault="00AE7B71">
            <w:pPr>
              <w:pStyle w:val="CellTextValue"/>
            </w:pPr>
            <w:r>
              <w:rPr>
                <w:color w:val="000000"/>
              </w:rPr>
              <w:t>The page limit of the application is 40 pages.</w:t>
            </w:r>
          </w:p>
        </w:tc>
      </w:tr>
      <w:tr w:rsidR="00721C98" w14:paraId="767DA895" w14:textId="77777777">
        <w:tc>
          <w:tcPr>
            <w:tcW w:w="0" w:type="auto"/>
          </w:tcPr>
          <w:p w14:paraId="6979DCC1" w14:textId="77777777" w:rsidR="00721C98" w:rsidRDefault="00AE7B71">
            <w:pPr>
              <w:pStyle w:val="CellTextValue"/>
              <w:jc w:val="left"/>
            </w:pPr>
            <w:r>
              <w:rPr>
                <w:i/>
              </w:rPr>
              <w:t>Eligibility conditions</w:t>
            </w:r>
          </w:p>
        </w:tc>
        <w:tc>
          <w:tcPr>
            <w:tcW w:w="0" w:type="auto"/>
          </w:tcPr>
          <w:p w14:paraId="0316CF2E" w14:textId="77777777" w:rsidR="00721C98" w:rsidRDefault="00AE7B71">
            <w:pPr>
              <w:pStyle w:val="CellTextValue"/>
            </w:pPr>
            <w:r>
              <w:rPr>
                <w:color w:val="000000"/>
              </w:rPr>
              <w:t>The conditions are described in General Annex B. The following exceptions apply:</w:t>
            </w:r>
          </w:p>
          <w:p w14:paraId="1D16BCE1" w14:textId="77777777" w:rsidR="00721C98" w:rsidRDefault="00AE7B71">
            <w:pPr>
              <w:pStyle w:val="CellTextValue"/>
            </w:pPr>
            <w:r>
              <w:rPr>
                <w:color w:val="000000"/>
              </w:rPr>
              <w:t>In order to achieve the expected outcomes, participation as coordinators to the call is limited to legal entities established in Widening countries as defined in the Horizon Europe regulation.</w:t>
            </w:r>
          </w:p>
          <w:p w14:paraId="0C58BAD1" w14:textId="77777777" w:rsidR="00721C98" w:rsidRDefault="00AE7B71">
            <w:r>
              <w:rPr>
                <w:color w:val="000000"/>
              </w:rPr>
              <w:t>Proposals must involve at least two R&amp;I ecosystems from two different Widening countries.</w:t>
            </w:r>
          </w:p>
          <w:p w14:paraId="43039B73" w14:textId="77777777" w:rsidR="00721C98" w:rsidRDefault="00AE7B71">
            <w:r>
              <w:rPr>
                <w:color w:val="000000"/>
              </w:rPr>
              <w:t>Each R&amp;I ecosystem must be entirely based in a single Widening country and must comprise four different categories of actors i.e. a) academic institutions (universities and/or non-university research centres or labs), b) business entities, c) public authorities or authorised agencies operating at regional or local level and d) societal actors (e.g. civil society organisations, citizens, end users, media, cultural actors etc.).</w:t>
            </w:r>
          </w:p>
          <w:p w14:paraId="7C6F551A" w14:textId="77777777" w:rsidR="00721C98" w:rsidRDefault="00AE7B71">
            <w:r>
              <w:rPr>
                <w:color w:val="000000"/>
              </w:rPr>
              <w:t>A proposal may demonstrate involvement of a Widening country R&amp;I ecosystem by either:</w:t>
            </w:r>
          </w:p>
          <w:p w14:paraId="5620CDD7" w14:textId="77777777" w:rsidR="00721C98" w:rsidRDefault="00AE7B71" w:rsidP="00AE7B71">
            <w:pPr>
              <w:pStyle w:val="ListParagraph"/>
              <w:numPr>
                <w:ilvl w:val="0"/>
                <w:numId w:val="28"/>
              </w:numPr>
              <w:spacing w:after="150"/>
              <w:ind w:right="100"/>
            </w:pPr>
            <w:r>
              <w:rPr>
                <w:color w:val="000000"/>
              </w:rPr>
              <w:t>The participation, as a beneficiary, by one or more umbrella organisations, whose membership comprises the four different categories of Widening country R&amp;I actors for the relevant Widening country; or</w:t>
            </w:r>
          </w:p>
          <w:p w14:paraId="438593A3" w14:textId="77777777" w:rsidR="00721C98" w:rsidRDefault="00AE7B71" w:rsidP="00AE7B71">
            <w:pPr>
              <w:pStyle w:val="ListParagraph"/>
              <w:numPr>
                <w:ilvl w:val="0"/>
                <w:numId w:val="28"/>
              </w:numPr>
              <w:spacing w:after="150"/>
              <w:ind w:right="100"/>
            </w:pPr>
            <w:r>
              <w:rPr>
                <w:color w:val="000000"/>
              </w:rPr>
              <w:t xml:space="preserve">The participation, as beneficiaries, of individual legal entities representing each of the four categories of actors for the relevant Widening country. In the case of representative individual entities, at least one of the business entities per R&amp;I ecosystem </w:t>
            </w:r>
            <w:r>
              <w:rPr>
                <w:color w:val="000000"/>
              </w:rPr>
              <w:lastRenderedPageBreak/>
              <w:t>needs to be an established firm with turnover. More specifically, such business entities must at the time of the submission of the proposal be established for already at least two consecutive years with a proven operational turnover, i.e. by providing balance sheets and/or business reports as annex(es) to the proposal. These documents must be submitted in one of the EU official languages.</w:t>
            </w:r>
          </w:p>
        </w:tc>
      </w:tr>
      <w:tr w:rsidR="00721C98" w14:paraId="11200A16" w14:textId="77777777">
        <w:tc>
          <w:tcPr>
            <w:tcW w:w="0" w:type="auto"/>
          </w:tcPr>
          <w:p w14:paraId="4DB94A33" w14:textId="77777777" w:rsidR="00721C98" w:rsidRDefault="00AE7B71">
            <w:pPr>
              <w:pStyle w:val="CellTextValue"/>
              <w:jc w:val="left"/>
            </w:pPr>
            <w:r>
              <w:rPr>
                <w:i/>
              </w:rPr>
              <w:lastRenderedPageBreak/>
              <w:t>Procedure</w:t>
            </w:r>
          </w:p>
        </w:tc>
        <w:tc>
          <w:tcPr>
            <w:tcW w:w="0" w:type="auto"/>
          </w:tcPr>
          <w:p w14:paraId="586059EC" w14:textId="77777777" w:rsidR="00721C98" w:rsidRDefault="00AE7B71">
            <w:pPr>
              <w:pStyle w:val="CellTextValue"/>
            </w:pPr>
            <w:r>
              <w:rPr>
                <w:color w:val="000000"/>
              </w:rPr>
              <w:t>The procedure is described in General Annex F. The following exceptions apply:</w:t>
            </w:r>
          </w:p>
          <w:p w14:paraId="036692F2" w14:textId="77777777" w:rsidR="00721C98" w:rsidRDefault="00AE7B71">
            <w:pPr>
              <w:pStyle w:val="CellTextValue"/>
            </w:pPr>
            <w:r>
              <w:rPr>
                <w:color w:val="000000"/>
              </w:rPr>
              <w:t>The following rules for dealing with ex-aequo applications apply: in the first place, ex-aequo proposals will be prioritised according to geographical diversity criteria, defined as proposals with coordinators established in a Widening country, not otherwise represented as coordinator by a more highly ranked proposal. The method described in Points 1), 2), 3) and 5) of General Annexes Part F (Procedure/Evaluation procedure and ranking) will then be applied to the remaining equally ranking proposals in the g</w:t>
            </w:r>
            <w:r>
              <w:rPr>
                <w:color w:val="000000"/>
              </w:rPr>
              <w:t>roup. This rule establishing the priority order serves to better spread the impact of the action and to strengthen the efficiency of the ‘Widening participation and spreading excellence’ programme.</w:t>
            </w:r>
          </w:p>
        </w:tc>
      </w:tr>
      <w:tr w:rsidR="00721C98" w14:paraId="5D50FFBB" w14:textId="77777777">
        <w:tc>
          <w:tcPr>
            <w:tcW w:w="0" w:type="auto"/>
          </w:tcPr>
          <w:p w14:paraId="152F9C00" w14:textId="77777777" w:rsidR="00721C98" w:rsidRDefault="00AE7B71">
            <w:pPr>
              <w:pStyle w:val="CellTextValue"/>
              <w:jc w:val="left"/>
            </w:pPr>
            <w:r>
              <w:rPr>
                <w:i/>
              </w:rPr>
              <w:t>Legal and financial set-up of the Grant Agreements</w:t>
            </w:r>
          </w:p>
        </w:tc>
        <w:tc>
          <w:tcPr>
            <w:tcW w:w="0" w:type="auto"/>
          </w:tcPr>
          <w:p w14:paraId="5E8073B4" w14:textId="77777777" w:rsidR="00721C98" w:rsidRDefault="00AE7B71">
            <w:pPr>
              <w:pStyle w:val="CellTextValue"/>
            </w:pPr>
            <w:r>
              <w:rPr>
                <w:color w:val="000000"/>
              </w:rPr>
              <w:t>The rules are described in General Annex G. The following exceptions apply:</w:t>
            </w:r>
          </w:p>
          <w:p w14:paraId="00E3BA14" w14:textId="77777777" w:rsidR="00721C98" w:rsidRDefault="00AE7B71">
            <w:pPr>
              <w:pStyle w:val="CellTextValue"/>
            </w:pPr>
            <w:r>
              <w:rPr>
                <w:color w:val="000000"/>
              </w:rPr>
              <w:t>The funding rate is 70 % of the eligible costs. An explanation should be provided in the proposal on how the remaining 30% will be secured and shared among the beneficiaries.</w:t>
            </w:r>
          </w:p>
          <w:p w14:paraId="3B664424" w14:textId="77777777" w:rsidR="00721C98" w:rsidRDefault="00AE7B71">
            <w:pPr>
              <w:pStyle w:val="CellTextValue"/>
            </w:pPr>
            <w:r>
              <w:rPr>
                <w:color w:val="000000"/>
              </w:rPr>
              <w:t>Beneficiaries may provide financial support to third parties. The support to third parties can only be provided in the form of grants and is limited to SMEs and start-up companies.The maximum amount to be granted to each third party is EUR 60 000.</w:t>
            </w:r>
          </w:p>
        </w:tc>
      </w:tr>
    </w:tbl>
    <w:p w14:paraId="076F8865" w14:textId="77777777" w:rsidR="00721C98" w:rsidRDefault="00721C98">
      <w:pPr>
        <w:spacing w:after="0" w:line="150" w:lineRule="auto"/>
      </w:pPr>
    </w:p>
    <w:p w14:paraId="5CD04DE7" w14:textId="77777777" w:rsidR="00721C98" w:rsidRDefault="00AE7B71">
      <w:r>
        <w:rPr>
          <w:u w:val="single"/>
        </w:rPr>
        <w:t>Expected Outcome</w:t>
      </w:r>
      <w:r>
        <w:t xml:space="preserve">: </w:t>
      </w:r>
      <w:r>
        <w:rPr>
          <w:color w:val="000000"/>
        </w:rPr>
        <w:t>Excellence Hubs allow innovation ecosystems in Widening countries and beyond, to team up and create better linkages between academia, business, government and society. This will foster a place-based innovation culture in Widening countries based on a strategic agenda aligned with regional or national smart specialisation strategies, and clearly identified expectations for economic and societal impacts. Projects should contribute to the following outcomes:</w:t>
      </w:r>
    </w:p>
    <w:p w14:paraId="3E496E23" w14:textId="77777777" w:rsidR="00721C98" w:rsidRDefault="00AE7B71" w:rsidP="00AE7B71">
      <w:pPr>
        <w:pStyle w:val="ListParagraph"/>
        <w:numPr>
          <w:ilvl w:val="0"/>
          <w:numId w:val="29"/>
        </w:numPr>
      </w:pPr>
      <w:r>
        <w:rPr>
          <w:color w:val="000000"/>
        </w:rPr>
        <w:t>Excellent and sustainable regional R&amp;I ecosystems in Widening countries and beyond in relevant domains of cutting-edge science and innovation;</w:t>
      </w:r>
    </w:p>
    <w:p w14:paraId="2212F8AD" w14:textId="77777777" w:rsidR="00721C98" w:rsidRDefault="00AE7B71" w:rsidP="00AE7B71">
      <w:pPr>
        <w:pStyle w:val="ListParagraph"/>
        <w:numPr>
          <w:ilvl w:val="0"/>
          <w:numId w:val="29"/>
        </w:numPr>
      </w:pPr>
      <w:r>
        <w:rPr>
          <w:color w:val="000000"/>
        </w:rPr>
        <w:t>Long term joint R&amp;I strategies underpinned by concrete action plans of European relevance;</w:t>
      </w:r>
    </w:p>
    <w:p w14:paraId="4CDAD505" w14:textId="77777777" w:rsidR="00721C98" w:rsidRDefault="00AE7B71" w:rsidP="00AE7B71">
      <w:pPr>
        <w:pStyle w:val="ListParagraph"/>
        <w:numPr>
          <w:ilvl w:val="0"/>
          <w:numId w:val="29"/>
        </w:numPr>
      </w:pPr>
      <w:r>
        <w:rPr>
          <w:color w:val="000000"/>
        </w:rPr>
        <w:lastRenderedPageBreak/>
        <w:t>Common investment plans for R&amp;I, including infrastructures, leveraging national, regional and European funds as well as private capital in a synergetic manner;</w:t>
      </w:r>
    </w:p>
    <w:p w14:paraId="022B084C" w14:textId="77777777" w:rsidR="00721C98" w:rsidRDefault="00AE7B71" w:rsidP="00AE7B71">
      <w:pPr>
        <w:pStyle w:val="ListParagraph"/>
        <w:numPr>
          <w:ilvl w:val="0"/>
          <w:numId w:val="29"/>
        </w:numPr>
      </w:pPr>
      <w:r>
        <w:rPr>
          <w:color w:val="000000"/>
        </w:rPr>
        <w:t>R&amp;I pilot projects alongside a joint strategy and in line with regional and national strategies, notably regional innovation strategies for smart specialisation (RIS3);</w:t>
      </w:r>
    </w:p>
    <w:p w14:paraId="47E9F92A" w14:textId="77777777" w:rsidR="00721C98" w:rsidRDefault="00AE7B71" w:rsidP="00AE7B71">
      <w:pPr>
        <w:pStyle w:val="ListParagraph"/>
        <w:numPr>
          <w:ilvl w:val="0"/>
          <w:numId w:val="29"/>
        </w:numPr>
      </w:pPr>
      <w:r>
        <w:rPr>
          <w:color w:val="000000"/>
        </w:rPr>
        <w:t>New competencies and skills for researchers, entrepreneurs and professionals in R&amp;I intensive domains;</w:t>
      </w:r>
    </w:p>
    <w:p w14:paraId="7608AAE1" w14:textId="77777777" w:rsidR="00721C98" w:rsidRDefault="00AE7B71" w:rsidP="00AE7B71">
      <w:pPr>
        <w:pStyle w:val="ListParagraph"/>
        <w:numPr>
          <w:ilvl w:val="0"/>
          <w:numId w:val="29"/>
        </w:numPr>
      </w:pPr>
      <w:r>
        <w:rPr>
          <w:color w:val="000000"/>
        </w:rPr>
        <w:t>Strengthened linkages between science, businesses and society;</w:t>
      </w:r>
    </w:p>
    <w:p w14:paraId="45907CCA" w14:textId="77777777" w:rsidR="00721C98" w:rsidRDefault="00AE7B71" w:rsidP="00AE7B71">
      <w:pPr>
        <w:pStyle w:val="ListParagraph"/>
        <w:numPr>
          <w:ilvl w:val="0"/>
          <w:numId w:val="29"/>
        </w:numPr>
      </w:pPr>
      <w:r>
        <w:rPr>
          <w:color w:val="000000"/>
        </w:rPr>
        <w:t>New business opportunities for SMEs, university spin-offs and start-ups, especially in deep tech areas.</w:t>
      </w:r>
    </w:p>
    <w:p w14:paraId="53101F62" w14:textId="77777777" w:rsidR="00721C98" w:rsidRDefault="00AE7B71">
      <w:r>
        <w:rPr>
          <w:u w:val="single"/>
        </w:rPr>
        <w:t>Scope</w:t>
      </w:r>
      <w:r>
        <w:t xml:space="preserve">: </w:t>
      </w:r>
      <w:r>
        <w:rPr>
          <w:color w:val="000000"/>
        </w:rPr>
        <w:t>The projects will foster a regional innovation culture in Widening countries, aligned with regional or national smart specialization strategies. Consortia should seek synergies and avoid overlaps with relevant initiatives such as European Innovation Ecosystems, EIC Pathfinder, the KICs of the European Institute of Innovation &amp; Technology (EIT), in particular the EIT Community Hubs established in Widening countries, the JRC’s ‘Partnerships for Regional Innovation’ and the Widening Dissemination and Exploitat</w:t>
      </w:r>
      <w:r>
        <w:rPr>
          <w:color w:val="000000"/>
        </w:rPr>
        <w:t>ion Facility. This action supports the ERA’s third priority of translating R&amp;I results into the economy, aiming to enhance European competitiveness in the global technology race while improving the environment for business R&amp;I investment, technology deployment, and the uptake of research results in society.</w:t>
      </w:r>
    </w:p>
    <w:p w14:paraId="2C90CFD0" w14:textId="77777777" w:rsidR="00721C98" w:rsidRDefault="00AE7B71">
      <w:r>
        <w:rPr>
          <w:color w:val="000000"/>
        </w:rPr>
        <w:t>The action targets regions as R&amp;I actors, as they are where innovation and industrial ecosystems thrive, strengthening the connective tissue between higher education institutions, businesses, in particular SMEs and start-ups, research centres, and local communities and citizens. Regional ecosystems across the EU can drive new European strategic value chains.</w:t>
      </w:r>
    </w:p>
    <w:p w14:paraId="4A8136E7" w14:textId="77777777" w:rsidR="00721C98" w:rsidRDefault="00AE7B71">
      <w:r>
        <w:rPr>
          <w:color w:val="000000"/>
        </w:rPr>
        <w:t>Excellence Hubs are networks of innovation ecosystems in Widening countries, involving larger communities based on the quadruple helix principle. Legal entities form non-Widening countries may join if the consortium demonstrates that this is necessary to achieve the expected impacts.</w:t>
      </w:r>
    </w:p>
    <w:p w14:paraId="5A241BAD" w14:textId="77777777" w:rsidR="00721C98" w:rsidRDefault="00AE7B71">
      <w:r>
        <w:rPr>
          <w:color w:val="000000"/>
        </w:rPr>
        <w:t>Projects should include a well-balanced package covering at least the following activities:</w:t>
      </w:r>
    </w:p>
    <w:p w14:paraId="36469AEF" w14:textId="77777777" w:rsidR="00721C98" w:rsidRDefault="00AE7B71" w:rsidP="00AE7B71">
      <w:pPr>
        <w:pStyle w:val="ListParagraph"/>
        <w:numPr>
          <w:ilvl w:val="0"/>
          <w:numId w:val="30"/>
        </w:numPr>
      </w:pPr>
      <w:r>
        <w:rPr>
          <w:color w:val="000000"/>
        </w:rPr>
        <w:t>Design and implementation of a cross-border joint R&amp;I strategy aligned with regional smart specialization strategies and European priorities;</w:t>
      </w:r>
    </w:p>
    <w:p w14:paraId="4DB2898E" w14:textId="77777777" w:rsidR="00721C98" w:rsidRDefault="00AE7B71" w:rsidP="00AE7B71">
      <w:pPr>
        <w:pStyle w:val="ListParagraph"/>
        <w:numPr>
          <w:ilvl w:val="0"/>
          <w:numId w:val="30"/>
        </w:numPr>
      </w:pPr>
      <w:r>
        <w:rPr>
          <w:color w:val="000000"/>
        </w:rPr>
        <w:t xml:space="preserve">R&amp;I collaboration strengthening academia-business linkages and providing evidence for strategy building and investment. The research component should be developed through joint research projects, closing knowledge gaps and advancing science and technology with market potential. The description of R&amp;I component should include a long-term vision beyond the state of the art of the chosen R&amp;I domain. The R&amp;I component must be presented in a distinct work package in the proposal. The R&amp;I component should be </w:t>
      </w:r>
      <w:r>
        <w:rPr>
          <w:color w:val="000000"/>
        </w:rPr>
        <w:lastRenderedPageBreak/>
        <w:t>in balance with the other proposed activities and not constitute the dominant part of the project;</w:t>
      </w:r>
    </w:p>
    <w:p w14:paraId="5553F868" w14:textId="77777777" w:rsidR="00721C98" w:rsidRDefault="00AE7B71" w:rsidP="00AE7B71">
      <w:pPr>
        <w:pStyle w:val="ListParagraph"/>
        <w:numPr>
          <w:ilvl w:val="0"/>
          <w:numId w:val="30"/>
        </w:numPr>
      </w:pPr>
      <w:r>
        <w:rPr>
          <w:color w:val="000000"/>
        </w:rPr>
        <w:t>Development of investment plans to implement the strategy, including business models for commercially sustainable products and services, leveraging private investments, as well as possibly national, regional and European funds,;</w:t>
      </w:r>
    </w:p>
    <w:p w14:paraId="116D963C" w14:textId="77777777" w:rsidR="00721C98" w:rsidRDefault="00AE7B71" w:rsidP="00AE7B71">
      <w:pPr>
        <w:pStyle w:val="ListParagraph"/>
        <w:numPr>
          <w:ilvl w:val="0"/>
          <w:numId w:val="30"/>
        </w:numPr>
      </w:pPr>
      <w:r>
        <w:rPr>
          <w:color w:val="000000"/>
        </w:rPr>
        <w:t>If applicable, conceptual design and pre-planning for pilots and demonstrators in line with the strategy, financed by sources other than the Union contribution provided by the Excellence Hub grants. Proposals should outline how other financial resources will be accessed at a later stage;</w:t>
      </w:r>
    </w:p>
    <w:p w14:paraId="34293737" w14:textId="77777777" w:rsidR="00721C98" w:rsidRDefault="00AE7B71" w:rsidP="00AE7B71">
      <w:pPr>
        <w:pStyle w:val="ListParagraph"/>
        <w:numPr>
          <w:ilvl w:val="0"/>
          <w:numId w:val="30"/>
        </w:numPr>
      </w:pPr>
      <w:r>
        <w:rPr>
          <w:color w:val="000000"/>
        </w:rPr>
        <w:t>Complementary activities to promote knowledge transfer, visibility, mutual learning, skills development, and engagement with local governments and citizens. Secondments and staff exchanges should foster long-term collaboration.</w:t>
      </w:r>
    </w:p>
    <w:p w14:paraId="2C381465" w14:textId="77777777" w:rsidR="00721C98" w:rsidRDefault="00AE7B71">
      <w:r>
        <w:rPr>
          <w:color w:val="000000"/>
        </w:rPr>
        <w:t>Proposals should clearly illustrate the expected impact of the project, including new local and international partnerships, institutional changes, increased R&amp;I intensity and other relevant indicators.</w:t>
      </w:r>
    </w:p>
    <w:p w14:paraId="7E73313E" w14:textId="77777777" w:rsidR="00721C98" w:rsidRDefault="00AE7B71">
      <w:r>
        <w:rPr>
          <w:color w:val="000000"/>
        </w:rPr>
        <w:t>Expected project duration is up to 5 years.</w:t>
      </w:r>
    </w:p>
    <w:p w14:paraId="24350D76" w14:textId="77777777" w:rsidR="00721C98" w:rsidRDefault="00AE7B71">
      <w:pPr>
        <w:pStyle w:val="HeadingOne"/>
        <w:pageBreakBefore/>
      </w:pPr>
      <w:r>
        <w:lastRenderedPageBreak/>
        <w:t>Destination: Reforming and enhancing the European research and innovation system</w:t>
      </w:r>
    </w:p>
    <w:p w14:paraId="22523E1D" w14:textId="77777777" w:rsidR="00721C98" w:rsidRDefault="00AE7B71">
      <w:r>
        <w:rPr>
          <w:color w:val="000000"/>
        </w:rPr>
        <w:t>The guiding policy framework of this destination is the Communication "A New ERA for Research and Innovation"</w:t>
      </w:r>
      <w:r>
        <w:rPr>
          <w:vertAlign w:val="superscript"/>
        </w:rPr>
        <w:footnoteReference w:id="53"/>
      </w:r>
      <w:r>
        <w:rPr>
          <w:color w:val="000000"/>
        </w:rPr>
        <w:t>, the Council Recommendation on the Pact for Research and Innovation in Europe (Pact for R&amp;I)</w:t>
      </w:r>
      <w:r>
        <w:rPr>
          <w:vertAlign w:val="superscript"/>
        </w:rPr>
        <w:footnoteReference w:id="54"/>
      </w:r>
      <w:r>
        <w:rPr>
          <w:color w:val="000000"/>
        </w:rPr>
        <w:t>, and the European Research Area (ERA) Policy Agenda (2025-2027)</w:t>
      </w:r>
      <w:r>
        <w:rPr>
          <w:vertAlign w:val="superscript"/>
        </w:rPr>
        <w:footnoteReference w:id="55"/>
      </w:r>
      <w:r>
        <w:rPr>
          <w:color w:val="000000"/>
        </w:rPr>
        <w:t>. The funded actions will strengthen the ERA by promoting the freedom of movement of researchers, scientific knowledge, and technology and by providing new evidence for better-informed policymaking. More details on the ERA policy framework are in the introduction to the WIDERA work programme 2026-2027.</w:t>
      </w:r>
    </w:p>
    <w:p w14:paraId="482594A2" w14:textId="77777777" w:rsidR="00721C98" w:rsidRDefault="00AE7B71">
      <w:r>
        <w:rPr>
          <w:color w:val="000000"/>
        </w:rPr>
        <w:t>The EU Member States, Associated Countries, R&amp;I stakeholders, and the Commission work together to implement the ERA. This process is steered by the ERA Policy Agenda, which identifies specific ERA Actions (time-limited initiatives) and Structural Policies (long-term policies) designed to tackle concrete challenges faced by R&amp;I communities in Europe. This work programme is designed to support this process. The funded actions will build knowledge and capacities at the level of institutions and ecosystems to a</w:t>
      </w:r>
      <w:r>
        <w:rPr>
          <w:color w:val="000000"/>
        </w:rPr>
        <w:t>dopt reforms and practices in line with the ERA Policy Agenda, thereby contributing to the implementation of the ERA.</w:t>
      </w:r>
    </w:p>
    <w:p w14:paraId="64C3EA3C" w14:textId="77777777" w:rsidR="00721C98" w:rsidRDefault="00AE7B71">
      <w:r>
        <w:rPr>
          <w:color w:val="000000"/>
        </w:rPr>
        <w:t>The destination will be implemented in synergy with the European Higher Education Area and the European Education Area, especially in relation to R&amp;I careers and institutional changes in universities and research organisations. Several call topics and other actions will also contribute to the implementation of the European framework for research careers</w:t>
      </w:r>
      <w:r>
        <w:rPr>
          <w:vertAlign w:val="superscript"/>
        </w:rPr>
        <w:footnoteReference w:id="56"/>
      </w:r>
      <w:r>
        <w:rPr>
          <w:color w:val="000000"/>
        </w:rPr>
        <w:t>.</w:t>
      </w:r>
    </w:p>
    <w:p w14:paraId="4AFDE267" w14:textId="77777777" w:rsidR="00721C98" w:rsidRDefault="00AE7B71">
      <w:r>
        <w:rPr>
          <w:color w:val="000000"/>
        </w:rPr>
        <w:t>The destination includes two calls with 13 topics in total as well as other actions, targeting a wide range of R&amp;I stakeholders, e.g., universities, research performing and funding organisations, research evaluation agencies, networks of researchers, publishers, industry and start-ups, policymakers, local authorities, and public bodies.</w:t>
      </w:r>
    </w:p>
    <w:p w14:paraId="08E364C2" w14:textId="77777777" w:rsidR="00721C98" w:rsidRDefault="00AE7B71">
      <w:r>
        <w:rPr>
          <w:color w:val="000000"/>
        </w:rPr>
        <w:t>The effective contribution of social sciences and humanities (SSH) disciplines is encouraged under this destination, including the involvement of SSH experts, institutions, and the inclusion of relevant SSH expertise, to enhance the societal impact of project activities.</w:t>
      </w:r>
    </w:p>
    <w:p w14:paraId="169D2A11" w14:textId="77777777" w:rsidR="00721C98" w:rsidRDefault="00AE7B71">
      <w:r>
        <w:rPr>
          <w:color w:val="000000"/>
        </w:rPr>
        <w:t xml:space="preserve">The </w:t>
      </w:r>
      <w:hyperlink r:id="rId8">
        <w:r w:rsidR="00721C98">
          <w:rPr>
            <w:szCs w:val="24"/>
            <w:u w:val="single"/>
          </w:rPr>
          <w:t>ERA Platform</w:t>
        </w:r>
      </w:hyperlink>
      <w:r>
        <w:rPr>
          <w:color w:val="000000"/>
        </w:rPr>
        <w:t xml:space="preserve"> showcases results from Horizon Europe-funded projects, making them available to a wide range of stakeholders to facilitate progress in ERA policy areas. Applicants are encouraged to consider these results as well as propose new tools, resources, and visual material that can be featured on the platform.</w:t>
      </w:r>
    </w:p>
    <w:p w14:paraId="26637B82" w14:textId="77777777" w:rsidR="00721C98" w:rsidRDefault="00AE7B71">
      <w:r>
        <w:rPr>
          <w:color w:val="000000"/>
        </w:rPr>
        <w:t xml:space="preserve">All topics in the 2026 and 2027 ERA calls are organised around four pillars, designed to enable the funded projects to strengthen R&amp;I capacities across four complementary dimensions while addressing selected ERA Actions and Structural Policies. The table below </w:t>
      </w:r>
      <w:r>
        <w:rPr>
          <w:color w:val="000000"/>
        </w:rPr>
        <w:lastRenderedPageBreak/>
        <w:t>summarises this approach, making it easier for applicants to choose their preferred policy area and type of activity. Each call topic title refers to its corresponding pillar.</w:t>
      </w:r>
    </w:p>
    <w:p w14:paraId="5185FFF2" w14:textId="77777777" w:rsidR="00721C98" w:rsidRDefault="00AE7B71">
      <w:r>
        <w:rPr>
          <w:i/>
          <w:color w:val="000000"/>
        </w:rPr>
        <w:t>2026 and 2027 ERA calls: pillar structure</w:t>
      </w:r>
    </w:p>
    <w:p w14:paraId="1CB8B8F7" w14:textId="77777777" w:rsidR="00721C98" w:rsidRDefault="00AE7B71">
      <w:r>
        <w:rPr>
          <w:color w:val="000000"/>
        </w:rP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413"/>
        <w:gridCol w:w="4889"/>
      </w:tblGrid>
      <w:tr w:rsidR="00721C98" w14:paraId="5072325B" w14:textId="77777777">
        <w:tc>
          <w:tcPr>
            <w:tcW w:w="4500" w:type="dxa"/>
          </w:tcPr>
          <w:p w14:paraId="759C8B3B" w14:textId="77777777" w:rsidR="00721C98" w:rsidRDefault="00AE7B71">
            <w:pPr>
              <w:pStyle w:val="CellTextValue"/>
            </w:pPr>
            <w:r>
              <w:rPr>
                <w:b/>
                <w:color w:val="000000"/>
              </w:rPr>
              <w:t>Pillar I: Institutional changes for ERA</w:t>
            </w:r>
          </w:p>
        </w:tc>
        <w:tc>
          <w:tcPr>
            <w:tcW w:w="4500" w:type="dxa"/>
          </w:tcPr>
          <w:p w14:paraId="11965CC8" w14:textId="77777777" w:rsidR="00721C98" w:rsidRDefault="00AE7B71">
            <w:pPr>
              <w:pStyle w:val="CellTextValue"/>
            </w:pPr>
            <w:r>
              <w:rPr>
                <w:b/>
                <w:color w:val="000000"/>
              </w:rPr>
              <w:t xml:space="preserve">Pillar II: Ecosystems for ERA </w:t>
            </w:r>
          </w:p>
        </w:tc>
      </w:tr>
      <w:tr w:rsidR="00721C98" w14:paraId="71A228C1" w14:textId="77777777">
        <w:tc>
          <w:tcPr>
            <w:tcW w:w="0" w:type="auto"/>
          </w:tcPr>
          <w:p w14:paraId="4802B4C2" w14:textId="77777777" w:rsidR="00721C98" w:rsidRDefault="00AE7B71">
            <w:pPr>
              <w:pStyle w:val="CellTextValue"/>
            </w:pPr>
            <w:r>
              <w:rPr>
                <w:color w:val="000000"/>
                <w:u w:val="single"/>
              </w:rPr>
              <w:t>Type:</w:t>
            </w:r>
            <w:r>
              <w:rPr>
                <w:color w:val="000000"/>
              </w:rPr>
              <w:t xml:space="preserve"> coordination and support actions</w:t>
            </w:r>
          </w:p>
          <w:p w14:paraId="2ADD5F4E" w14:textId="77777777" w:rsidR="00721C98" w:rsidRDefault="00AE7B71">
            <w:r>
              <w:rPr>
                <w:color w:val="000000"/>
                <w:u w:val="single"/>
              </w:rPr>
              <w:t>Focus:</w:t>
            </w:r>
            <w:r>
              <w:rPr>
                <w:color w:val="000000"/>
              </w:rPr>
              <w:t xml:space="preserve"> capacity building and support to foster adoption of ERA policies/practices within institutions.</w:t>
            </w:r>
          </w:p>
          <w:p w14:paraId="099DEB3C" w14:textId="77777777" w:rsidR="00721C98" w:rsidRDefault="00AE7B71">
            <w:r>
              <w:rPr>
                <w:color w:val="000000"/>
                <w:u w:val="single"/>
              </w:rPr>
              <w:t>Activity types:</w:t>
            </w:r>
            <w:r>
              <w:rPr>
                <w:color w:val="000000"/>
              </w:rPr>
              <w:t xml:space="preserve"> providing tools, resources, training, services, and policy advice.</w:t>
            </w:r>
          </w:p>
          <w:p w14:paraId="0A56239C" w14:textId="77777777" w:rsidR="00721C98" w:rsidRDefault="00AE7B71">
            <w:r>
              <w:rPr>
                <w:color w:val="000000"/>
                <w:u w:val="single"/>
              </w:rPr>
              <w:t>Policy areas:</w:t>
            </w:r>
          </w:p>
          <w:p w14:paraId="25A0BDBD" w14:textId="77777777" w:rsidR="00721C98" w:rsidRDefault="00AE7B71" w:rsidP="00AE7B71">
            <w:pPr>
              <w:pStyle w:val="ListParagraph"/>
              <w:numPr>
                <w:ilvl w:val="0"/>
                <w:numId w:val="31"/>
              </w:numPr>
              <w:spacing w:after="150"/>
              <w:ind w:right="100"/>
            </w:pPr>
            <w:r>
              <w:rPr>
                <w:color w:val="000000"/>
              </w:rPr>
              <w:t>Equity in open science</w:t>
            </w:r>
          </w:p>
          <w:p w14:paraId="229BB9A1" w14:textId="77777777" w:rsidR="00721C98" w:rsidRDefault="00AE7B71" w:rsidP="00AE7B71">
            <w:pPr>
              <w:pStyle w:val="ListParagraph"/>
              <w:numPr>
                <w:ilvl w:val="0"/>
                <w:numId w:val="31"/>
              </w:numPr>
              <w:spacing w:after="150"/>
              <w:ind w:right="100"/>
            </w:pPr>
            <w:r>
              <w:rPr>
                <w:color w:val="000000"/>
              </w:rPr>
              <w:t>Inclusive gender equality</w:t>
            </w:r>
          </w:p>
          <w:p w14:paraId="4B2D1148" w14:textId="77777777" w:rsidR="00721C98" w:rsidRDefault="00AE7B71" w:rsidP="00AE7B71">
            <w:pPr>
              <w:pStyle w:val="ListParagraph"/>
              <w:numPr>
                <w:ilvl w:val="0"/>
                <w:numId w:val="31"/>
              </w:numPr>
              <w:spacing w:after="150"/>
              <w:ind w:right="100"/>
            </w:pPr>
            <w:r>
              <w:rPr>
                <w:color w:val="000000"/>
              </w:rPr>
              <w:t>Research assessment reform</w:t>
            </w:r>
          </w:p>
          <w:p w14:paraId="1AFCCF0D" w14:textId="77777777" w:rsidR="00721C98" w:rsidRDefault="00AE7B71" w:rsidP="00AE7B71">
            <w:pPr>
              <w:pStyle w:val="ListParagraph"/>
              <w:numPr>
                <w:ilvl w:val="0"/>
                <w:numId w:val="31"/>
              </w:numPr>
              <w:spacing w:after="150"/>
              <w:ind w:right="100"/>
            </w:pPr>
            <w:r>
              <w:rPr>
                <w:color w:val="000000"/>
              </w:rPr>
              <w:t>Research ethics and integrity</w:t>
            </w:r>
          </w:p>
          <w:p w14:paraId="6F9FDBAB" w14:textId="77777777" w:rsidR="00721C98" w:rsidRDefault="00AE7B71" w:rsidP="00AE7B71">
            <w:pPr>
              <w:pStyle w:val="ListParagraph"/>
              <w:numPr>
                <w:ilvl w:val="0"/>
                <w:numId w:val="31"/>
              </w:numPr>
              <w:spacing w:after="150"/>
              <w:ind w:right="100"/>
            </w:pPr>
            <w:r>
              <w:rPr>
                <w:color w:val="000000"/>
              </w:rPr>
              <w:t>Open access policies</w:t>
            </w:r>
          </w:p>
        </w:tc>
        <w:tc>
          <w:tcPr>
            <w:tcW w:w="0" w:type="auto"/>
          </w:tcPr>
          <w:p w14:paraId="62BB26EE" w14:textId="77777777" w:rsidR="00721C98" w:rsidRDefault="00AE7B71">
            <w:pPr>
              <w:pStyle w:val="CellTextValue"/>
            </w:pPr>
            <w:r>
              <w:rPr>
                <w:color w:val="000000"/>
                <w:u w:val="single"/>
              </w:rPr>
              <w:t>Type:</w:t>
            </w:r>
            <w:r>
              <w:rPr>
                <w:color w:val="000000"/>
              </w:rPr>
              <w:t xml:space="preserve"> coordination and support actions</w:t>
            </w:r>
          </w:p>
          <w:p w14:paraId="40D16362" w14:textId="77777777" w:rsidR="00721C98" w:rsidRDefault="00AE7B71">
            <w:r>
              <w:rPr>
                <w:color w:val="000000"/>
                <w:u w:val="single"/>
              </w:rPr>
              <w:t>Focus:</w:t>
            </w:r>
            <w:r>
              <w:rPr>
                <w:color w:val="000000"/>
              </w:rPr>
              <w:t xml:space="preserve"> building and reinforcing networks and partnerships to foster broad uptake of ERA policies/practices.</w:t>
            </w:r>
          </w:p>
          <w:p w14:paraId="3BDE8829" w14:textId="77777777" w:rsidR="00721C98" w:rsidRDefault="00AE7B71">
            <w:r>
              <w:rPr>
                <w:color w:val="000000"/>
                <w:u w:val="single"/>
              </w:rPr>
              <w:t>Activity types:</w:t>
            </w:r>
            <w:r>
              <w:rPr>
                <w:color w:val="000000"/>
              </w:rPr>
              <w:t xml:space="preserve"> exchanging knowledge and practice, networking and cooperative actions.</w:t>
            </w:r>
          </w:p>
          <w:p w14:paraId="631A5366" w14:textId="77777777" w:rsidR="00721C98" w:rsidRDefault="00AE7B71">
            <w:r>
              <w:rPr>
                <w:color w:val="000000"/>
                <w:u w:val="single"/>
              </w:rPr>
              <w:t>Policy areas:</w:t>
            </w:r>
          </w:p>
          <w:p w14:paraId="03FE6D57" w14:textId="77777777" w:rsidR="00721C98" w:rsidRDefault="00AE7B71" w:rsidP="00AE7B71">
            <w:pPr>
              <w:pStyle w:val="ListParagraph"/>
              <w:numPr>
                <w:ilvl w:val="0"/>
                <w:numId w:val="32"/>
              </w:numPr>
              <w:spacing w:after="150"/>
              <w:ind w:right="100"/>
            </w:pPr>
            <w:r>
              <w:rPr>
                <w:color w:val="000000"/>
              </w:rPr>
              <w:t>Research ethics and integrity</w:t>
            </w:r>
          </w:p>
          <w:p w14:paraId="52B54AB1" w14:textId="77777777" w:rsidR="00721C98" w:rsidRDefault="00AE7B71" w:rsidP="00AE7B71">
            <w:pPr>
              <w:pStyle w:val="ListParagraph"/>
              <w:numPr>
                <w:ilvl w:val="0"/>
                <w:numId w:val="32"/>
              </w:numPr>
              <w:spacing w:after="150"/>
              <w:ind w:right="100"/>
            </w:pPr>
            <w:r>
              <w:rPr>
                <w:color w:val="000000"/>
              </w:rPr>
              <w:t>Environmentally sustainable science</w:t>
            </w:r>
          </w:p>
          <w:p w14:paraId="0FFF48F6" w14:textId="77777777" w:rsidR="00721C98" w:rsidRDefault="00AE7B71" w:rsidP="00AE7B71">
            <w:pPr>
              <w:pStyle w:val="ListParagraph"/>
              <w:numPr>
                <w:ilvl w:val="0"/>
                <w:numId w:val="32"/>
              </w:numPr>
              <w:spacing w:after="150"/>
              <w:ind w:right="100"/>
            </w:pPr>
            <w:r>
              <w:rPr>
                <w:color w:val="000000"/>
              </w:rPr>
              <w:t>Knowledge valorisation</w:t>
            </w:r>
          </w:p>
          <w:p w14:paraId="4F9EC4FB" w14:textId="77777777" w:rsidR="00721C98" w:rsidRDefault="00AE7B71" w:rsidP="00AE7B71">
            <w:pPr>
              <w:pStyle w:val="ListParagraph"/>
              <w:numPr>
                <w:ilvl w:val="0"/>
                <w:numId w:val="32"/>
              </w:numPr>
              <w:spacing w:after="150"/>
              <w:ind w:right="100"/>
            </w:pPr>
            <w:r>
              <w:rPr>
                <w:color w:val="000000"/>
              </w:rPr>
              <w:t>Open science practices</w:t>
            </w:r>
          </w:p>
          <w:p w14:paraId="18F7B331" w14:textId="77777777" w:rsidR="00721C98" w:rsidRDefault="00AE7B71" w:rsidP="00AE7B71">
            <w:pPr>
              <w:pStyle w:val="ListParagraph"/>
              <w:numPr>
                <w:ilvl w:val="0"/>
                <w:numId w:val="32"/>
              </w:numPr>
              <w:spacing w:after="150"/>
              <w:ind w:right="100"/>
            </w:pPr>
            <w:r>
              <w:rPr>
                <w:color w:val="000000"/>
              </w:rPr>
              <w:t>Research careers</w:t>
            </w:r>
          </w:p>
        </w:tc>
      </w:tr>
      <w:tr w:rsidR="00721C98" w14:paraId="6E97CBA1" w14:textId="77777777">
        <w:tc>
          <w:tcPr>
            <w:tcW w:w="0" w:type="auto"/>
          </w:tcPr>
          <w:p w14:paraId="750258AA" w14:textId="77777777" w:rsidR="00721C98" w:rsidRDefault="00AE7B71">
            <w:pPr>
              <w:pStyle w:val="CellTextValue"/>
            </w:pPr>
            <w:r>
              <w:rPr>
                <w:b/>
                <w:color w:val="000000"/>
              </w:rPr>
              <w:t>Pillar III: Citizens and science in ERA</w:t>
            </w:r>
          </w:p>
        </w:tc>
        <w:tc>
          <w:tcPr>
            <w:tcW w:w="0" w:type="auto"/>
          </w:tcPr>
          <w:p w14:paraId="761068F7" w14:textId="77777777" w:rsidR="00721C98" w:rsidRDefault="00AE7B71">
            <w:pPr>
              <w:pStyle w:val="CellTextValue"/>
            </w:pPr>
            <w:r>
              <w:rPr>
                <w:b/>
                <w:color w:val="000000"/>
              </w:rPr>
              <w:t>Pillar IV: New knowledge for ERA</w:t>
            </w:r>
          </w:p>
        </w:tc>
      </w:tr>
      <w:tr w:rsidR="00721C98" w14:paraId="7A1A04D8" w14:textId="77777777">
        <w:tc>
          <w:tcPr>
            <w:tcW w:w="0" w:type="auto"/>
          </w:tcPr>
          <w:p w14:paraId="506BE216" w14:textId="77777777" w:rsidR="00721C98" w:rsidRDefault="00AE7B71">
            <w:pPr>
              <w:pStyle w:val="CellTextValue"/>
            </w:pPr>
            <w:r>
              <w:rPr>
                <w:color w:val="000000"/>
                <w:u w:val="single"/>
              </w:rPr>
              <w:t>Type:</w:t>
            </w:r>
            <w:r>
              <w:rPr>
                <w:color w:val="000000"/>
              </w:rPr>
              <w:t xml:space="preserve"> coordination and support actions</w:t>
            </w:r>
          </w:p>
          <w:p w14:paraId="55CD56E8" w14:textId="77777777" w:rsidR="00721C98" w:rsidRDefault="00AE7B71">
            <w:r>
              <w:rPr>
                <w:color w:val="000000"/>
                <w:u w:val="single"/>
              </w:rPr>
              <w:t>Focus:</w:t>
            </w:r>
            <w:r>
              <w:rPr>
                <w:color w:val="000000"/>
              </w:rPr>
              <w:t xml:space="preserve"> connecting R&amp;I with citizens and other stakeholders.</w:t>
            </w:r>
          </w:p>
          <w:p w14:paraId="418BF838" w14:textId="77777777" w:rsidR="00721C98" w:rsidRDefault="00AE7B71">
            <w:r>
              <w:rPr>
                <w:color w:val="000000"/>
                <w:u w:val="single"/>
              </w:rPr>
              <w:t>Activity types:</w:t>
            </w:r>
            <w:r>
              <w:rPr>
                <w:color w:val="000000"/>
              </w:rPr>
              <w:t xml:space="preserve"> implementing and promoting participatory approaches, such as citizen engagement and citizen science.</w:t>
            </w:r>
          </w:p>
          <w:p w14:paraId="31BE5270" w14:textId="77777777" w:rsidR="00721C98" w:rsidRDefault="00AE7B71">
            <w:r>
              <w:rPr>
                <w:color w:val="000000"/>
                <w:u w:val="single"/>
              </w:rPr>
              <w:t>Policy areas:</w:t>
            </w:r>
          </w:p>
          <w:p w14:paraId="6D6D6136" w14:textId="77777777" w:rsidR="00721C98" w:rsidRDefault="00AE7B71" w:rsidP="00AE7B71">
            <w:pPr>
              <w:pStyle w:val="ListParagraph"/>
              <w:numPr>
                <w:ilvl w:val="0"/>
                <w:numId w:val="33"/>
              </w:numPr>
              <w:spacing w:after="150"/>
              <w:ind w:right="100"/>
            </w:pPr>
            <w:r>
              <w:rPr>
                <w:color w:val="000000"/>
              </w:rPr>
              <w:t>Trust in science</w:t>
            </w:r>
          </w:p>
          <w:p w14:paraId="18373C3F" w14:textId="77777777" w:rsidR="00721C98" w:rsidRDefault="00AE7B71" w:rsidP="00AE7B71">
            <w:pPr>
              <w:pStyle w:val="ListParagraph"/>
              <w:numPr>
                <w:ilvl w:val="0"/>
                <w:numId w:val="33"/>
              </w:numPr>
              <w:spacing w:after="150"/>
              <w:ind w:right="100"/>
            </w:pPr>
            <w:r>
              <w:rPr>
                <w:color w:val="000000"/>
              </w:rPr>
              <w:t>Knowledge valorisation</w:t>
            </w:r>
          </w:p>
          <w:p w14:paraId="1A0EF875" w14:textId="77777777" w:rsidR="00721C98" w:rsidRDefault="00AE7B71" w:rsidP="00AE7B71">
            <w:pPr>
              <w:pStyle w:val="ListParagraph"/>
              <w:numPr>
                <w:ilvl w:val="0"/>
                <w:numId w:val="33"/>
              </w:numPr>
              <w:spacing w:after="150"/>
              <w:ind w:right="100"/>
            </w:pPr>
            <w:r>
              <w:rPr>
                <w:color w:val="000000"/>
              </w:rPr>
              <w:t>Citizen and societal engagement</w:t>
            </w:r>
          </w:p>
        </w:tc>
        <w:tc>
          <w:tcPr>
            <w:tcW w:w="0" w:type="auto"/>
          </w:tcPr>
          <w:p w14:paraId="4B5E637D" w14:textId="77777777" w:rsidR="00721C98" w:rsidRDefault="00AE7B71">
            <w:pPr>
              <w:pStyle w:val="CellTextValue"/>
            </w:pPr>
            <w:r>
              <w:rPr>
                <w:color w:val="000000"/>
                <w:u w:val="single"/>
              </w:rPr>
              <w:t>Type:</w:t>
            </w:r>
            <w:r>
              <w:rPr>
                <w:color w:val="000000"/>
              </w:rPr>
              <w:t xml:space="preserve"> research and innovation actions</w:t>
            </w:r>
          </w:p>
          <w:p w14:paraId="7F1B9B15" w14:textId="77777777" w:rsidR="00721C98" w:rsidRDefault="00AE7B71">
            <w:r>
              <w:rPr>
                <w:color w:val="000000"/>
                <w:u w:val="single"/>
              </w:rPr>
              <w:t>Focus:</w:t>
            </w:r>
            <w:r>
              <w:rPr>
                <w:color w:val="000000"/>
              </w:rPr>
              <w:t xml:space="preserve"> creating new knowledge that supports design, implementation, monitoring and evaluation of policies and practices.</w:t>
            </w:r>
          </w:p>
          <w:p w14:paraId="61196B50" w14:textId="77777777" w:rsidR="00721C98" w:rsidRDefault="00AE7B71">
            <w:r>
              <w:rPr>
                <w:color w:val="000000"/>
                <w:u w:val="single"/>
              </w:rPr>
              <w:t>Activity types:</w:t>
            </w:r>
            <w:r>
              <w:rPr>
                <w:color w:val="000000"/>
              </w:rPr>
              <w:t xml:space="preserve"> conducting analyses, developing and testing new methods and practices.</w:t>
            </w:r>
          </w:p>
          <w:p w14:paraId="2736D17A" w14:textId="77777777" w:rsidR="00721C98" w:rsidRDefault="00AE7B71">
            <w:r>
              <w:rPr>
                <w:color w:val="000000"/>
                <w:u w:val="single"/>
              </w:rPr>
              <w:t>Policy areas:</w:t>
            </w:r>
          </w:p>
          <w:p w14:paraId="7D0F00FF" w14:textId="77777777" w:rsidR="00721C98" w:rsidRDefault="00AE7B71" w:rsidP="00AE7B71">
            <w:pPr>
              <w:pStyle w:val="ListParagraph"/>
              <w:numPr>
                <w:ilvl w:val="0"/>
                <w:numId w:val="34"/>
              </w:numPr>
              <w:spacing w:after="150"/>
              <w:ind w:right="100"/>
            </w:pPr>
            <w:r>
              <w:rPr>
                <w:color w:val="000000"/>
              </w:rPr>
              <w:t>Reproducibility in research</w:t>
            </w:r>
          </w:p>
          <w:p w14:paraId="43A62202" w14:textId="77777777" w:rsidR="00721C98" w:rsidRDefault="00AE7B71" w:rsidP="00AE7B71">
            <w:pPr>
              <w:pStyle w:val="ListParagraph"/>
              <w:numPr>
                <w:ilvl w:val="0"/>
                <w:numId w:val="34"/>
              </w:numPr>
              <w:spacing w:after="150"/>
              <w:ind w:right="100"/>
            </w:pPr>
            <w:r>
              <w:rPr>
                <w:color w:val="000000"/>
              </w:rPr>
              <w:t>Research ethics and integrity</w:t>
            </w:r>
          </w:p>
          <w:p w14:paraId="57738BCE" w14:textId="77777777" w:rsidR="00721C98" w:rsidRDefault="00AE7B71" w:rsidP="00AE7B71">
            <w:pPr>
              <w:pStyle w:val="ListParagraph"/>
              <w:numPr>
                <w:ilvl w:val="0"/>
                <w:numId w:val="34"/>
              </w:numPr>
              <w:spacing w:after="150"/>
              <w:ind w:right="100"/>
            </w:pPr>
            <w:r>
              <w:rPr>
                <w:color w:val="000000"/>
              </w:rPr>
              <w:t>Inclusive gender equality</w:t>
            </w:r>
          </w:p>
          <w:p w14:paraId="06C738F4" w14:textId="77777777" w:rsidR="00721C98" w:rsidRDefault="00AE7B71" w:rsidP="00AE7B71">
            <w:pPr>
              <w:pStyle w:val="ListParagraph"/>
              <w:numPr>
                <w:ilvl w:val="0"/>
                <w:numId w:val="34"/>
              </w:numPr>
              <w:spacing w:after="150"/>
              <w:ind w:right="100"/>
            </w:pPr>
            <w:r>
              <w:rPr>
                <w:color w:val="000000"/>
              </w:rPr>
              <w:t>Research careers</w:t>
            </w:r>
          </w:p>
          <w:p w14:paraId="23E09753" w14:textId="77777777" w:rsidR="00721C98" w:rsidRDefault="00AE7B71" w:rsidP="00AE7B71">
            <w:pPr>
              <w:pStyle w:val="ListParagraph"/>
              <w:numPr>
                <w:ilvl w:val="0"/>
                <w:numId w:val="34"/>
              </w:numPr>
              <w:spacing w:after="150"/>
              <w:ind w:right="100"/>
            </w:pPr>
            <w:r>
              <w:rPr>
                <w:color w:val="000000"/>
              </w:rPr>
              <w:t>Global approach to R&amp;I</w:t>
            </w:r>
          </w:p>
        </w:tc>
      </w:tr>
    </w:tbl>
    <w:p w14:paraId="5338CD6D" w14:textId="77777777" w:rsidR="00721C98" w:rsidRDefault="00721C98">
      <w:pPr>
        <w:spacing w:after="0" w:line="150" w:lineRule="auto"/>
      </w:pPr>
    </w:p>
    <w:p w14:paraId="452DAB49" w14:textId="77777777" w:rsidR="00721C98" w:rsidRDefault="00721C98"/>
    <w:p w14:paraId="0410DD73" w14:textId="77777777" w:rsidR="00721C98" w:rsidRDefault="00AE7B71">
      <w:r>
        <w:rPr>
          <w:color w:val="000000"/>
        </w:rPr>
        <w:t>Proposals under this destination should set out a credible pathway to one or several of the following expected impacts:</w:t>
      </w:r>
    </w:p>
    <w:p w14:paraId="160C34A9" w14:textId="77777777" w:rsidR="00721C98" w:rsidRDefault="00AE7B71" w:rsidP="00AE7B71">
      <w:pPr>
        <w:pStyle w:val="ListParagraph"/>
        <w:numPr>
          <w:ilvl w:val="0"/>
          <w:numId w:val="35"/>
        </w:numPr>
      </w:pPr>
      <w:r>
        <w:rPr>
          <w:color w:val="000000"/>
        </w:rPr>
        <w:t>Effective and sustainable structural institutional changes aligned with the ERA priorities;</w:t>
      </w:r>
    </w:p>
    <w:p w14:paraId="6D4CED7E" w14:textId="77777777" w:rsidR="00721C98" w:rsidRDefault="00AE7B71" w:rsidP="00AE7B71">
      <w:pPr>
        <w:pStyle w:val="ListParagraph"/>
        <w:numPr>
          <w:ilvl w:val="0"/>
          <w:numId w:val="35"/>
        </w:numPr>
      </w:pPr>
      <w:r>
        <w:rPr>
          <w:color w:val="000000"/>
        </w:rPr>
        <w:t>Sustainable ecosystems established around the ERA priorities through enhanced cooperation, coordination and alignment;</w:t>
      </w:r>
    </w:p>
    <w:p w14:paraId="3B3FDA28" w14:textId="77777777" w:rsidR="00721C98" w:rsidRDefault="00AE7B71" w:rsidP="00AE7B71">
      <w:pPr>
        <w:pStyle w:val="ListParagraph"/>
        <w:numPr>
          <w:ilvl w:val="0"/>
          <w:numId w:val="35"/>
        </w:numPr>
      </w:pPr>
      <w:r>
        <w:rPr>
          <w:color w:val="000000"/>
        </w:rPr>
        <w:t>Increased trust in science and alignment of R&amp;I with society’s needs;</w:t>
      </w:r>
    </w:p>
    <w:p w14:paraId="1BA11337" w14:textId="77777777" w:rsidR="00721C98" w:rsidRDefault="00AE7B71" w:rsidP="00AE7B71">
      <w:pPr>
        <w:pStyle w:val="ListParagraph"/>
        <w:numPr>
          <w:ilvl w:val="0"/>
          <w:numId w:val="35"/>
        </w:numPr>
      </w:pPr>
      <w:r>
        <w:rPr>
          <w:color w:val="000000"/>
        </w:rPr>
        <w:t>Strengthened evidence base for advancing the implementation of the ERA;</w:t>
      </w:r>
    </w:p>
    <w:p w14:paraId="0D6AE0ED" w14:textId="77777777" w:rsidR="00721C98" w:rsidRDefault="00AE7B71" w:rsidP="00AE7B71">
      <w:pPr>
        <w:pStyle w:val="ListParagraph"/>
        <w:numPr>
          <w:ilvl w:val="0"/>
          <w:numId w:val="35"/>
        </w:numPr>
      </w:pPr>
      <w:r>
        <w:rPr>
          <w:color w:val="000000"/>
        </w:rPr>
        <w:t>Increased reproducibility, trustworthiness and transparency of scientific research;</w:t>
      </w:r>
    </w:p>
    <w:p w14:paraId="5843A390" w14:textId="77777777" w:rsidR="00721C98" w:rsidRDefault="00AE7B71" w:rsidP="00AE7B71">
      <w:pPr>
        <w:pStyle w:val="ListParagraph"/>
        <w:numPr>
          <w:ilvl w:val="0"/>
          <w:numId w:val="35"/>
        </w:numPr>
      </w:pPr>
      <w:r>
        <w:rPr>
          <w:color w:val="000000"/>
        </w:rPr>
        <w:t>A more open, equitable and inclusive research and innovation ecosystem;</w:t>
      </w:r>
    </w:p>
    <w:p w14:paraId="35E69F62" w14:textId="77777777" w:rsidR="00721C98" w:rsidRDefault="00AE7B71" w:rsidP="00AE7B71">
      <w:pPr>
        <w:pStyle w:val="ListParagraph"/>
        <w:numPr>
          <w:ilvl w:val="0"/>
          <w:numId w:val="35"/>
        </w:numPr>
      </w:pPr>
      <w:r>
        <w:rPr>
          <w:color w:val="000000"/>
        </w:rPr>
        <w:t>A research ethics and integrity ecosystem continually enhanced with robust methodologies that encourage benefit sharing and prevent ethics dumping;</w:t>
      </w:r>
    </w:p>
    <w:p w14:paraId="6B7D44CC" w14:textId="77777777" w:rsidR="00721C98" w:rsidRDefault="00AE7B71" w:rsidP="00AE7B71">
      <w:pPr>
        <w:pStyle w:val="ListParagraph"/>
        <w:numPr>
          <w:ilvl w:val="0"/>
          <w:numId w:val="35"/>
        </w:numPr>
      </w:pPr>
      <w:r>
        <w:rPr>
          <w:color w:val="000000"/>
        </w:rPr>
        <w:t>Systemic reform of research assessment through the recognition of the diverse outputs, practices, and activities which maximise the quality and impact of research;</w:t>
      </w:r>
    </w:p>
    <w:p w14:paraId="3FC529EA" w14:textId="77777777" w:rsidR="00721C98" w:rsidRDefault="00AE7B71" w:rsidP="00AE7B71">
      <w:pPr>
        <w:pStyle w:val="ListParagraph"/>
        <w:numPr>
          <w:ilvl w:val="0"/>
          <w:numId w:val="35"/>
        </w:numPr>
      </w:pPr>
      <w:r>
        <w:rPr>
          <w:color w:val="000000"/>
        </w:rPr>
        <w:t>Improved research careers and mobility, based on the European framework for research careers, fostering knowledge flows and career interoperability across sectors and countries;</w:t>
      </w:r>
    </w:p>
    <w:p w14:paraId="09E5CDC1" w14:textId="77777777" w:rsidR="00721C98" w:rsidRDefault="00AE7B71" w:rsidP="00AE7B71">
      <w:pPr>
        <w:pStyle w:val="ListParagraph"/>
        <w:numPr>
          <w:ilvl w:val="0"/>
          <w:numId w:val="35"/>
        </w:numPr>
      </w:pPr>
      <w:r>
        <w:rPr>
          <w:color w:val="000000"/>
        </w:rPr>
        <w:t>Stronger translation of R&amp;I results into society and economy;</w:t>
      </w:r>
    </w:p>
    <w:p w14:paraId="50130D20" w14:textId="77777777" w:rsidR="00721C98" w:rsidRDefault="00AE7B71" w:rsidP="00AE7B71">
      <w:pPr>
        <w:pStyle w:val="ListParagraph"/>
        <w:numPr>
          <w:ilvl w:val="0"/>
          <w:numId w:val="35"/>
        </w:numPr>
      </w:pPr>
      <w:r>
        <w:rPr>
          <w:color w:val="000000"/>
        </w:rPr>
        <w:t>Enhanced gender equality and inclusiveness, leading to research excellence and more innovative, socially relevant, and economically impactful outcomes;</w:t>
      </w:r>
    </w:p>
    <w:p w14:paraId="05EB5E51" w14:textId="77777777" w:rsidR="00721C98" w:rsidRDefault="00AE7B71" w:rsidP="00AE7B71">
      <w:pPr>
        <w:pStyle w:val="ListParagraph"/>
        <w:numPr>
          <w:ilvl w:val="0"/>
          <w:numId w:val="35"/>
        </w:numPr>
      </w:pPr>
      <w:r>
        <w:rPr>
          <w:color w:val="000000"/>
        </w:rPr>
        <w:t>Increased uptake, effectiveness and impact of environmentally sustainable research;</w:t>
      </w:r>
    </w:p>
    <w:p w14:paraId="318E0D2A" w14:textId="77777777" w:rsidR="00721C98" w:rsidRDefault="00AE7B71" w:rsidP="00AE7B71">
      <w:pPr>
        <w:pStyle w:val="ListParagraph"/>
        <w:numPr>
          <w:ilvl w:val="0"/>
          <w:numId w:val="35"/>
        </w:numPr>
      </w:pPr>
      <w:r>
        <w:rPr>
          <w:color w:val="000000"/>
        </w:rPr>
        <w:t>More resilient and future-proof R&amp;I policies and long-term strategies with effectively integrated strategic intelligence and strengthened foresight communities;</w:t>
      </w:r>
    </w:p>
    <w:p w14:paraId="319BBF87" w14:textId="77777777" w:rsidR="00721C98" w:rsidRDefault="00AE7B71" w:rsidP="00AE7B71">
      <w:pPr>
        <w:pStyle w:val="ListParagraph"/>
        <w:numPr>
          <w:ilvl w:val="0"/>
          <w:numId w:val="35"/>
        </w:numPr>
      </w:pPr>
      <w:r>
        <w:rPr>
          <w:color w:val="000000"/>
        </w:rPr>
        <w:t>A more strategic, coherent, and evidence-based approach towards cooperation with China in the area of science, technology, and innovation.</w:t>
      </w:r>
    </w:p>
    <w:p w14:paraId="3F0F6B85" w14:textId="77777777" w:rsidR="00721C98" w:rsidRDefault="00AE7B71">
      <w:r>
        <w:t>Proposals are invited against the following topic(s):</w:t>
      </w:r>
    </w:p>
    <w:p w14:paraId="4D9CA01D" w14:textId="77777777" w:rsidR="00721C98" w:rsidRDefault="00AE7B71">
      <w:pPr>
        <w:pStyle w:val="HeadingThree"/>
      </w:pPr>
      <w:r>
        <w:t>HORIZON-WIDERA-2026-06-ERA-01: Pillar I: Accelerating open access and research assessment reforms in ERA</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81"/>
        <w:gridCol w:w="7121"/>
      </w:tblGrid>
      <w:tr w:rsidR="00DB4111" w14:paraId="2CC64C53" w14:textId="77777777" w:rsidTr="00DB4111">
        <w:tc>
          <w:tcPr>
            <w:tcW w:w="0" w:type="auto"/>
            <w:gridSpan w:val="2"/>
          </w:tcPr>
          <w:p w14:paraId="0CB7475D" w14:textId="77777777" w:rsidR="00721C98" w:rsidRDefault="00AE7B71">
            <w:pPr>
              <w:pStyle w:val="CellTextValue"/>
            </w:pPr>
            <w:r>
              <w:rPr>
                <w:b/>
              </w:rPr>
              <w:t>Call: Enhancing the European R&amp;I system</w:t>
            </w:r>
          </w:p>
        </w:tc>
      </w:tr>
      <w:tr w:rsidR="00DB4111" w14:paraId="6AA62069" w14:textId="77777777" w:rsidTr="00DB4111">
        <w:tc>
          <w:tcPr>
            <w:tcW w:w="0" w:type="auto"/>
            <w:gridSpan w:val="2"/>
          </w:tcPr>
          <w:p w14:paraId="4E6AC9D1" w14:textId="77777777" w:rsidR="00721C98" w:rsidRDefault="00AE7B71">
            <w:pPr>
              <w:pStyle w:val="CellTextValue"/>
            </w:pPr>
            <w:r>
              <w:rPr>
                <w:b/>
              </w:rPr>
              <w:t>Specific conditions</w:t>
            </w:r>
          </w:p>
        </w:tc>
      </w:tr>
      <w:tr w:rsidR="00721C98" w14:paraId="5FF18E39" w14:textId="77777777">
        <w:tc>
          <w:tcPr>
            <w:tcW w:w="0" w:type="auto"/>
          </w:tcPr>
          <w:p w14:paraId="02365D66" w14:textId="77777777" w:rsidR="00721C98" w:rsidRDefault="00AE7B71">
            <w:pPr>
              <w:pStyle w:val="CellTextValue"/>
              <w:jc w:val="left"/>
            </w:pPr>
            <w:r>
              <w:rPr>
                <w:i/>
              </w:rPr>
              <w:lastRenderedPageBreak/>
              <w:t>Expected EU contribution per project</w:t>
            </w:r>
          </w:p>
        </w:tc>
        <w:tc>
          <w:tcPr>
            <w:tcW w:w="0" w:type="auto"/>
          </w:tcPr>
          <w:p w14:paraId="7AA9D231" w14:textId="77777777" w:rsidR="00721C98" w:rsidRDefault="00AE7B71">
            <w:pPr>
              <w:pStyle w:val="CellTextValue"/>
            </w:pPr>
            <w:r>
              <w:t>The Commission estimates that an EU contribution of between EUR 2.00 and 3.00 million would allow these outcomes to be addressed appropriately. Nonetheless, this does not preclude submission and selection of a proposal requesting different amounts.</w:t>
            </w:r>
          </w:p>
        </w:tc>
      </w:tr>
      <w:tr w:rsidR="00721C98" w14:paraId="67077485" w14:textId="77777777">
        <w:tc>
          <w:tcPr>
            <w:tcW w:w="0" w:type="auto"/>
          </w:tcPr>
          <w:p w14:paraId="50EA0B2E" w14:textId="77777777" w:rsidR="00721C98" w:rsidRDefault="00AE7B71">
            <w:pPr>
              <w:pStyle w:val="CellTextValue"/>
              <w:jc w:val="left"/>
            </w:pPr>
            <w:r>
              <w:rPr>
                <w:i/>
              </w:rPr>
              <w:t>Indicative budget</w:t>
            </w:r>
          </w:p>
        </w:tc>
        <w:tc>
          <w:tcPr>
            <w:tcW w:w="0" w:type="auto"/>
          </w:tcPr>
          <w:p w14:paraId="3DBBC1D2" w14:textId="77777777" w:rsidR="00721C98" w:rsidRDefault="00AE7B71">
            <w:pPr>
              <w:pStyle w:val="CellTextValue"/>
            </w:pPr>
            <w:r>
              <w:t>The total indicative budget for the topic is EUR 6.00 million.</w:t>
            </w:r>
          </w:p>
        </w:tc>
      </w:tr>
      <w:tr w:rsidR="00721C98" w14:paraId="39CDBDD8" w14:textId="77777777">
        <w:tc>
          <w:tcPr>
            <w:tcW w:w="0" w:type="auto"/>
          </w:tcPr>
          <w:p w14:paraId="240E0D5A" w14:textId="77777777" w:rsidR="00721C98" w:rsidRDefault="00AE7B71">
            <w:pPr>
              <w:pStyle w:val="CellTextValue"/>
              <w:jc w:val="left"/>
            </w:pPr>
            <w:r>
              <w:rPr>
                <w:i/>
              </w:rPr>
              <w:t>Type of Action</w:t>
            </w:r>
          </w:p>
        </w:tc>
        <w:tc>
          <w:tcPr>
            <w:tcW w:w="0" w:type="auto"/>
          </w:tcPr>
          <w:p w14:paraId="4A22F2E9" w14:textId="77777777" w:rsidR="00721C98" w:rsidRDefault="00AE7B71">
            <w:pPr>
              <w:pStyle w:val="CellTextValue"/>
            </w:pPr>
            <w:r>
              <w:rPr>
                <w:color w:val="000000"/>
              </w:rPr>
              <w:t>Coordination and Support Actions</w:t>
            </w:r>
          </w:p>
        </w:tc>
      </w:tr>
      <w:tr w:rsidR="00721C98" w14:paraId="0EC01CA8" w14:textId="77777777">
        <w:tc>
          <w:tcPr>
            <w:tcW w:w="0" w:type="auto"/>
          </w:tcPr>
          <w:p w14:paraId="24F8E235" w14:textId="77777777" w:rsidR="00721C98" w:rsidRDefault="00AE7B71">
            <w:pPr>
              <w:pStyle w:val="CellTextValue"/>
              <w:jc w:val="left"/>
            </w:pPr>
            <w:r>
              <w:rPr>
                <w:i/>
              </w:rPr>
              <w:t>Eligibility conditions</w:t>
            </w:r>
          </w:p>
        </w:tc>
        <w:tc>
          <w:tcPr>
            <w:tcW w:w="0" w:type="auto"/>
          </w:tcPr>
          <w:p w14:paraId="7B0AE3D1" w14:textId="77777777" w:rsidR="00721C98" w:rsidRDefault="00AE7B71">
            <w:pPr>
              <w:pStyle w:val="CellTextValue"/>
            </w:pPr>
            <w:r>
              <w:rPr>
                <w:color w:val="000000"/>
              </w:rPr>
              <w:t>The conditions are described in General Annex B. The following exceptions apply:</w:t>
            </w:r>
          </w:p>
          <w:p w14:paraId="6BD2BD96"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0D0B4C8A" w14:textId="77777777">
        <w:tc>
          <w:tcPr>
            <w:tcW w:w="0" w:type="auto"/>
          </w:tcPr>
          <w:p w14:paraId="7B180190" w14:textId="77777777" w:rsidR="00721C98" w:rsidRDefault="00AE7B71">
            <w:pPr>
              <w:pStyle w:val="CellTextValue"/>
              <w:jc w:val="left"/>
            </w:pPr>
            <w:r>
              <w:rPr>
                <w:i/>
              </w:rPr>
              <w:t>Procedure</w:t>
            </w:r>
          </w:p>
        </w:tc>
        <w:tc>
          <w:tcPr>
            <w:tcW w:w="0" w:type="auto"/>
          </w:tcPr>
          <w:p w14:paraId="6300FBC7" w14:textId="77777777" w:rsidR="00721C98" w:rsidRDefault="00AE7B71">
            <w:pPr>
              <w:pStyle w:val="CellTextValue"/>
            </w:pPr>
            <w:r>
              <w:rPr>
                <w:color w:val="000000"/>
              </w:rPr>
              <w:t>The procedure is described in General Annex F. The following exceptions apply:</w:t>
            </w:r>
          </w:p>
          <w:p w14:paraId="37C7F4E8" w14:textId="77777777" w:rsidR="00721C98" w:rsidRDefault="00AE7B71">
            <w:pPr>
              <w:pStyle w:val="CellTextValue"/>
            </w:pPr>
            <w:r>
              <w:rPr>
                <w:color w:val="000000"/>
              </w:rPr>
              <w:t>To ensure a balanced portfolio covering different ERA policy areas, as outlined in the expected outcomes and scope, grants will be awarded to proposals not only in order of ranking, but at least also to proposals that are the highest ranked within each area, provided that proposals pass all thresholds.</w:t>
            </w:r>
          </w:p>
        </w:tc>
      </w:tr>
      <w:tr w:rsidR="00721C98" w14:paraId="22D4B34D" w14:textId="77777777">
        <w:tc>
          <w:tcPr>
            <w:tcW w:w="0" w:type="auto"/>
          </w:tcPr>
          <w:p w14:paraId="0583FEF6" w14:textId="77777777" w:rsidR="00721C98" w:rsidRDefault="00AE7B71">
            <w:pPr>
              <w:pStyle w:val="CellTextValue"/>
              <w:jc w:val="left"/>
            </w:pPr>
            <w:r>
              <w:rPr>
                <w:i/>
              </w:rPr>
              <w:t>Legal and financial set-up of the Grant Agreements</w:t>
            </w:r>
          </w:p>
        </w:tc>
        <w:tc>
          <w:tcPr>
            <w:tcW w:w="0" w:type="auto"/>
          </w:tcPr>
          <w:p w14:paraId="33D8D904" w14:textId="77777777" w:rsidR="00721C98" w:rsidRDefault="00AE7B71">
            <w:pPr>
              <w:pStyle w:val="CellTextValue"/>
            </w:pPr>
            <w:r>
              <w:rPr>
                <w:color w:val="000000"/>
              </w:rPr>
              <w:t>The rules are described in General Annex G. The following exceptions apply:</w:t>
            </w:r>
          </w:p>
          <w:p w14:paraId="210A4A64" w14:textId="77777777" w:rsidR="00721C98" w:rsidRDefault="00AE7B71">
            <w:pPr>
              <w:pStyle w:val="CellTextValue"/>
            </w:pPr>
            <w:r>
              <w:rPr>
                <w:color w:val="000000"/>
              </w:rPr>
              <w:t>Beneficiaries must provide financial support to third parties. The support to third parties can only be provided in the form of grants. The maximum amount to be granted to each third party is EUR 60 000.</w:t>
            </w:r>
          </w:p>
        </w:tc>
      </w:tr>
    </w:tbl>
    <w:p w14:paraId="54EF43B3" w14:textId="77777777" w:rsidR="00721C98" w:rsidRDefault="00721C98">
      <w:pPr>
        <w:spacing w:after="0" w:line="150" w:lineRule="auto"/>
      </w:pPr>
    </w:p>
    <w:p w14:paraId="7A0502BD" w14:textId="77777777" w:rsidR="00721C98" w:rsidRDefault="00AE7B71">
      <w:r>
        <w:rPr>
          <w:u w:val="single"/>
        </w:rPr>
        <w:t>Scope</w:t>
      </w:r>
      <w:r>
        <w:t xml:space="preserve">: </w:t>
      </w:r>
      <w:r>
        <w:rPr>
          <w:color w:val="000000"/>
        </w:rPr>
        <w:t>This topic aims to foster effective and sustainable structural institutional changes within R&amp;I organisations in alignment with the ERA priorities. Through financial support to third parties (cascading grants), it will enable a variety of capacity-building activities, such as the provision of tools, resources, guidelines, training, and quality assurance programmes.</w:t>
      </w:r>
    </w:p>
    <w:p w14:paraId="2D470F43" w14:textId="77777777" w:rsidR="00721C98" w:rsidRDefault="00AE7B71">
      <w:r>
        <w:rPr>
          <w:color w:val="000000"/>
        </w:rPr>
        <w:t xml:space="preserve">Applicants should select and clearly identify </w:t>
      </w:r>
      <w:r>
        <w:rPr>
          <w:color w:val="000000"/>
          <w:u w:val="single"/>
        </w:rPr>
        <w:t>one</w:t>
      </w:r>
      <w:r>
        <w:rPr>
          <w:color w:val="000000"/>
        </w:rPr>
        <w:t xml:space="preserve"> area being addressed, choosing from the two areas outlined below. Each area is designed to contribute toward the implementation of an ERA policy: Area 1 – ERA Action “Applying equity in open science; Area 2 – ERA Structural Policy “Reforming research assessment”. Proposals should develop the activities outlined for the selected area as well as propose additional activities that contribute to achieving the expected outcomes.</w:t>
      </w:r>
    </w:p>
    <w:p w14:paraId="1A2147E5" w14:textId="77777777" w:rsidR="00721C98" w:rsidRDefault="00AE7B71">
      <w:r>
        <w:rPr>
          <w:color w:val="000000"/>
        </w:rPr>
        <w:t xml:space="preserve">While focusing on one area, applicants are encouraged to consider synergies with other topics of this Call. For example, applicants that choose Area 1 on non-profit open access publishing models may propose activities linked to research assessment (Area 2 of this topic), peer review (Area 4 of topic HORIZON-WIDERA-2026-06-ERA-02), or reproducibility in </w:t>
      </w:r>
      <w:r>
        <w:rPr>
          <w:color w:val="000000"/>
        </w:rPr>
        <w:lastRenderedPageBreak/>
        <w:t>research (Area 1 of topic HORIZON-WIDERA-2026-06-ERA-08). Any such synergies should be clearly explained.</w:t>
      </w:r>
    </w:p>
    <w:p w14:paraId="09CFEBC5" w14:textId="77777777" w:rsidR="00721C98" w:rsidRDefault="00AE7B71">
      <w:r>
        <w:rPr>
          <w:color w:val="000000"/>
        </w:rPr>
        <w:t>Proposed activities should reach large communities of stakeholders, ensuring a wide geographical coverage, inclusivity, broad participation, and accessibility over the course of the project. Proposals should describe their target group in terms of its scope and size. In project activities, particular attention should be paid to promoting inclusive gender equality and addressing gender-specific challenges.</w:t>
      </w:r>
    </w:p>
    <w:p w14:paraId="0894944D" w14:textId="77777777" w:rsidR="00721C98" w:rsidRDefault="00AE7B71">
      <w:r>
        <w:rPr>
          <w:color w:val="000000"/>
        </w:rPr>
        <w:t>The conditions for the selection procedures that apply to the open calls for cascading grants are provided in the Horizon Europe General Annexes – Part B.</w:t>
      </w:r>
    </w:p>
    <w:p w14:paraId="4709F622" w14:textId="77777777" w:rsidR="00721C98" w:rsidRDefault="00AE7B71">
      <w:r>
        <w:rPr>
          <w:color w:val="000000"/>
        </w:rPr>
        <w:t>Expected project duration is up to 3 years without prejudice to a longer duration if justified.</w:t>
      </w:r>
    </w:p>
    <w:p w14:paraId="64345DFA" w14:textId="77777777" w:rsidR="00721C98" w:rsidRDefault="00AE7B71">
      <w:r>
        <w:rPr>
          <w:b/>
          <w:color w:val="000000"/>
        </w:rPr>
        <w:t>Area 1: Supporting the transition of scholarly societies to non-profit open access publishing models</w:t>
      </w:r>
    </w:p>
    <w:p w14:paraId="480621AD" w14:textId="77777777" w:rsidR="00721C98" w:rsidRDefault="00AE7B71">
      <w:r>
        <w:rPr>
          <w:color w:val="000000"/>
          <w:u w:val="single"/>
        </w:rPr>
        <w:t>Expected outcome</w:t>
      </w:r>
      <w:r>
        <w:rPr>
          <w:color w:val="000000"/>
        </w:rPr>
        <w:t>: Proposals under Area 1 will deliver on the impact “A more open, equitable and inclusive research and innovation ecosystem”, contributing to the ERA Action “Applying equity in open science”. Project results are expected to contribute to all of the following expected outcomes:</w:t>
      </w:r>
    </w:p>
    <w:p w14:paraId="2E46CC3B" w14:textId="77777777" w:rsidR="00721C98" w:rsidRDefault="00AE7B71" w:rsidP="00AE7B71">
      <w:pPr>
        <w:pStyle w:val="ListParagraph"/>
        <w:numPr>
          <w:ilvl w:val="0"/>
          <w:numId w:val="36"/>
        </w:numPr>
      </w:pPr>
      <w:r>
        <w:rPr>
          <w:color w:val="000000"/>
        </w:rPr>
        <w:t>Publishing activities of scholarly societies in a range of disciplines and scientific fields have transitioned into non-profit open access publishing models, ensuring broader dissemination of research and more equitable and inclusive access to publishing services by eliminating author fees;</w:t>
      </w:r>
    </w:p>
    <w:p w14:paraId="6D15B9DD" w14:textId="77777777" w:rsidR="00721C98" w:rsidRDefault="00AE7B71" w:rsidP="00AE7B71">
      <w:pPr>
        <w:pStyle w:val="ListParagraph"/>
        <w:numPr>
          <w:ilvl w:val="0"/>
          <w:numId w:val="36"/>
        </w:numPr>
      </w:pPr>
      <w:r>
        <w:rPr>
          <w:color w:val="000000"/>
        </w:rPr>
        <w:t>Improved capacities, skills, and resources for scholarly societies that are essential for transitioning their scientific publishing venues into sustainable, non-profit open access publishing models;</w:t>
      </w:r>
    </w:p>
    <w:p w14:paraId="75884998" w14:textId="77777777" w:rsidR="00721C98" w:rsidRDefault="00AE7B71" w:rsidP="00AE7B71">
      <w:pPr>
        <w:pStyle w:val="ListParagraph"/>
        <w:numPr>
          <w:ilvl w:val="0"/>
          <w:numId w:val="36"/>
        </w:numPr>
      </w:pPr>
      <w:r>
        <w:rPr>
          <w:color w:val="000000"/>
        </w:rPr>
        <w:t>Greater awareness of and commitment to open science principles and practices among scholarly societies and their underlying communities, support to the reform of research assessment and the European Charter for Researchers</w:t>
      </w:r>
      <w:r>
        <w:rPr>
          <w:vertAlign w:val="superscript"/>
        </w:rPr>
        <w:footnoteReference w:id="57"/>
      </w:r>
      <w:r>
        <w:rPr>
          <w:color w:val="000000"/>
        </w:rPr>
        <w:t>.</w:t>
      </w:r>
    </w:p>
    <w:p w14:paraId="087C453B" w14:textId="77777777" w:rsidR="00721C98" w:rsidRDefault="00AE7B71">
      <w:r>
        <w:rPr>
          <w:color w:val="000000"/>
          <w:u w:val="single"/>
        </w:rPr>
        <w:t>Scope</w:t>
      </w:r>
      <w:r>
        <w:rPr>
          <w:color w:val="000000"/>
        </w:rPr>
        <w:t>: Area 1 supports the transition of journals/books/monographs of national and/or European scholarly societies</w:t>
      </w:r>
      <w:r>
        <w:rPr>
          <w:vertAlign w:val="superscript"/>
        </w:rPr>
        <w:footnoteReference w:id="58"/>
      </w:r>
      <w:r>
        <w:rPr>
          <w:color w:val="000000"/>
        </w:rPr>
        <w:t xml:space="preserve"> into non-profit open access publishing models without author fees.</w:t>
      </w:r>
    </w:p>
    <w:p w14:paraId="2278A966" w14:textId="77777777" w:rsidR="00721C98" w:rsidRDefault="00AE7B71">
      <w:r>
        <w:rPr>
          <w:color w:val="000000"/>
        </w:rPr>
        <w:t xml:space="preserve">At least two thirds of the funding should be allocated as cascading grants to calls for pilot actions, targeting scholarly societies in all six </w:t>
      </w:r>
      <w:hyperlink r:id="rId9">
        <w:r w:rsidR="00721C98">
          <w:rPr>
            <w:szCs w:val="24"/>
            <w:u w:val="single"/>
          </w:rPr>
          <w:t>Frascati</w:t>
        </w:r>
      </w:hyperlink>
      <w:r>
        <w:rPr>
          <w:color w:val="000000"/>
        </w:rPr>
        <w:t xml:space="preserve"> fields</w:t>
      </w:r>
      <w:r>
        <w:rPr>
          <w:vertAlign w:val="superscript"/>
        </w:rPr>
        <w:footnoteReference w:id="59"/>
      </w:r>
      <w:r>
        <w:rPr>
          <w:color w:val="000000"/>
        </w:rPr>
        <w:t xml:space="preserve"> of science and technology. At </w:t>
      </w:r>
      <w:r>
        <w:rPr>
          <w:color w:val="000000"/>
        </w:rPr>
        <w:lastRenderedPageBreak/>
        <w:t>least one third of the grants should be distributed to scholarly societies in the Humanities/Arts and Social Sciences. The cascading grants are expected to result in 20 to 30 pilot actions. Proposals should take into account results from past and ongoing projects on non-profit institutional open access publishing and related infrastructures</w:t>
      </w:r>
      <w:r>
        <w:rPr>
          <w:vertAlign w:val="superscript"/>
        </w:rPr>
        <w:footnoteReference w:id="60"/>
      </w:r>
      <w:r>
        <w:rPr>
          <w:color w:val="000000"/>
        </w:rPr>
        <w:t>.</w:t>
      </w:r>
    </w:p>
    <w:p w14:paraId="0A07740B" w14:textId="77777777" w:rsidR="00721C98" w:rsidRDefault="00AE7B71">
      <w:r>
        <w:rPr>
          <w:color w:val="000000"/>
        </w:rPr>
        <w:t>Consortia should comprise, e.g., scholarly societies, research performing and funding organisations, libraries, non-profit scholarly publishers, and other research-relevant organisations, among others. To achieve the expected outcomes, proposals should address the activities outlined below and propose any additional, complementary activities, targeting scholarly societies:</w:t>
      </w:r>
    </w:p>
    <w:p w14:paraId="5AFB7022" w14:textId="77777777" w:rsidR="00721C98" w:rsidRDefault="00AE7B71" w:rsidP="00AE7B71">
      <w:pPr>
        <w:pStyle w:val="ListParagraph"/>
        <w:numPr>
          <w:ilvl w:val="0"/>
          <w:numId w:val="37"/>
        </w:numPr>
      </w:pPr>
      <w:r>
        <w:rPr>
          <w:color w:val="000000"/>
        </w:rPr>
        <w:t>Develop business models to support sustainable non-profit open access publishing for scholarly societies beyond the project;</w:t>
      </w:r>
    </w:p>
    <w:p w14:paraId="7B09B3A5" w14:textId="77777777" w:rsidR="00721C98" w:rsidRDefault="00AE7B71" w:rsidP="00AE7B71">
      <w:pPr>
        <w:pStyle w:val="ListParagraph"/>
        <w:numPr>
          <w:ilvl w:val="0"/>
          <w:numId w:val="37"/>
        </w:numPr>
      </w:pPr>
      <w:r>
        <w:rPr>
          <w:color w:val="000000"/>
        </w:rPr>
        <w:t>Produce guidelines, training materials and lessons learnt to support capacity-building for such transitions of scholarly societies in the future;</w:t>
      </w:r>
    </w:p>
    <w:p w14:paraId="3E3DC557" w14:textId="77777777" w:rsidR="00721C98" w:rsidRDefault="00AE7B71" w:rsidP="00AE7B71">
      <w:pPr>
        <w:pStyle w:val="ListParagraph"/>
        <w:numPr>
          <w:ilvl w:val="0"/>
          <w:numId w:val="37"/>
        </w:numPr>
      </w:pPr>
      <w:r>
        <w:rPr>
          <w:color w:val="000000"/>
        </w:rPr>
        <w:t>Launch open call(s) for grants supporting pilot actions for transitioning at least 30 scholarly societies across Europe to open access non-profit publishing models.</w:t>
      </w:r>
    </w:p>
    <w:p w14:paraId="62C872F2" w14:textId="77777777" w:rsidR="00721C98" w:rsidRDefault="00AE7B71">
      <w:r>
        <w:rPr>
          <w:b/>
          <w:color w:val="000000"/>
        </w:rPr>
        <w:t>Area 2: Sustainable institutional reforms to improve research assessment systems</w:t>
      </w:r>
    </w:p>
    <w:p w14:paraId="3EEE8DAC" w14:textId="77777777" w:rsidR="00721C98" w:rsidRDefault="00AE7B71">
      <w:r>
        <w:rPr>
          <w:color w:val="000000"/>
          <w:u w:val="single"/>
        </w:rPr>
        <w:t>Expected outcome</w:t>
      </w:r>
      <w:r>
        <w:rPr>
          <w:color w:val="000000"/>
        </w:rPr>
        <w:t>: Proposals under Area 2 will deliver on the impact “Systemic reform of research assessment through the recognition of the diverse outputs, practices, and activities which maximise the quality and impact of research”, contributing to the ERA Structural Policy “Reforming research assessment”. Project results are expected to contribute to all of the following expected outcomes:</w:t>
      </w:r>
    </w:p>
    <w:p w14:paraId="60BDDE91" w14:textId="77777777" w:rsidR="00721C98" w:rsidRDefault="00AE7B71" w:rsidP="00AE7B71">
      <w:pPr>
        <w:pStyle w:val="ListParagraph"/>
        <w:numPr>
          <w:ilvl w:val="0"/>
          <w:numId w:val="38"/>
        </w:numPr>
      </w:pPr>
      <w:r>
        <w:rPr>
          <w:color w:val="000000"/>
        </w:rPr>
        <w:t xml:space="preserve">Institutional changes in research performing and funding organisations (including accreditation and quality assurance agencies) in favour of more responsible research assessment systems in line with the </w:t>
      </w:r>
      <w:hyperlink r:id="rId10">
        <w:r w:rsidR="00721C98">
          <w:rPr>
            <w:szCs w:val="24"/>
            <w:u w:val="single"/>
          </w:rPr>
          <w:t>Agreement on Reforming Research Assessment</w:t>
        </w:r>
      </w:hyperlink>
      <w:r>
        <w:rPr>
          <w:color w:val="000000"/>
        </w:rPr>
        <w:t xml:space="preserve"> (ARRA);</w:t>
      </w:r>
    </w:p>
    <w:p w14:paraId="6F104DC5" w14:textId="77777777" w:rsidR="00721C98" w:rsidRDefault="00AE7B71" w:rsidP="00AE7B71">
      <w:pPr>
        <w:pStyle w:val="ListParagraph"/>
        <w:numPr>
          <w:ilvl w:val="0"/>
          <w:numId w:val="38"/>
        </w:numPr>
      </w:pPr>
      <w:r>
        <w:rPr>
          <w:color w:val="000000"/>
        </w:rPr>
        <w:t>Implementation of Action Plans of signatories of the ARRA;</w:t>
      </w:r>
    </w:p>
    <w:p w14:paraId="5F846A63" w14:textId="77777777" w:rsidR="00721C98" w:rsidRDefault="00AE7B71" w:rsidP="00AE7B71">
      <w:pPr>
        <w:pStyle w:val="ListParagraph"/>
        <w:numPr>
          <w:ilvl w:val="0"/>
          <w:numId w:val="38"/>
        </w:numPr>
      </w:pPr>
      <w:r>
        <w:rPr>
          <w:color w:val="000000"/>
        </w:rPr>
        <w:t>Increased awareness and trust among researchers and research organisations about reforms of research assessment.</w:t>
      </w:r>
    </w:p>
    <w:p w14:paraId="75F2407D" w14:textId="77777777" w:rsidR="00721C98" w:rsidRDefault="00AE7B71">
      <w:r>
        <w:rPr>
          <w:color w:val="000000"/>
          <w:u w:val="single"/>
        </w:rPr>
        <w:t>Scope</w:t>
      </w:r>
      <w:r>
        <w:rPr>
          <w:color w:val="000000"/>
        </w:rPr>
        <w:t xml:space="preserve">: Area 2 aims to support institutional changes, raise awareness, and assess the level of progress made in terms of reforming research assessment, in line with the ARRA. The cascading grants are expected to effect changes in 40-50 institutions of different types and </w:t>
      </w:r>
      <w:r>
        <w:rPr>
          <w:color w:val="000000"/>
        </w:rPr>
        <w:lastRenderedPageBreak/>
        <w:t>from different geographical areas. Proposals should build on past or ongoing relevant initiatives and projects at European or national level</w:t>
      </w:r>
      <w:r>
        <w:rPr>
          <w:vertAlign w:val="superscript"/>
        </w:rPr>
        <w:footnoteReference w:id="61"/>
      </w:r>
      <w:r>
        <w:rPr>
          <w:color w:val="000000"/>
        </w:rPr>
        <w:t>.</w:t>
      </w:r>
    </w:p>
    <w:p w14:paraId="69A0E428" w14:textId="77777777" w:rsidR="00721C98" w:rsidRDefault="00AE7B71">
      <w:r>
        <w:rPr>
          <w:color w:val="000000"/>
        </w:rPr>
        <w:t xml:space="preserve">Project activities should involve actors such as higher education institutions, research performing and funding organisations, research evaluation agencies, accreditation and quality assurance agencies, notably those engaged in the </w:t>
      </w:r>
      <w:hyperlink r:id="rId11">
        <w:r w:rsidR="00721C98">
          <w:rPr>
            <w:szCs w:val="24"/>
            <w:u w:val="single"/>
          </w:rPr>
          <w:t>CoARA</w:t>
        </w:r>
      </w:hyperlink>
      <w:r>
        <w:rPr>
          <w:color w:val="000000"/>
        </w:rPr>
        <w:t xml:space="preserve"> approach. To achieve the expected outcomes, proposals should address the activities outlined below and propose any additional, complementary activities:</w:t>
      </w:r>
    </w:p>
    <w:p w14:paraId="5C5DD056" w14:textId="77777777" w:rsidR="00721C98" w:rsidRDefault="00AE7B71" w:rsidP="00AE7B71">
      <w:pPr>
        <w:pStyle w:val="ListParagraph"/>
        <w:numPr>
          <w:ilvl w:val="0"/>
          <w:numId w:val="39"/>
        </w:numPr>
      </w:pPr>
      <w:r>
        <w:rPr>
          <w:color w:val="000000"/>
        </w:rPr>
        <w:t>Launch open call(s) providing grants that support institutional changes for reforming research assessment;</w:t>
      </w:r>
    </w:p>
    <w:p w14:paraId="160E4C1C" w14:textId="77777777" w:rsidR="00721C98" w:rsidRDefault="00AE7B71" w:rsidP="00AE7B71">
      <w:pPr>
        <w:pStyle w:val="ListParagraph"/>
        <w:numPr>
          <w:ilvl w:val="0"/>
          <w:numId w:val="39"/>
        </w:numPr>
      </w:pPr>
      <w:r>
        <w:rPr>
          <w:color w:val="000000"/>
        </w:rPr>
        <w:t>Develop or reform research assessment and evaluation criteria and processes in alignment with the CoARA Agreement commitments;</w:t>
      </w:r>
    </w:p>
    <w:p w14:paraId="3D8A91FC" w14:textId="77777777" w:rsidR="00721C98" w:rsidRDefault="00AE7B71" w:rsidP="00AE7B71">
      <w:pPr>
        <w:pStyle w:val="ListParagraph"/>
        <w:numPr>
          <w:ilvl w:val="0"/>
          <w:numId w:val="39"/>
        </w:numPr>
      </w:pPr>
      <w:r>
        <w:rPr>
          <w:color w:val="000000"/>
        </w:rPr>
        <w:t>Implement reforms aiming to establish qualitative peer-review at the centre of research assessment practices and to move away from the use of traditional bibliometric journal and publication-based indicators (in particular the Journal Impact Factor and h-index);</w:t>
      </w:r>
    </w:p>
    <w:p w14:paraId="080F32CA" w14:textId="77777777" w:rsidR="00721C98" w:rsidRDefault="00AE7B71" w:rsidP="00AE7B71">
      <w:pPr>
        <w:pStyle w:val="ListParagraph"/>
        <w:numPr>
          <w:ilvl w:val="0"/>
          <w:numId w:val="39"/>
        </w:numPr>
      </w:pPr>
      <w:r>
        <w:rPr>
          <w:color w:val="000000"/>
        </w:rPr>
        <w:t>Implement institutional changes in the assessment of research that recognise the diversity of activities and roles of researchers; and, enhance the recognition of diverse research practices as part of assessment systems (e.g., public engagement, citizen science, and science for policy);</w:t>
      </w:r>
    </w:p>
    <w:p w14:paraId="4A1C1260" w14:textId="77777777" w:rsidR="00721C98" w:rsidRDefault="00AE7B71" w:rsidP="00AE7B71">
      <w:pPr>
        <w:pStyle w:val="ListParagraph"/>
        <w:numPr>
          <w:ilvl w:val="0"/>
          <w:numId w:val="39"/>
        </w:numPr>
      </w:pPr>
      <w:r>
        <w:rPr>
          <w:color w:val="000000"/>
        </w:rPr>
        <w:t>Analyse the outcomes of research assessment reforms and identify relevant barriers and impact indicators, as well as quantify the progress of action plans.</w:t>
      </w:r>
    </w:p>
    <w:p w14:paraId="31F9C00C" w14:textId="77777777" w:rsidR="00721C98" w:rsidRDefault="00AE7B71">
      <w:pPr>
        <w:pStyle w:val="HeadingThree"/>
      </w:pPr>
      <w:r>
        <w:t>HORIZON-WIDERA-2026-06-ERA-02: Pillar I: Building institutional capacities for ethical, equitable, open, and inclusive ERA</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2A9A3321" w14:textId="77777777" w:rsidTr="00DB4111">
        <w:tc>
          <w:tcPr>
            <w:tcW w:w="0" w:type="auto"/>
            <w:gridSpan w:val="2"/>
          </w:tcPr>
          <w:p w14:paraId="554957A9" w14:textId="77777777" w:rsidR="00721C98" w:rsidRDefault="00AE7B71">
            <w:pPr>
              <w:pStyle w:val="CellTextValue"/>
            </w:pPr>
            <w:r>
              <w:rPr>
                <w:b/>
              </w:rPr>
              <w:t>Call: Enhancing the European R&amp;I system</w:t>
            </w:r>
          </w:p>
        </w:tc>
      </w:tr>
      <w:tr w:rsidR="00DB4111" w14:paraId="33CEBC69" w14:textId="77777777" w:rsidTr="00DB4111">
        <w:tc>
          <w:tcPr>
            <w:tcW w:w="0" w:type="auto"/>
            <w:gridSpan w:val="2"/>
          </w:tcPr>
          <w:p w14:paraId="78A84B55" w14:textId="77777777" w:rsidR="00721C98" w:rsidRDefault="00AE7B71">
            <w:pPr>
              <w:pStyle w:val="CellTextValue"/>
            </w:pPr>
            <w:r>
              <w:rPr>
                <w:b/>
              </w:rPr>
              <w:t>Specific conditions</w:t>
            </w:r>
          </w:p>
        </w:tc>
      </w:tr>
      <w:tr w:rsidR="00721C98" w14:paraId="7B093AEB" w14:textId="77777777">
        <w:tc>
          <w:tcPr>
            <w:tcW w:w="0" w:type="auto"/>
          </w:tcPr>
          <w:p w14:paraId="1D1EE548" w14:textId="77777777" w:rsidR="00721C98" w:rsidRDefault="00AE7B71">
            <w:pPr>
              <w:pStyle w:val="CellTextValue"/>
              <w:jc w:val="left"/>
            </w:pPr>
            <w:r>
              <w:rPr>
                <w:i/>
              </w:rPr>
              <w:t>Expected EU contribution per project</w:t>
            </w:r>
          </w:p>
        </w:tc>
        <w:tc>
          <w:tcPr>
            <w:tcW w:w="0" w:type="auto"/>
          </w:tcPr>
          <w:p w14:paraId="454ECC87" w14:textId="77777777" w:rsidR="00721C98" w:rsidRDefault="00AE7B71">
            <w:pPr>
              <w:pStyle w:val="CellTextValue"/>
            </w:pPr>
            <w:r>
              <w:t>The Commission estimates that an EU contribution of between EUR 1.50 and 2.00 million would allow these outcomes to be addressed appropriately. Nonetheless, this does not preclude submission and selection of a proposal requesting different amounts.</w:t>
            </w:r>
          </w:p>
        </w:tc>
      </w:tr>
      <w:tr w:rsidR="00721C98" w14:paraId="07C3BB30" w14:textId="77777777">
        <w:tc>
          <w:tcPr>
            <w:tcW w:w="0" w:type="auto"/>
          </w:tcPr>
          <w:p w14:paraId="2C264E72" w14:textId="77777777" w:rsidR="00721C98" w:rsidRDefault="00AE7B71">
            <w:pPr>
              <w:pStyle w:val="CellTextValue"/>
              <w:jc w:val="left"/>
            </w:pPr>
            <w:r>
              <w:rPr>
                <w:i/>
              </w:rPr>
              <w:t>Indicative budget</w:t>
            </w:r>
          </w:p>
        </w:tc>
        <w:tc>
          <w:tcPr>
            <w:tcW w:w="0" w:type="auto"/>
          </w:tcPr>
          <w:p w14:paraId="549C35AB" w14:textId="77777777" w:rsidR="00721C98" w:rsidRDefault="00AE7B71">
            <w:pPr>
              <w:pStyle w:val="CellTextValue"/>
            </w:pPr>
            <w:r>
              <w:t>The total indicative budget for the topic is EUR 9.00 million.</w:t>
            </w:r>
          </w:p>
        </w:tc>
      </w:tr>
      <w:tr w:rsidR="00721C98" w14:paraId="11B70304" w14:textId="77777777">
        <w:tc>
          <w:tcPr>
            <w:tcW w:w="0" w:type="auto"/>
          </w:tcPr>
          <w:p w14:paraId="7AF0E0A6" w14:textId="77777777" w:rsidR="00721C98" w:rsidRDefault="00AE7B71">
            <w:pPr>
              <w:pStyle w:val="CellTextValue"/>
              <w:jc w:val="left"/>
            </w:pPr>
            <w:r>
              <w:rPr>
                <w:i/>
              </w:rPr>
              <w:t>Type of Action</w:t>
            </w:r>
          </w:p>
        </w:tc>
        <w:tc>
          <w:tcPr>
            <w:tcW w:w="0" w:type="auto"/>
          </w:tcPr>
          <w:p w14:paraId="05E733B3" w14:textId="77777777" w:rsidR="00721C98" w:rsidRDefault="00AE7B71">
            <w:pPr>
              <w:pStyle w:val="CellTextValue"/>
            </w:pPr>
            <w:r>
              <w:rPr>
                <w:color w:val="000000"/>
              </w:rPr>
              <w:t>Coordination and Support Actions</w:t>
            </w:r>
          </w:p>
        </w:tc>
      </w:tr>
      <w:tr w:rsidR="00721C98" w14:paraId="25DF745B" w14:textId="77777777">
        <w:tc>
          <w:tcPr>
            <w:tcW w:w="0" w:type="auto"/>
          </w:tcPr>
          <w:p w14:paraId="34FB71A4" w14:textId="77777777" w:rsidR="00721C98" w:rsidRDefault="00AE7B71">
            <w:pPr>
              <w:pStyle w:val="CellTextValue"/>
              <w:jc w:val="left"/>
            </w:pPr>
            <w:r>
              <w:rPr>
                <w:i/>
              </w:rPr>
              <w:t>Eligibility conditions</w:t>
            </w:r>
          </w:p>
        </w:tc>
        <w:tc>
          <w:tcPr>
            <w:tcW w:w="0" w:type="auto"/>
          </w:tcPr>
          <w:p w14:paraId="2D437B78" w14:textId="77777777" w:rsidR="00721C98" w:rsidRDefault="00AE7B71">
            <w:pPr>
              <w:pStyle w:val="CellTextValue"/>
            </w:pPr>
            <w:r>
              <w:rPr>
                <w:color w:val="000000"/>
              </w:rPr>
              <w:t>The conditions are described in General Annex B. The following exceptions apply:</w:t>
            </w:r>
          </w:p>
          <w:p w14:paraId="10E46ABC" w14:textId="77777777" w:rsidR="00721C98" w:rsidRDefault="00AE7B71">
            <w:pPr>
              <w:pStyle w:val="CellTextValue"/>
            </w:pPr>
            <w:r>
              <w:rPr>
                <w:color w:val="000000"/>
              </w:rPr>
              <w:lastRenderedPageBreak/>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039A6EDC" w14:textId="77777777">
        <w:tc>
          <w:tcPr>
            <w:tcW w:w="0" w:type="auto"/>
          </w:tcPr>
          <w:p w14:paraId="087F9A88" w14:textId="77777777" w:rsidR="00721C98" w:rsidRDefault="00AE7B71">
            <w:pPr>
              <w:pStyle w:val="CellTextValue"/>
              <w:jc w:val="left"/>
            </w:pPr>
            <w:r>
              <w:rPr>
                <w:i/>
              </w:rPr>
              <w:lastRenderedPageBreak/>
              <w:t>Procedure</w:t>
            </w:r>
          </w:p>
        </w:tc>
        <w:tc>
          <w:tcPr>
            <w:tcW w:w="0" w:type="auto"/>
          </w:tcPr>
          <w:p w14:paraId="22581439" w14:textId="77777777" w:rsidR="00721C98" w:rsidRDefault="00AE7B71">
            <w:pPr>
              <w:pStyle w:val="CellTextValue"/>
            </w:pPr>
            <w:r>
              <w:rPr>
                <w:color w:val="000000"/>
              </w:rPr>
              <w:t>The procedure is described in General Annex F. The following exceptions apply:</w:t>
            </w:r>
          </w:p>
          <w:p w14:paraId="280C86C1" w14:textId="77777777" w:rsidR="00721C98" w:rsidRDefault="00AE7B71">
            <w:pPr>
              <w:pStyle w:val="CellTextValue"/>
            </w:pPr>
            <w:r>
              <w:rPr>
                <w:color w:val="000000"/>
              </w:rPr>
              <w:t>To ensure a balanced portfolio covering different ERA policy areas, as outlined in the expected outcomes and scope, grants will be awarded to proposals not only in order of ranking, but at least also to proposals that are the highest ranked within each area, provided that proposals pass all thresholds.</w:t>
            </w:r>
          </w:p>
        </w:tc>
      </w:tr>
      <w:tr w:rsidR="00721C98" w14:paraId="4BDAEFCF" w14:textId="77777777">
        <w:tc>
          <w:tcPr>
            <w:tcW w:w="0" w:type="auto"/>
          </w:tcPr>
          <w:p w14:paraId="569BB21B" w14:textId="77777777" w:rsidR="00721C98" w:rsidRDefault="00AE7B71">
            <w:pPr>
              <w:pStyle w:val="CellTextValue"/>
              <w:jc w:val="left"/>
            </w:pPr>
            <w:r>
              <w:rPr>
                <w:i/>
              </w:rPr>
              <w:t>Legal and financial set-up of the Grant Agreements</w:t>
            </w:r>
          </w:p>
        </w:tc>
        <w:tc>
          <w:tcPr>
            <w:tcW w:w="0" w:type="auto"/>
          </w:tcPr>
          <w:p w14:paraId="2E0C9AE3" w14:textId="77777777" w:rsidR="00721C98" w:rsidRDefault="00AE7B71">
            <w:pPr>
              <w:pStyle w:val="CellTextValue"/>
            </w:pPr>
            <w:r>
              <w:rPr>
                <w:color w:val="000000"/>
              </w:rPr>
              <w:t>The rules are described in General Annex G. The following exceptions apply:</w:t>
            </w:r>
          </w:p>
          <w:p w14:paraId="349ED194"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62"/>
            </w:r>
            <w:r>
              <w:rPr>
                <w:color w:val="000000"/>
              </w:rPr>
              <w:t>.</w:t>
            </w:r>
          </w:p>
        </w:tc>
      </w:tr>
    </w:tbl>
    <w:p w14:paraId="292EB842" w14:textId="77777777" w:rsidR="00721C98" w:rsidRDefault="00721C98">
      <w:pPr>
        <w:spacing w:after="0" w:line="150" w:lineRule="auto"/>
      </w:pPr>
    </w:p>
    <w:p w14:paraId="005F9093" w14:textId="77777777" w:rsidR="00721C98" w:rsidRDefault="00AE7B71">
      <w:r>
        <w:rPr>
          <w:u w:val="single"/>
        </w:rPr>
        <w:t>Scope</w:t>
      </w:r>
      <w:r>
        <w:t xml:space="preserve">: </w:t>
      </w:r>
      <w:r>
        <w:rPr>
          <w:color w:val="000000"/>
        </w:rPr>
        <w:t>This topic aims to foster effective and sustainable structural institutional changes within R&amp;I organisations in alignment with the ERA priorities. It supports the adoption of ERA policies and practices within institutions through capacity-building activities, such as the provision of tools, resources, recommendations, training, and exchange of good practices.</w:t>
      </w:r>
    </w:p>
    <w:p w14:paraId="6D3A0DA6" w14:textId="77777777" w:rsidR="00721C98" w:rsidRDefault="00AE7B71">
      <w:r>
        <w:rPr>
          <w:color w:val="000000"/>
        </w:rPr>
        <w:t xml:space="preserve">Applicants should select and clearly identify </w:t>
      </w:r>
      <w:r>
        <w:rPr>
          <w:color w:val="000000"/>
          <w:u w:val="single"/>
        </w:rPr>
        <w:t>one</w:t>
      </w:r>
      <w:r>
        <w:rPr>
          <w:color w:val="000000"/>
        </w:rPr>
        <w:t xml:space="preserve"> area being addressed, choosing from the four areas outlined below. Each area is designed to contribute toward the implementation of an ERA policy: Area 1 – ERA Action “A coordinated framework responding to emerging challenges for ethics and integrity in R&amp;I”; Area 2 – ERA Structural Policy “Strengthening gender equality and inclusiveness in the ERA”; Area 3 and Area 4 – ERA Action “Applying equity in open science”. Proposals should develop the activities outlined for the selected area and propose additiona</w:t>
      </w:r>
      <w:r>
        <w:rPr>
          <w:color w:val="000000"/>
        </w:rPr>
        <w:t>l activities that contribute to achieving the expected outcomes.</w:t>
      </w:r>
    </w:p>
    <w:p w14:paraId="672A86A0" w14:textId="77777777" w:rsidR="00721C98" w:rsidRDefault="00AE7B71">
      <w:r>
        <w:rPr>
          <w:color w:val="000000"/>
        </w:rPr>
        <w:t>While focusing on one area, proposals are encouraged to consider synergies with other topics of this Call. For example, applicants that choose Area 3 on equity and inclusion in open science may propose links to peer-review for scientific publishing (Area 4 of this topic), non-profit open access publishing models (Area 1 of topic HORIZON-WIDERA-2026-06-ERA-01), or reproducibility in research (Area 1 of topic HORIZON-WIDERA-2026-06-ERA-08). Any such synergies should be clearly explained.</w:t>
      </w:r>
    </w:p>
    <w:p w14:paraId="657B90F3" w14:textId="77777777" w:rsidR="00721C98" w:rsidRDefault="00AE7B71">
      <w:r>
        <w:rPr>
          <w:color w:val="000000"/>
        </w:rPr>
        <w:lastRenderedPageBreak/>
        <w:t>Proposed activities should reach large communities of stakeholders, ensuring a wide geographical coverage, inclusivity, broad participation, and accessibility over the course of the project. Proposals should describe their target group in terms of its scope and size. In project activities, particular attention should be paid to promoting inclusive gender equality and addressing gender-specific challenges.</w:t>
      </w:r>
    </w:p>
    <w:p w14:paraId="50749889" w14:textId="77777777" w:rsidR="00721C98" w:rsidRDefault="00AE7B71">
      <w:r>
        <w:rPr>
          <w:color w:val="000000"/>
        </w:rPr>
        <w:t>Expected project duration is 2-3 years without prejudice to a longer duration if justified.</w:t>
      </w:r>
    </w:p>
    <w:p w14:paraId="240CACF1" w14:textId="77777777" w:rsidR="00721C98" w:rsidRDefault="00AE7B71">
      <w:r>
        <w:rPr>
          <w:b/>
          <w:color w:val="000000"/>
        </w:rPr>
        <w:t>Area 1: Capacity booster for ethics and integrity: addressing digital transition and ensuring digital inclusion for all</w:t>
      </w:r>
    </w:p>
    <w:p w14:paraId="155365FB" w14:textId="77777777" w:rsidR="00721C98" w:rsidRDefault="00AE7B71">
      <w:r>
        <w:rPr>
          <w:color w:val="000000"/>
          <w:u w:val="single"/>
        </w:rPr>
        <w:t>Expected outcome:</w:t>
      </w:r>
      <w:r>
        <w:rPr>
          <w:color w:val="000000"/>
        </w:rPr>
        <w:t xml:space="preserve"> Projects under Area 1 will deliver on the impact “A research ethics and integrity ecosystem continually enhanced with robust methodologies that encourage benefit sharing and prevent ethics dumping”, contributing to the ERA Action “A coordinated framework responding to emerging challenges for ethics and integrity in R&amp;I”. Project results are expected to contribute to all of the following expected outcomes:</w:t>
      </w:r>
    </w:p>
    <w:p w14:paraId="3B7C0C26" w14:textId="77777777" w:rsidR="00721C98" w:rsidRDefault="00AE7B71" w:rsidP="00AE7B71">
      <w:pPr>
        <w:pStyle w:val="ListParagraph"/>
        <w:numPr>
          <w:ilvl w:val="0"/>
          <w:numId w:val="40"/>
        </w:numPr>
      </w:pPr>
      <w:r>
        <w:rPr>
          <w:color w:val="000000"/>
        </w:rPr>
        <w:t>A reinforced institutional ethics and integrity framework that supports researchers and ethics and integrity bodies in addressing challenges related to AI and the digitalisation of research, ensuring a high level of protection for children, adolescents, seniors, as well as effective mitigation of new digital vulnerabilities;</w:t>
      </w:r>
    </w:p>
    <w:p w14:paraId="20EAEFF7" w14:textId="77777777" w:rsidR="00721C98" w:rsidRDefault="00AE7B71" w:rsidP="00AE7B71">
      <w:pPr>
        <w:pStyle w:val="ListParagraph"/>
        <w:numPr>
          <w:ilvl w:val="0"/>
          <w:numId w:val="40"/>
        </w:numPr>
      </w:pPr>
      <w:r>
        <w:rPr>
          <w:color w:val="000000"/>
        </w:rPr>
        <w:t>Establishment of multidisciplinary networks, fostering responsible and ethical research in the digital domain;</w:t>
      </w:r>
    </w:p>
    <w:p w14:paraId="70048841" w14:textId="77777777" w:rsidR="00721C98" w:rsidRDefault="00AE7B71" w:rsidP="00AE7B71">
      <w:pPr>
        <w:pStyle w:val="ListParagraph"/>
        <w:numPr>
          <w:ilvl w:val="0"/>
          <w:numId w:val="40"/>
        </w:numPr>
      </w:pPr>
      <w:r>
        <w:rPr>
          <w:color w:val="000000"/>
        </w:rPr>
        <w:t>Increased awareness of the ethical challenges of digital research and the strategies needed to overcome them.</w:t>
      </w:r>
    </w:p>
    <w:p w14:paraId="78EC2849" w14:textId="77777777" w:rsidR="00721C98" w:rsidRDefault="00AE7B71">
      <w:r>
        <w:rPr>
          <w:color w:val="000000"/>
          <w:u w:val="single"/>
        </w:rPr>
        <w:t>Scope</w:t>
      </w:r>
      <w:r>
        <w:rPr>
          <w:color w:val="000000"/>
        </w:rPr>
        <w:t>: Area 1 aims to promote research ethics and integrity principles while preventing breaches in an increasingly digitalised world by developing ethical guidelines in the EU and beyond to foster institutional change. The objective is to build a robust ethics and integrity framework to help researchers address ethical challenges and prevent and/or mitigate risks of digital exclusion related to the rapid spread of AI and digitalisation in research, while protecting groups in a vulnerable situation, including ch</w:t>
      </w:r>
      <w:r>
        <w:rPr>
          <w:color w:val="000000"/>
        </w:rPr>
        <w:t>ildren.</w:t>
      </w:r>
    </w:p>
    <w:p w14:paraId="16D27055" w14:textId="77777777" w:rsidR="00721C98" w:rsidRDefault="00AE7B71">
      <w:r>
        <w:rPr>
          <w:color w:val="000000"/>
        </w:rPr>
        <w:t>Proposals should build on the results of relevant past or ongoing projects at European and/or national level</w:t>
      </w:r>
      <w:r>
        <w:rPr>
          <w:vertAlign w:val="superscript"/>
        </w:rPr>
        <w:footnoteReference w:id="63"/>
      </w:r>
      <w:r>
        <w:rPr>
          <w:color w:val="000000"/>
        </w:rPr>
        <w:t xml:space="preserve">. Structured cooperation with the </w:t>
      </w:r>
      <w:hyperlink r:id="rId12">
        <w:r w:rsidR="00721C98">
          <w:rPr>
            <w:szCs w:val="24"/>
            <w:u w:val="single"/>
          </w:rPr>
          <w:t>Embassy of Good Science</w:t>
        </w:r>
      </w:hyperlink>
      <w:r>
        <w:rPr>
          <w:color w:val="000000"/>
        </w:rPr>
        <w:t xml:space="preserve"> and relevant European networks should be included</w:t>
      </w:r>
      <w:r>
        <w:rPr>
          <w:vertAlign w:val="superscript"/>
        </w:rPr>
        <w:footnoteReference w:id="64"/>
      </w:r>
      <w:r>
        <w:rPr>
          <w:color w:val="000000"/>
        </w:rPr>
        <w:t xml:space="preserve">. Project activities should target researchers, research integrity/ethics committees, European networks in research ethics, research management/integrity offices, ethics officers in research performing organisations, as well as </w:t>
      </w:r>
      <w:r>
        <w:rPr>
          <w:color w:val="000000"/>
        </w:rPr>
        <w:lastRenderedPageBreak/>
        <w:t>policymakers. To achieve the expected outcomes, proposals should address the activities outlined below and propose any additional, complementary activities:</w:t>
      </w:r>
    </w:p>
    <w:p w14:paraId="222C3171" w14:textId="77777777" w:rsidR="00721C98" w:rsidRDefault="00AE7B71" w:rsidP="00AE7B71">
      <w:pPr>
        <w:pStyle w:val="ListParagraph"/>
        <w:numPr>
          <w:ilvl w:val="0"/>
          <w:numId w:val="41"/>
        </w:numPr>
      </w:pPr>
      <w:r>
        <w:rPr>
          <w:color w:val="000000"/>
        </w:rPr>
        <w:t>Develop an institutional ethics and integrity framework based on standard operating procedures and operational guidance;</w:t>
      </w:r>
    </w:p>
    <w:p w14:paraId="1471773F" w14:textId="77777777" w:rsidR="00721C98" w:rsidRDefault="00AE7B71" w:rsidP="00AE7B71">
      <w:pPr>
        <w:pStyle w:val="ListParagraph"/>
        <w:numPr>
          <w:ilvl w:val="0"/>
          <w:numId w:val="41"/>
        </w:numPr>
      </w:pPr>
      <w:r>
        <w:rPr>
          <w:color w:val="000000"/>
        </w:rPr>
        <w:t>Develop training programmes for researchers, ethics experts, and local ethics bodies/committees to safeguard responsible and trustworthy research in a digital context;</w:t>
      </w:r>
    </w:p>
    <w:p w14:paraId="5FF87265" w14:textId="77777777" w:rsidR="00721C98" w:rsidRDefault="00AE7B71" w:rsidP="00AE7B71">
      <w:pPr>
        <w:pStyle w:val="ListParagraph"/>
        <w:numPr>
          <w:ilvl w:val="0"/>
          <w:numId w:val="41"/>
        </w:numPr>
      </w:pPr>
      <w:r>
        <w:rPr>
          <w:color w:val="000000"/>
        </w:rPr>
        <w:t>Conduct targeted communication and dissemination actions on ethical challenges in the digital domain in order to build understanding among researchers, developers, and the broader public about risks, and to promote responsible innovation and commitment to the European Charter for Researchers, through activities such as workshops, surveys, public communication campaigns, and tailored ethics dialogues.</w:t>
      </w:r>
    </w:p>
    <w:p w14:paraId="5949639B" w14:textId="77777777" w:rsidR="00721C98" w:rsidRDefault="00AE7B71">
      <w:r>
        <w:rPr>
          <w:b/>
          <w:color w:val="000000"/>
        </w:rPr>
        <w:t xml:space="preserve">Area 2: Mutual learning and mentoring for the implementation, monitoring and evaluation of inclusive gender equality plans </w:t>
      </w:r>
    </w:p>
    <w:p w14:paraId="6F7F261F" w14:textId="77777777" w:rsidR="00721C98" w:rsidRDefault="00AE7B71">
      <w:r>
        <w:rPr>
          <w:color w:val="000000"/>
          <w:u w:val="single"/>
        </w:rPr>
        <w:t>Expected outcome:</w:t>
      </w:r>
      <w:r>
        <w:rPr>
          <w:color w:val="000000"/>
        </w:rPr>
        <w:t xml:space="preserve"> Proposals under Area 2 will deliver on the impact “Enhanced gender equality and inclusiveness, leading to research excellence and more innovative, socially relevant, and economically impactful outcomes;”, contributing to the ERA Structural Policy “Strengthening gender equality and inclusiveness in the ERA”. Project results are expected to contribute to all of the following expected outcomes:</w:t>
      </w:r>
    </w:p>
    <w:p w14:paraId="7BE653EA" w14:textId="77777777" w:rsidR="00721C98" w:rsidRDefault="00AE7B71" w:rsidP="00AE7B71">
      <w:pPr>
        <w:pStyle w:val="ListParagraph"/>
        <w:numPr>
          <w:ilvl w:val="0"/>
          <w:numId w:val="42"/>
        </w:numPr>
      </w:pPr>
      <w:r>
        <w:rPr>
          <w:color w:val="000000"/>
        </w:rPr>
        <w:t>Increased capacity of R&amp;I organisations to design, implement, monitor and evaluate inclusive gender equality plans (GEPs) through the availability of new or updated methods, guidance and tools;</w:t>
      </w:r>
    </w:p>
    <w:p w14:paraId="4E2E447F" w14:textId="77777777" w:rsidR="00721C98" w:rsidRDefault="00AE7B71" w:rsidP="00AE7B71">
      <w:pPr>
        <w:pStyle w:val="ListParagraph"/>
        <w:numPr>
          <w:ilvl w:val="0"/>
          <w:numId w:val="42"/>
        </w:numPr>
      </w:pPr>
      <w:r>
        <w:rPr>
          <w:color w:val="000000"/>
        </w:rPr>
        <w:t>Increased uptake, quality and effectiveness of inclusive GEPs and policies in organisations that are less advanced in their implementation, monitoring and evaluation.</w:t>
      </w:r>
    </w:p>
    <w:p w14:paraId="6006AC27" w14:textId="77777777" w:rsidR="00721C98" w:rsidRDefault="00AE7B71">
      <w:r>
        <w:rPr>
          <w:color w:val="000000"/>
          <w:u w:val="single"/>
        </w:rPr>
        <w:t>Scope:</w:t>
      </w:r>
      <w:r>
        <w:rPr>
          <w:color w:val="000000"/>
        </w:rPr>
        <w:t xml:space="preserve"> Area 2 will support the implementation, monitoring, and evaluation of inclusive GEPs through a peer-mentoring scheme, matching organisations and teams with a strong track record in developing and implementing inclusive GEPs with those that need guidance, particularly from – but not limited to – countries classified as emerging or moderate innovators by the </w:t>
      </w:r>
      <w:hyperlink r:id="rId13" w:anchor="european-innovation-scoreboard-2024">
        <w:r w:rsidR="00721C98">
          <w:rPr>
            <w:szCs w:val="24"/>
            <w:u w:val="single"/>
          </w:rPr>
          <w:t>EU Innovation Scoreboard</w:t>
        </w:r>
      </w:hyperlink>
      <w:r>
        <w:rPr>
          <w:color w:val="000000"/>
        </w:rPr>
        <w:t>.</w:t>
      </w:r>
    </w:p>
    <w:p w14:paraId="7B074335" w14:textId="77777777" w:rsidR="00721C98" w:rsidRDefault="00AE7B71">
      <w:r>
        <w:rPr>
          <w:color w:val="000000"/>
        </w:rPr>
        <w:t>Project activities should target research performing organisations, higher education institutions, and public bodies and build on existing knowledge, expertise, and tools</w:t>
      </w:r>
      <w:r>
        <w:rPr>
          <w:vertAlign w:val="superscript"/>
        </w:rPr>
        <w:footnoteReference w:id="65"/>
      </w:r>
      <w:r>
        <w:rPr>
          <w:color w:val="000000"/>
        </w:rPr>
        <w:t>. Project consortia are expected to justify their collaboration based on their alignment in terms of common challenges, similar contexts and/or specific thematic focus. Proposals should address the activities outlined below and propose any additional, complementary activities:</w:t>
      </w:r>
    </w:p>
    <w:p w14:paraId="60AA4FCC" w14:textId="77777777" w:rsidR="00721C98" w:rsidRDefault="00AE7B71" w:rsidP="00AE7B71">
      <w:pPr>
        <w:pStyle w:val="ListParagraph"/>
        <w:numPr>
          <w:ilvl w:val="0"/>
          <w:numId w:val="43"/>
        </w:numPr>
      </w:pPr>
      <w:r>
        <w:rPr>
          <w:color w:val="000000"/>
        </w:rPr>
        <w:lastRenderedPageBreak/>
        <w:t>Implement actions in organisations that are less advanced in the implementation, monitoring and evaluation of inclusive GEPs, guided by an intersectional approach, targeting underrepresented or socially disadvantaged groups, integrating gender dimension into R&amp;I content, ensuring thorough monitoring and evaluation of inclusive GEPs, and other measures;</w:t>
      </w:r>
    </w:p>
    <w:p w14:paraId="00C43595" w14:textId="77777777" w:rsidR="00721C98" w:rsidRDefault="00AE7B71" w:rsidP="00AE7B71">
      <w:pPr>
        <w:pStyle w:val="ListParagraph"/>
        <w:numPr>
          <w:ilvl w:val="0"/>
          <w:numId w:val="43"/>
        </w:numPr>
      </w:pPr>
      <w:r>
        <w:rPr>
          <w:color w:val="000000"/>
        </w:rPr>
        <w:t>Exchange good practices and materials tailored to individual organisations’ needs for the development, monitoring and evaluation of inclusive GEPs;</w:t>
      </w:r>
    </w:p>
    <w:p w14:paraId="02483AE6" w14:textId="77777777" w:rsidR="00721C98" w:rsidRDefault="00AE7B71" w:rsidP="00AE7B71">
      <w:pPr>
        <w:pStyle w:val="ListParagraph"/>
        <w:numPr>
          <w:ilvl w:val="0"/>
          <w:numId w:val="43"/>
        </w:numPr>
      </w:pPr>
      <w:r>
        <w:rPr>
          <w:color w:val="000000"/>
        </w:rPr>
        <w:t>Build capacities through activities such as on-site visits, training, workshops, and networking with relevant projects, initiatives and stakeholders in the area of gender equality and inclusiveness beyond the project consortia.</w:t>
      </w:r>
    </w:p>
    <w:p w14:paraId="28082BA6" w14:textId="77777777" w:rsidR="00721C98" w:rsidRDefault="00AE7B71">
      <w:r>
        <w:rPr>
          <w:b/>
          <w:color w:val="000000"/>
        </w:rPr>
        <w:t>Area 3: Address equity and inclusion in capacities for open science</w:t>
      </w:r>
    </w:p>
    <w:p w14:paraId="5C7F5714" w14:textId="77777777" w:rsidR="00721C98" w:rsidRDefault="00AE7B71">
      <w:r>
        <w:rPr>
          <w:color w:val="000000"/>
          <w:u w:val="single"/>
        </w:rPr>
        <w:t>Expected outcome:</w:t>
      </w:r>
      <w:r>
        <w:rPr>
          <w:color w:val="000000"/>
        </w:rPr>
        <w:t xml:space="preserve"> Proposals under Area 3 will deliver on the impact “A more open, equitable and inclusive research and innovation ecosystem”, contributing to the ERA Action “Applying equity in open science”. Project results are expected to contribute to all of the following expected outcomes:</w:t>
      </w:r>
    </w:p>
    <w:p w14:paraId="1C3C8EAB" w14:textId="77777777" w:rsidR="00721C98" w:rsidRDefault="00AE7B71" w:rsidP="00AE7B71">
      <w:pPr>
        <w:pStyle w:val="ListParagraph"/>
        <w:numPr>
          <w:ilvl w:val="0"/>
          <w:numId w:val="44"/>
        </w:numPr>
      </w:pPr>
      <w:r>
        <w:rPr>
          <w:color w:val="000000"/>
        </w:rPr>
        <w:t>Consolidated evidence base on equity and inclusion in open science;</w:t>
      </w:r>
    </w:p>
    <w:p w14:paraId="5A3A0398" w14:textId="77777777" w:rsidR="00721C98" w:rsidRDefault="00AE7B71" w:rsidP="00AE7B71">
      <w:pPr>
        <w:pStyle w:val="ListParagraph"/>
        <w:numPr>
          <w:ilvl w:val="0"/>
          <w:numId w:val="44"/>
        </w:numPr>
      </w:pPr>
      <w:r>
        <w:rPr>
          <w:color w:val="000000"/>
        </w:rPr>
        <w:t>Support for researchers with diverse profiles and needs in adopting open science practices, including more equitable access to open science infrastructures;</w:t>
      </w:r>
    </w:p>
    <w:p w14:paraId="7EA8D760" w14:textId="77777777" w:rsidR="00721C98" w:rsidRDefault="00AE7B71" w:rsidP="00AE7B71">
      <w:pPr>
        <w:pStyle w:val="ListParagraph"/>
        <w:numPr>
          <w:ilvl w:val="0"/>
          <w:numId w:val="44"/>
        </w:numPr>
      </w:pPr>
      <w:r>
        <w:rPr>
          <w:color w:val="000000"/>
        </w:rPr>
        <w:t>Training material for the practice of open science addressing specific equity needs and profiles.</w:t>
      </w:r>
    </w:p>
    <w:p w14:paraId="2E5B7310" w14:textId="77777777" w:rsidR="00721C98" w:rsidRDefault="00AE7B71">
      <w:r>
        <w:rPr>
          <w:color w:val="000000"/>
          <w:u w:val="single"/>
        </w:rPr>
        <w:t>Scope:</w:t>
      </w:r>
      <w:r>
        <w:rPr>
          <w:color w:val="000000"/>
        </w:rPr>
        <w:t xml:space="preserve"> Area 3 aims to generate actionable recommendations and toolkits in order to support capacities for open science by prioritising an equitable contribution to, and benefits from, open science through policy and institutional practice.</w:t>
      </w:r>
    </w:p>
    <w:p w14:paraId="055A09F4" w14:textId="77777777" w:rsidR="00721C98" w:rsidRDefault="00AE7B71">
      <w:r>
        <w:rPr>
          <w:color w:val="000000"/>
        </w:rPr>
        <w:t>Proposals should build on any past or ongoing relevant initiatives and projects at European or national level</w:t>
      </w:r>
      <w:r>
        <w:rPr>
          <w:vertAlign w:val="superscript"/>
        </w:rPr>
        <w:footnoteReference w:id="66"/>
      </w:r>
      <w:r>
        <w:rPr>
          <w:color w:val="000000"/>
        </w:rPr>
        <w:t>. Project activities should involve actors such as research performing and funding organisations, research assessment agencies, research infrastructures, universities, researchers, innovators, and policymakers. To achieve the expected outcomes, proposals should address the activities outlined below and propose any additional, complementary activities:</w:t>
      </w:r>
    </w:p>
    <w:p w14:paraId="6A3C80A6" w14:textId="77777777" w:rsidR="00721C98" w:rsidRDefault="00AE7B71" w:rsidP="00AE7B71">
      <w:pPr>
        <w:pStyle w:val="ListParagraph"/>
        <w:numPr>
          <w:ilvl w:val="0"/>
          <w:numId w:val="45"/>
        </w:numPr>
      </w:pPr>
      <w:r>
        <w:rPr>
          <w:color w:val="000000"/>
        </w:rPr>
        <w:t>Take stock of equity and inclusion barriers in relation to open science practices and access to open science infrastructures, notably in connection to scientists’ personal circumstances (like career stage, employment stability and contract type, financial circumstances, country of origin or residence, and factors such as gender, ethnicity);</w:t>
      </w:r>
    </w:p>
    <w:p w14:paraId="2E20442F" w14:textId="77777777" w:rsidR="00721C98" w:rsidRDefault="00AE7B71" w:rsidP="00AE7B71">
      <w:pPr>
        <w:pStyle w:val="ListParagraph"/>
        <w:numPr>
          <w:ilvl w:val="0"/>
          <w:numId w:val="45"/>
        </w:numPr>
      </w:pPr>
      <w:r>
        <w:rPr>
          <w:color w:val="000000"/>
        </w:rPr>
        <w:lastRenderedPageBreak/>
        <w:t>Develop and disseminate shared tools, training methods, and services tailored to equity needs, thereby boosting open science skills and capacities in collaboration with stakeholders;</w:t>
      </w:r>
    </w:p>
    <w:p w14:paraId="26E49DC9" w14:textId="77777777" w:rsidR="00721C98" w:rsidRDefault="00AE7B71" w:rsidP="00AE7B71">
      <w:pPr>
        <w:pStyle w:val="ListParagraph"/>
        <w:numPr>
          <w:ilvl w:val="0"/>
          <w:numId w:val="45"/>
        </w:numPr>
      </w:pPr>
      <w:r>
        <w:rPr>
          <w:color w:val="000000"/>
        </w:rPr>
        <w:t>Support the professionalisation of open science-related profiles, such as data stewards, non-profit academic editors, and non-profit academic journals' reviewers;</w:t>
      </w:r>
    </w:p>
    <w:p w14:paraId="2B85F246" w14:textId="77777777" w:rsidR="00721C98" w:rsidRDefault="00AE7B71" w:rsidP="00AE7B71">
      <w:pPr>
        <w:pStyle w:val="ListParagraph"/>
        <w:numPr>
          <w:ilvl w:val="0"/>
          <w:numId w:val="45"/>
        </w:numPr>
      </w:pPr>
      <w:r>
        <w:rPr>
          <w:color w:val="000000"/>
        </w:rPr>
        <w:t>Provide recommendations for developing a common ERA approach to equity in open science in its different practices.</w:t>
      </w:r>
    </w:p>
    <w:p w14:paraId="4CAC417E" w14:textId="77777777" w:rsidR="00721C98" w:rsidRDefault="00AE7B71">
      <w:r>
        <w:rPr>
          <w:b/>
          <w:color w:val="000000"/>
        </w:rPr>
        <w:t>Area 4: Improving quality, efficiency and equity in peer-review for scientific publishing</w:t>
      </w:r>
    </w:p>
    <w:p w14:paraId="0759655B" w14:textId="77777777" w:rsidR="00721C98" w:rsidRDefault="00AE7B71">
      <w:r>
        <w:rPr>
          <w:color w:val="000000"/>
          <w:u w:val="single"/>
        </w:rPr>
        <w:t>Expected outcome:</w:t>
      </w:r>
      <w:r>
        <w:rPr>
          <w:color w:val="000000"/>
        </w:rPr>
        <w:t xml:space="preserve"> Proposals under Area 4 will deliver on the impact “A more open, equitable and inclusive research and innovation ecosystem”, contributing to the ERA Action “Applying equity in open science”. Project results are expected to contribute to all of the following expected outcomes:</w:t>
      </w:r>
    </w:p>
    <w:p w14:paraId="0B91FABA" w14:textId="77777777" w:rsidR="00721C98" w:rsidRDefault="00AE7B71" w:rsidP="00AE7B71">
      <w:pPr>
        <w:pStyle w:val="ListParagraph"/>
        <w:numPr>
          <w:ilvl w:val="0"/>
          <w:numId w:val="46"/>
        </w:numPr>
      </w:pPr>
      <w:r>
        <w:rPr>
          <w:color w:val="000000"/>
        </w:rPr>
        <w:t>Improved quality and increased transparency, recognition, equity, and non-bias in the peer-review process and editorial review system in different disciplines among publishers (including non-profit, institutional, scholarly societies, and commercial publishers) and editors/editorial boards;</w:t>
      </w:r>
    </w:p>
    <w:p w14:paraId="7A4C5A8E" w14:textId="77777777" w:rsidR="00721C98" w:rsidRDefault="00AE7B71" w:rsidP="00AE7B71">
      <w:pPr>
        <w:pStyle w:val="ListParagraph"/>
        <w:numPr>
          <w:ilvl w:val="0"/>
          <w:numId w:val="46"/>
        </w:numPr>
      </w:pPr>
      <w:r>
        <w:rPr>
          <w:color w:val="000000"/>
        </w:rPr>
        <w:t>Increased awareness among researchers, research performing organisations, scholarly societies, editors/editorial boards and publishers, of the need for a transparent and equitable peer review process as an integral part of high-quality research.</w:t>
      </w:r>
    </w:p>
    <w:p w14:paraId="5E3AE123" w14:textId="77777777" w:rsidR="00721C98" w:rsidRDefault="00AE7B71">
      <w:r>
        <w:rPr>
          <w:color w:val="000000"/>
          <w:u w:val="single"/>
        </w:rPr>
        <w:t>Scope</w:t>
      </w:r>
      <w:r>
        <w:rPr>
          <w:color w:val="000000"/>
        </w:rPr>
        <w:t>: Peer-review has recently come under scrutiny and is being reimagined to better serve scientific integrity, openness, and fairness. To this end, Area 4 aims to contribute towards enhancing its various aspects and to explore different peer-review models.</w:t>
      </w:r>
    </w:p>
    <w:p w14:paraId="13DBD6C1" w14:textId="77777777" w:rsidR="00721C98" w:rsidRDefault="00AE7B71">
      <w:r>
        <w:rPr>
          <w:color w:val="000000"/>
        </w:rPr>
        <w:t xml:space="preserve">Proposals should cover disciplines from at least two of the six </w:t>
      </w:r>
      <w:hyperlink r:id="rId14">
        <w:r w:rsidR="00721C98">
          <w:rPr>
            <w:szCs w:val="24"/>
            <w:u w:val="single"/>
          </w:rPr>
          <w:t>Frascati</w:t>
        </w:r>
      </w:hyperlink>
      <w:r>
        <w:rPr>
          <w:vertAlign w:val="superscript"/>
        </w:rPr>
        <w:footnoteReference w:id="67"/>
      </w:r>
      <w:r>
        <w:rPr>
          <w:color w:val="000000"/>
        </w:rPr>
        <w:t xml:space="preserve"> fields of science and technology as well as consider the emerging challenge of AI in peer-review. Project activities should involve actors such as editors/editorial boards, scholarly societies, research performing organisations, and national research evaluation agencies. To achieve the expected outcomes, proposals should address the activities outlined below and propose any additional, complementary activities:</w:t>
      </w:r>
    </w:p>
    <w:p w14:paraId="73CA7830" w14:textId="77777777" w:rsidR="00721C98" w:rsidRDefault="00AE7B71" w:rsidP="00AE7B71">
      <w:pPr>
        <w:pStyle w:val="ListParagraph"/>
        <w:numPr>
          <w:ilvl w:val="0"/>
          <w:numId w:val="47"/>
        </w:numPr>
      </w:pPr>
      <w:r>
        <w:rPr>
          <w:color w:val="000000"/>
        </w:rPr>
        <w:t>Pilot policies and processes in different scientific fields that will improve the peer-review process, mindful of the challenges introduced by AI;</w:t>
      </w:r>
    </w:p>
    <w:p w14:paraId="3971AD9E" w14:textId="77777777" w:rsidR="00721C98" w:rsidRDefault="00AE7B71" w:rsidP="00AE7B71">
      <w:pPr>
        <w:pStyle w:val="ListParagraph"/>
        <w:numPr>
          <w:ilvl w:val="0"/>
          <w:numId w:val="47"/>
        </w:numPr>
      </w:pPr>
      <w:r>
        <w:rPr>
          <w:color w:val="000000"/>
        </w:rPr>
        <w:t>Draft recommendations for transitioning scholarly publishing in different scientific fields to improved, more efficient, transparent, equitable, and non-biased peer-reviewed processes;</w:t>
      </w:r>
    </w:p>
    <w:p w14:paraId="591E5AB1" w14:textId="77777777" w:rsidR="00721C98" w:rsidRDefault="00AE7B71" w:rsidP="00AE7B71">
      <w:pPr>
        <w:pStyle w:val="ListParagraph"/>
        <w:numPr>
          <w:ilvl w:val="0"/>
          <w:numId w:val="47"/>
        </w:numPr>
      </w:pPr>
      <w:r>
        <w:rPr>
          <w:color w:val="000000"/>
        </w:rPr>
        <w:lastRenderedPageBreak/>
        <w:t>Address new forms of peer-review, such as open peer-review, and innovative publishing models, including “publish-review-curate”, where the review is conducted on publicly available preprints;</w:t>
      </w:r>
    </w:p>
    <w:p w14:paraId="7C8A1F66" w14:textId="77777777" w:rsidR="00721C98" w:rsidRDefault="00AE7B71" w:rsidP="00AE7B71">
      <w:pPr>
        <w:pStyle w:val="ListParagraph"/>
        <w:numPr>
          <w:ilvl w:val="0"/>
          <w:numId w:val="47"/>
        </w:numPr>
      </w:pPr>
      <w:r>
        <w:rPr>
          <w:color w:val="000000"/>
        </w:rPr>
        <w:t>Address attitudes to and effectiveness of peer review practices in different scientific fields, considering geographic, gender, and career stage biases in the process.</w:t>
      </w:r>
    </w:p>
    <w:p w14:paraId="59E389DC" w14:textId="77777777" w:rsidR="00721C98" w:rsidRDefault="00AE7B71">
      <w:pPr>
        <w:pStyle w:val="HeadingThree"/>
      </w:pPr>
      <w:r>
        <w:t>HORIZON-WIDERA-2026-06-ERA-03: Pillar II: Strengthening ecosystems for open, ethical, and sustainable ERA</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1454EC4B" w14:textId="77777777" w:rsidTr="00DB4111">
        <w:tc>
          <w:tcPr>
            <w:tcW w:w="0" w:type="auto"/>
            <w:gridSpan w:val="2"/>
          </w:tcPr>
          <w:p w14:paraId="092C95DE" w14:textId="77777777" w:rsidR="00721C98" w:rsidRDefault="00AE7B71">
            <w:pPr>
              <w:pStyle w:val="CellTextValue"/>
            </w:pPr>
            <w:r>
              <w:rPr>
                <w:b/>
              </w:rPr>
              <w:t>Call: Enhancing the European R&amp;I system</w:t>
            </w:r>
          </w:p>
        </w:tc>
      </w:tr>
      <w:tr w:rsidR="00DB4111" w14:paraId="311998A8" w14:textId="77777777" w:rsidTr="00DB4111">
        <w:tc>
          <w:tcPr>
            <w:tcW w:w="0" w:type="auto"/>
            <w:gridSpan w:val="2"/>
          </w:tcPr>
          <w:p w14:paraId="18F9C2FA" w14:textId="77777777" w:rsidR="00721C98" w:rsidRDefault="00AE7B71">
            <w:pPr>
              <w:pStyle w:val="CellTextValue"/>
            </w:pPr>
            <w:r>
              <w:rPr>
                <w:b/>
              </w:rPr>
              <w:t>Specific conditions</w:t>
            </w:r>
          </w:p>
        </w:tc>
      </w:tr>
      <w:tr w:rsidR="00721C98" w14:paraId="34BA577D" w14:textId="77777777">
        <w:tc>
          <w:tcPr>
            <w:tcW w:w="0" w:type="auto"/>
          </w:tcPr>
          <w:p w14:paraId="3E022F6F" w14:textId="77777777" w:rsidR="00721C98" w:rsidRDefault="00AE7B71">
            <w:pPr>
              <w:pStyle w:val="CellTextValue"/>
              <w:jc w:val="left"/>
            </w:pPr>
            <w:r>
              <w:rPr>
                <w:i/>
              </w:rPr>
              <w:t>Expected EU contribution per project</w:t>
            </w:r>
          </w:p>
        </w:tc>
        <w:tc>
          <w:tcPr>
            <w:tcW w:w="0" w:type="auto"/>
          </w:tcPr>
          <w:p w14:paraId="74E29D52" w14:textId="77777777" w:rsidR="00721C98" w:rsidRDefault="00AE7B71">
            <w:pPr>
              <w:pStyle w:val="CellTextValue"/>
            </w:pPr>
            <w:r>
              <w:t>The Commission estimates that an EU contribution of around EUR 2.00 million would allow these outcomes to be addressed appropriately. Nonetheless, this does not preclude submission and selection of a proposal requesting different amounts.</w:t>
            </w:r>
          </w:p>
        </w:tc>
      </w:tr>
      <w:tr w:rsidR="00721C98" w14:paraId="722A80C4" w14:textId="77777777">
        <w:tc>
          <w:tcPr>
            <w:tcW w:w="0" w:type="auto"/>
          </w:tcPr>
          <w:p w14:paraId="6BBB2442" w14:textId="77777777" w:rsidR="00721C98" w:rsidRDefault="00AE7B71">
            <w:pPr>
              <w:pStyle w:val="CellTextValue"/>
              <w:jc w:val="left"/>
            </w:pPr>
            <w:r>
              <w:rPr>
                <w:i/>
              </w:rPr>
              <w:t>Indicative budget</w:t>
            </w:r>
          </w:p>
        </w:tc>
        <w:tc>
          <w:tcPr>
            <w:tcW w:w="0" w:type="auto"/>
          </w:tcPr>
          <w:p w14:paraId="056AED9E" w14:textId="77777777" w:rsidR="00721C98" w:rsidRDefault="00AE7B71">
            <w:pPr>
              <w:pStyle w:val="CellTextValue"/>
            </w:pPr>
            <w:r>
              <w:t>The total indicative budget for the topic is EUR 6.00 million.</w:t>
            </w:r>
          </w:p>
        </w:tc>
      </w:tr>
      <w:tr w:rsidR="00721C98" w14:paraId="634B2F5F" w14:textId="77777777">
        <w:tc>
          <w:tcPr>
            <w:tcW w:w="0" w:type="auto"/>
          </w:tcPr>
          <w:p w14:paraId="639ACC26" w14:textId="77777777" w:rsidR="00721C98" w:rsidRDefault="00AE7B71">
            <w:pPr>
              <w:pStyle w:val="CellTextValue"/>
              <w:jc w:val="left"/>
            </w:pPr>
            <w:r>
              <w:rPr>
                <w:i/>
              </w:rPr>
              <w:t>Type of Action</w:t>
            </w:r>
          </w:p>
        </w:tc>
        <w:tc>
          <w:tcPr>
            <w:tcW w:w="0" w:type="auto"/>
          </w:tcPr>
          <w:p w14:paraId="4496ABD7" w14:textId="77777777" w:rsidR="00721C98" w:rsidRDefault="00AE7B71">
            <w:pPr>
              <w:pStyle w:val="CellTextValue"/>
            </w:pPr>
            <w:r>
              <w:rPr>
                <w:color w:val="000000"/>
              </w:rPr>
              <w:t>Coordination and Support Actions</w:t>
            </w:r>
          </w:p>
        </w:tc>
      </w:tr>
      <w:tr w:rsidR="00721C98" w14:paraId="48029716" w14:textId="77777777">
        <w:tc>
          <w:tcPr>
            <w:tcW w:w="0" w:type="auto"/>
          </w:tcPr>
          <w:p w14:paraId="5665284D" w14:textId="77777777" w:rsidR="00721C98" w:rsidRDefault="00AE7B71">
            <w:pPr>
              <w:pStyle w:val="CellTextValue"/>
              <w:jc w:val="left"/>
            </w:pPr>
            <w:r>
              <w:rPr>
                <w:i/>
              </w:rPr>
              <w:t>Eligibility conditions</w:t>
            </w:r>
          </w:p>
        </w:tc>
        <w:tc>
          <w:tcPr>
            <w:tcW w:w="0" w:type="auto"/>
          </w:tcPr>
          <w:p w14:paraId="01C7F52F" w14:textId="77777777" w:rsidR="00721C98" w:rsidRDefault="00AE7B71">
            <w:pPr>
              <w:pStyle w:val="CellTextValue"/>
            </w:pPr>
            <w:r>
              <w:rPr>
                <w:color w:val="000000"/>
              </w:rPr>
              <w:t>The conditions are described in General Annex B. The following exceptions apply:</w:t>
            </w:r>
          </w:p>
          <w:p w14:paraId="6F15AC11"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p w14:paraId="2D76F786" w14:textId="77777777" w:rsidR="00721C98" w:rsidRDefault="00AE7B71">
            <w:pPr>
              <w:pStyle w:val="CellTextValue"/>
            </w:pPr>
            <w:r>
              <w:rPr>
                <w:color w:val="000000"/>
              </w:rPr>
              <w:t>Legal entities established in non-associated third countries may exceptionally participate in this coordination and support action as an associated partner.</w:t>
            </w:r>
          </w:p>
        </w:tc>
      </w:tr>
      <w:tr w:rsidR="00721C98" w14:paraId="094642A9" w14:textId="77777777">
        <w:tc>
          <w:tcPr>
            <w:tcW w:w="0" w:type="auto"/>
          </w:tcPr>
          <w:p w14:paraId="266B04CE" w14:textId="77777777" w:rsidR="00721C98" w:rsidRDefault="00AE7B71">
            <w:pPr>
              <w:pStyle w:val="CellTextValue"/>
              <w:jc w:val="left"/>
            </w:pPr>
            <w:r>
              <w:rPr>
                <w:i/>
              </w:rPr>
              <w:t>Procedure</w:t>
            </w:r>
          </w:p>
        </w:tc>
        <w:tc>
          <w:tcPr>
            <w:tcW w:w="0" w:type="auto"/>
          </w:tcPr>
          <w:p w14:paraId="72A41632" w14:textId="77777777" w:rsidR="00721C98" w:rsidRDefault="00AE7B71">
            <w:pPr>
              <w:pStyle w:val="CellTextValue"/>
            </w:pPr>
            <w:r>
              <w:rPr>
                <w:color w:val="000000"/>
              </w:rPr>
              <w:t>The procedure is described in General Annex F. The following exceptions apply:</w:t>
            </w:r>
          </w:p>
          <w:p w14:paraId="1BF46152" w14:textId="77777777" w:rsidR="00721C98" w:rsidRDefault="00AE7B71">
            <w:pPr>
              <w:pStyle w:val="CellTextValue"/>
            </w:pPr>
            <w:r>
              <w:rPr>
                <w:color w:val="000000"/>
              </w:rPr>
              <w:t>To ensure a balanced portfolio covering different ERA policy areas, as outlined in the expected outcomes and scope, grants will be awarded to proposals not only in order of ranking, but at least also to proposals that are the highest ranked within each area, provided that proposals pass all thresholds.</w:t>
            </w:r>
          </w:p>
        </w:tc>
      </w:tr>
      <w:tr w:rsidR="00721C98" w14:paraId="24F9758C" w14:textId="77777777">
        <w:tc>
          <w:tcPr>
            <w:tcW w:w="0" w:type="auto"/>
          </w:tcPr>
          <w:p w14:paraId="677805E3" w14:textId="77777777" w:rsidR="00721C98" w:rsidRDefault="00AE7B71">
            <w:pPr>
              <w:pStyle w:val="CellTextValue"/>
              <w:jc w:val="left"/>
            </w:pPr>
            <w:r>
              <w:rPr>
                <w:i/>
              </w:rPr>
              <w:t>Legal and financial set-up of the Grant Agreements</w:t>
            </w:r>
          </w:p>
        </w:tc>
        <w:tc>
          <w:tcPr>
            <w:tcW w:w="0" w:type="auto"/>
          </w:tcPr>
          <w:p w14:paraId="0286D406" w14:textId="77777777" w:rsidR="00721C98" w:rsidRDefault="00AE7B71">
            <w:pPr>
              <w:pStyle w:val="CellTextValue"/>
            </w:pPr>
            <w:r>
              <w:rPr>
                <w:color w:val="000000"/>
              </w:rPr>
              <w:t>The rules are described in General Annex G. The following exceptions apply:</w:t>
            </w:r>
          </w:p>
          <w:p w14:paraId="098095A4"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w:t>
            </w:r>
            <w:r>
              <w:rPr>
                <w:color w:val="000000"/>
              </w:rPr>
              <w:lastRenderedPageBreak/>
              <w:t xml:space="preserve">Research and Innovation (2021-2027) – and in actions under the Research and Training Programme of the European Atomic Energy Community (2021-2025) </w:t>
            </w:r>
            <w:r>
              <w:rPr>
                <w:vertAlign w:val="superscript"/>
              </w:rPr>
              <w:footnoteReference w:id="68"/>
            </w:r>
            <w:r>
              <w:rPr>
                <w:color w:val="000000"/>
              </w:rPr>
              <w:t>.</w:t>
            </w:r>
          </w:p>
        </w:tc>
      </w:tr>
    </w:tbl>
    <w:p w14:paraId="111F327A" w14:textId="77777777" w:rsidR="00721C98" w:rsidRDefault="00721C98">
      <w:pPr>
        <w:spacing w:after="0" w:line="150" w:lineRule="auto"/>
      </w:pPr>
    </w:p>
    <w:p w14:paraId="74E02681" w14:textId="77777777" w:rsidR="00721C98" w:rsidRDefault="00AE7B71">
      <w:r>
        <w:rPr>
          <w:u w:val="single"/>
        </w:rPr>
        <w:t>Scope</w:t>
      </w:r>
      <w:r>
        <w:t xml:space="preserve">: </w:t>
      </w:r>
      <w:r>
        <w:rPr>
          <w:color w:val="000000"/>
        </w:rPr>
        <w:t>This topic aims to promote the adoption of ERA policies and practices, contributing to sustainable ecosystems established around ERA priorities through enhanced cooperation, coordination and alignment. The topic helps to create new or enhance existing ecosystems through activities such as networking and cooperative action, knowledge exchange and dissemination, tools, training, and policy advice.</w:t>
      </w:r>
    </w:p>
    <w:p w14:paraId="5632238D" w14:textId="77777777" w:rsidR="00721C98" w:rsidRDefault="00AE7B71">
      <w:r>
        <w:rPr>
          <w:color w:val="000000"/>
        </w:rPr>
        <w:t xml:space="preserve">Applicants should select and clearly identify </w:t>
      </w:r>
      <w:r>
        <w:rPr>
          <w:color w:val="000000"/>
          <w:u w:val="single"/>
        </w:rPr>
        <w:t>one</w:t>
      </w:r>
      <w:r>
        <w:rPr>
          <w:color w:val="000000"/>
        </w:rPr>
        <w:t xml:space="preserve"> area being addressed, choosing from the three areas outlined below. Each area is designed to contribute toward the implementation of an ERA policy: Area 1 – ERA Action “A coordinated framework responding to emerging challenges for ethics and integrity in R&amp;I”; Area 2 – ERA Structural Policy “Enabling open science via sharing and re-use of data, including through EOSC"; Area 3 – “Green transition”, as set out in the Pact for R&amp;I in Europe. Proposals should develop the activities outlined for the selected ar</w:t>
      </w:r>
      <w:r>
        <w:rPr>
          <w:color w:val="000000"/>
        </w:rPr>
        <w:t>ea as well as propose additional activities that contribute to achieving the expected outcomes.</w:t>
      </w:r>
    </w:p>
    <w:p w14:paraId="5C8AC40B" w14:textId="77777777" w:rsidR="00721C98" w:rsidRDefault="00AE7B71">
      <w:r>
        <w:rPr>
          <w:color w:val="000000"/>
        </w:rPr>
        <w:t>Project activities should reach large communities of stakeholders, engaging also those beyond academia, ensuring a wide geographical coverage, inclusivity, broad participation, and accessibility over the course of the project. Proposals should describe the target group in terms of its scope and size. In order to achieve the expected outcomes, international cooperation is welcomed. The involvement of entities from non-associated third countries in the consortium must be clearly explained and justified.</w:t>
      </w:r>
    </w:p>
    <w:p w14:paraId="528FC272" w14:textId="77777777" w:rsidR="00721C98" w:rsidRDefault="00AE7B71">
      <w:r>
        <w:rPr>
          <w:color w:val="000000"/>
        </w:rPr>
        <w:t>In project activities, particular attention should be paid to promoting inclusive gender equality and addressing gender-specific challenges. Where relevant, proposals should consider the European Code of Conduct for Research Integrity</w:t>
      </w:r>
      <w:r>
        <w:rPr>
          <w:vertAlign w:val="superscript"/>
        </w:rPr>
        <w:footnoteReference w:id="69"/>
      </w:r>
      <w:r>
        <w:rPr>
          <w:color w:val="000000"/>
        </w:rPr>
        <w:t xml:space="preserve"> and the TRUST Code</w:t>
      </w:r>
      <w:r>
        <w:rPr>
          <w:vertAlign w:val="superscript"/>
        </w:rPr>
        <w:footnoteReference w:id="70"/>
      </w:r>
      <w:r>
        <w:rPr>
          <w:color w:val="000000"/>
        </w:rPr>
        <w:t>.</w:t>
      </w:r>
    </w:p>
    <w:p w14:paraId="70237131" w14:textId="77777777" w:rsidR="00721C98" w:rsidRDefault="00AE7B71">
      <w:r>
        <w:rPr>
          <w:color w:val="000000"/>
        </w:rPr>
        <w:t>Applicants must demonstrate in their proposal a viable plan for achieving self-sustainability after the end of the grant agreement, with a clear description of a minimum set of activities that will be maintained by the consortium with own or other resources.</w:t>
      </w:r>
    </w:p>
    <w:p w14:paraId="1ABA6694" w14:textId="77777777" w:rsidR="00721C98" w:rsidRDefault="00AE7B71">
      <w:r>
        <w:rPr>
          <w:color w:val="000000"/>
        </w:rPr>
        <w:t>Expected project duration is up to 3 years without prejudice to a longer duration if justified.</w:t>
      </w:r>
    </w:p>
    <w:p w14:paraId="7BFE0651" w14:textId="77777777" w:rsidR="00721C98" w:rsidRDefault="00AE7B71">
      <w:r>
        <w:rPr>
          <w:b/>
          <w:color w:val="000000"/>
        </w:rPr>
        <w:t>Area 1: Equitable, sustainable, and ethical research</w:t>
      </w:r>
    </w:p>
    <w:p w14:paraId="5B45475D" w14:textId="77777777" w:rsidR="00721C98" w:rsidRDefault="00AE7B71">
      <w:r>
        <w:rPr>
          <w:color w:val="000000"/>
          <w:u w:val="single"/>
        </w:rPr>
        <w:t>Expected outcome:</w:t>
      </w:r>
      <w:r>
        <w:rPr>
          <w:color w:val="000000"/>
        </w:rPr>
        <w:t xml:space="preserve"> Proposals under Area 1 will deliver on the impact “A research ethics and integrity ecosystem continuously enhanced with robust methodologies and knowledge that </w:t>
      </w:r>
      <w:r>
        <w:rPr>
          <w:color w:val="000000"/>
        </w:rPr>
        <w:lastRenderedPageBreak/>
        <w:t>encourage benefit sharing and prevent ethics dumping”, contributing to the ERA Action “A coordinated framework responding to emerging challenges for ethics and integrity in R&amp;I”. Project results are expected to contribute to all of the following expected outcomes:</w:t>
      </w:r>
    </w:p>
    <w:p w14:paraId="0BCF9108" w14:textId="77777777" w:rsidR="00721C98" w:rsidRDefault="00AE7B71" w:rsidP="00AE7B71">
      <w:pPr>
        <w:pStyle w:val="ListParagraph"/>
        <w:numPr>
          <w:ilvl w:val="0"/>
          <w:numId w:val="48"/>
        </w:numPr>
      </w:pPr>
      <w:r>
        <w:rPr>
          <w:color w:val="000000"/>
        </w:rPr>
        <w:t>A reinforced research ethics and integrity ecosystem that supports sustainable and equitable research partnerships across lower- and high-income settings, based on the values of the TRUST Code;</w:t>
      </w:r>
    </w:p>
    <w:p w14:paraId="34FB9601" w14:textId="77777777" w:rsidR="00721C98" w:rsidRDefault="00AE7B71" w:rsidP="00AE7B71">
      <w:pPr>
        <w:pStyle w:val="ListParagraph"/>
        <w:numPr>
          <w:ilvl w:val="0"/>
          <w:numId w:val="48"/>
        </w:numPr>
      </w:pPr>
      <w:r>
        <w:rPr>
          <w:color w:val="000000"/>
        </w:rPr>
        <w:t>Enhanced expertise in benefit sharing and practical and effective methods to prevent ‘ethics dumping’;</w:t>
      </w:r>
    </w:p>
    <w:p w14:paraId="32B683C0" w14:textId="77777777" w:rsidR="00721C98" w:rsidRDefault="00AE7B71" w:rsidP="00AE7B71">
      <w:pPr>
        <w:pStyle w:val="ListParagraph"/>
        <w:numPr>
          <w:ilvl w:val="0"/>
          <w:numId w:val="48"/>
        </w:numPr>
      </w:pPr>
      <w:r>
        <w:rPr>
          <w:color w:val="000000"/>
        </w:rPr>
        <w:t>Creation of an international community of practice to promote “ethics-by-design" in support of researchers, research participants, local communities, local/national ethics and research integrity bodies, and other key stakeholders.</w:t>
      </w:r>
    </w:p>
    <w:p w14:paraId="1EE918FF" w14:textId="77777777" w:rsidR="00721C98" w:rsidRDefault="00AE7B71">
      <w:r>
        <w:rPr>
          <w:color w:val="000000"/>
          <w:u w:val="single"/>
        </w:rPr>
        <w:t>Scope:</w:t>
      </w:r>
      <w:r>
        <w:rPr>
          <w:color w:val="000000"/>
        </w:rPr>
        <w:t xml:space="preserve"> Area 1 promotes research ethics and integrity principles in an increasingly digitalised world to prevent breaches and address barriers to implementing ethical guidelines in the EU and beyond. The objectives are twofold: first, to reinforce an ecosystem that supports a long-lasting approach to benefit sharing, also accounting for the growing prevalence of AI; and second, to address imbalances in research, especially in high-risk or highly contingent settings, by incorporating due diligence and beneficence f</w:t>
      </w:r>
      <w:r>
        <w:rPr>
          <w:color w:val="000000"/>
        </w:rPr>
        <w:t>or research participants and local communities.</w:t>
      </w:r>
    </w:p>
    <w:p w14:paraId="6F70A39C" w14:textId="77777777" w:rsidR="00721C98" w:rsidRDefault="00AE7B71">
      <w:r>
        <w:rPr>
          <w:color w:val="000000"/>
        </w:rPr>
        <w:t>Proposals should build on the results of relevant past or ongoing projects at European and/or national level</w:t>
      </w:r>
      <w:r>
        <w:rPr>
          <w:vertAlign w:val="superscript"/>
        </w:rPr>
        <w:footnoteReference w:id="71"/>
      </w:r>
      <w:r>
        <w:rPr>
          <w:color w:val="000000"/>
        </w:rPr>
        <w:t xml:space="preserve">. Structured cooperation with the </w:t>
      </w:r>
      <w:hyperlink r:id="rId15">
        <w:r w:rsidR="00721C98">
          <w:rPr>
            <w:szCs w:val="24"/>
            <w:u w:val="single"/>
          </w:rPr>
          <w:t>Embassy of Good Science</w:t>
        </w:r>
      </w:hyperlink>
      <w:r>
        <w:rPr>
          <w:color w:val="000000"/>
        </w:rPr>
        <w:t xml:space="preserve"> should be included. Cooperation with university or research networks to enrich ethics-related curricula is desirable</w:t>
      </w:r>
      <w:r>
        <w:rPr>
          <w:color w:val="000000"/>
          <w:vertAlign w:val="superscript"/>
        </w:rPr>
        <w:t xml:space="preserve"> </w:t>
      </w:r>
      <w:r>
        <w:rPr>
          <w:vertAlign w:val="superscript"/>
        </w:rPr>
        <w:footnoteReference w:id="72"/>
      </w:r>
      <w:r>
        <w:rPr>
          <w:color w:val="000000"/>
        </w:rPr>
        <w:t>. Project activities should target researchers, local/national research integrity and ethics committees, European networks of (early career) researchers and educators in research ethics, research management and integrity offices, ethics officers in research performing organisations, as well as policymakers. To achieve the expected outcomes, proposals should include the activities outlined below and propose any additional, complementary activities:</w:t>
      </w:r>
    </w:p>
    <w:p w14:paraId="4F41819F" w14:textId="77777777" w:rsidR="00721C98" w:rsidRDefault="00AE7B71" w:rsidP="00AE7B71">
      <w:pPr>
        <w:pStyle w:val="ListParagraph"/>
        <w:numPr>
          <w:ilvl w:val="0"/>
          <w:numId w:val="49"/>
        </w:numPr>
      </w:pPr>
      <w:r>
        <w:rPr>
          <w:color w:val="000000"/>
        </w:rPr>
        <w:t>Develop toolkits to facilitate partnerships that guarantee the premise of ‘do no harm’ as well as fair and just practice from conception to the implementation of actions;</w:t>
      </w:r>
    </w:p>
    <w:p w14:paraId="1F16849C" w14:textId="77777777" w:rsidR="00721C98" w:rsidRDefault="00AE7B71" w:rsidP="00AE7B71">
      <w:pPr>
        <w:pStyle w:val="ListParagraph"/>
        <w:numPr>
          <w:ilvl w:val="0"/>
          <w:numId w:val="49"/>
        </w:numPr>
      </w:pPr>
      <w:r>
        <w:rPr>
          <w:color w:val="000000"/>
        </w:rPr>
        <w:t>Develop training programmes, including a quality assurance system, for researchers and for ethics experts and committees to promote the coherence of the ethics review process;</w:t>
      </w:r>
    </w:p>
    <w:p w14:paraId="3DEA11F7" w14:textId="77777777" w:rsidR="00721C98" w:rsidRDefault="00AE7B71" w:rsidP="00AE7B71">
      <w:pPr>
        <w:pStyle w:val="ListParagraph"/>
        <w:numPr>
          <w:ilvl w:val="0"/>
          <w:numId w:val="49"/>
        </w:numPr>
      </w:pPr>
      <w:r>
        <w:rPr>
          <w:color w:val="000000"/>
        </w:rPr>
        <w:t>Increase awareness and disseminate knowledge of ethical values and norms for responsible R&amp;I, including at the local level.</w:t>
      </w:r>
    </w:p>
    <w:p w14:paraId="57BFFA89" w14:textId="77777777" w:rsidR="00721C98" w:rsidRDefault="00AE7B71">
      <w:r>
        <w:rPr>
          <w:b/>
          <w:color w:val="000000"/>
        </w:rPr>
        <w:t>Area 2: Global cooperation for the uptake of open science practices</w:t>
      </w:r>
    </w:p>
    <w:p w14:paraId="7AFB3062" w14:textId="77777777" w:rsidR="00721C98" w:rsidRDefault="00AE7B71">
      <w:r>
        <w:rPr>
          <w:color w:val="000000"/>
          <w:u w:val="single"/>
        </w:rPr>
        <w:lastRenderedPageBreak/>
        <w:t>Expected outcome:</w:t>
      </w:r>
      <w:r>
        <w:rPr>
          <w:color w:val="000000"/>
        </w:rPr>
        <w:t xml:space="preserve"> Proposals under Area 2 will deliver on the impact: “A more open, equitable and inclusive research and innovation ecosystem”, contributing to the ERA Structural Policy “Enabling open science via sharing and re-use of data, including through the European Open Science Cloud (EOSC)". Project results are expected to contribute to all of the following expected outcomes:</w:t>
      </w:r>
    </w:p>
    <w:p w14:paraId="117C1EE8" w14:textId="77777777" w:rsidR="00721C98" w:rsidRDefault="00AE7B71" w:rsidP="00AE7B71">
      <w:pPr>
        <w:pStyle w:val="ListParagraph"/>
        <w:numPr>
          <w:ilvl w:val="0"/>
          <w:numId w:val="50"/>
        </w:numPr>
      </w:pPr>
      <w:r>
        <w:rPr>
          <w:color w:val="000000"/>
        </w:rPr>
        <w:t>Strengthened international collaboration for aligning policies and strategies that enable open access, and the secure and trusted sharing and re-use of digital research objects and tools in line with the FAIR principles;</w:t>
      </w:r>
    </w:p>
    <w:p w14:paraId="61BA7522" w14:textId="77777777" w:rsidR="00721C98" w:rsidRDefault="00AE7B71" w:rsidP="00AE7B71">
      <w:pPr>
        <w:pStyle w:val="ListParagraph"/>
        <w:numPr>
          <w:ilvl w:val="0"/>
          <w:numId w:val="50"/>
        </w:numPr>
      </w:pPr>
      <w:r>
        <w:rPr>
          <w:color w:val="000000"/>
        </w:rPr>
        <w:t>New standards, recommendations, and methodologies necessary for applying the FAIR principles and supporting the EOSC ecosystem in alignment with global best practices;</w:t>
      </w:r>
    </w:p>
    <w:p w14:paraId="492C84CC" w14:textId="77777777" w:rsidR="00721C98" w:rsidRDefault="00AE7B71" w:rsidP="00AE7B71">
      <w:pPr>
        <w:pStyle w:val="ListParagraph"/>
        <w:numPr>
          <w:ilvl w:val="0"/>
          <w:numId w:val="50"/>
        </w:numPr>
      </w:pPr>
      <w:r>
        <w:rPr>
          <w:color w:val="000000"/>
        </w:rPr>
        <w:t>Improved interoperability of digital research objects, tools, and services across various thematic, discipline-specific, and national data and digital research infrastructures worldwide.</w:t>
      </w:r>
    </w:p>
    <w:p w14:paraId="4BEF7215" w14:textId="77777777" w:rsidR="00721C98" w:rsidRDefault="00AE7B71">
      <w:r>
        <w:rPr>
          <w:color w:val="000000"/>
          <w:u w:val="single"/>
        </w:rPr>
        <w:t>Scope:</w:t>
      </w:r>
      <w:r>
        <w:rPr>
          <w:color w:val="000000"/>
        </w:rPr>
        <w:t xml:space="preserve"> Area 2 supports efforts to ensure that open science practices and skills are rewarded and taught, becoming the ‘new normal’. The main goal is to foster a global ecosystem that promotes cooperation and alignment on open science practices. It will facilitate the development of standards, tools, and services that empower researchers to find, access, re-use, and combine research findings, especially through EOSC.</w:t>
      </w:r>
    </w:p>
    <w:p w14:paraId="3BF85FA7" w14:textId="77777777" w:rsidR="00721C98" w:rsidRDefault="00AE7B71">
      <w:r>
        <w:rPr>
          <w:color w:val="000000"/>
        </w:rPr>
        <w:t>Proposals should build on activities by related projects</w:t>
      </w:r>
      <w:r>
        <w:rPr>
          <w:vertAlign w:val="superscript"/>
        </w:rPr>
        <w:footnoteReference w:id="73"/>
      </w:r>
      <w:r>
        <w:rPr>
          <w:color w:val="000000"/>
        </w:rPr>
        <w:t xml:space="preserve"> and activities in the context of the EOSC Partnership aimed at fostering the international dimension of EOSC. The project activities should target actors such as research organisations and their associations, research community-driven associations, research infrastructures, service providers, and higher education institutions. To achieve the expected outcomes, proposals should address the activities outlined below and propose any additional, complementary activities:</w:t>
      </w:r>
    </w:p>
    <w:p w14:paraId="427A6335" w14:textId="77777777" w:rsidR="00721C98" w:rsidRDefault="00AE7B71" w:rsidP="00AE7B71">
      <w:pPr>
        <w:pStyle w:val="ListParagraph"/>
        <w:numPr>
          <w:ilvl w:val="0"/>
          <w:numId w:val="51"/>
        </w:numPr>
      </w:pPr>
      <w:r>
        <w:rPr>
          <w:color w:val="000000"/>
        </w:rPr>
        <w:t>Implement initiatives to facilitate cooperation and connections between developments within the European context and international initiatives that promote the reusability of digital research outputs;</w:t>
      </w:r>
    </w:p>
    <w:p w14:paraId="6C3CC46A" w14:textId="77777777" w:rsidR="00721C98" w:rsidRDefault="00AE7B71" w:rsidP="00AE7B71">
      <w:pPr>
        <w:pStyle w:val="ListParagraph"/>
        <w:numPr>
          <w:ilvl w:val="0"/>
          <w:numId w:val="51"/>
        </w:numPr>
      </w:pPr>
      <w:r>
        <w:rPr>
          <w:color w:val="000000"/>
        </w:rPr>
        <w:t>Engage with international stakeholders to contribute to the development and adoption of globally recognised data practices and standards;</w:t>
      </w:r>
    </w:p>
    <w:p w14:paraId="72480061" w14:textId="77777777" w:rsidR="00721C98" w:rsidRDefault="00AE7B71" w:rsidP="00AE7B71">
      <w:pPr>
        <w:pStyle w:val="ListParagraph"/>
        <w:numPr>
          <w:ilvl w:val="0"/>
          <w:numId w:val="51"/>
        </w:numPr>
      </w:pPr>
      <w:r>
        <w:rPr>
          <w:color w:val="000000"/>
        </w:rPr>
        <w:t>Provide support for defining and developing EOSC policies and technical specifications by aligning with global, community-driven initiatives and scientific best practices;</w:t>
      </w:r>
    </w:p>
    <w:p w14:paraId="4F437C67" w14:textId="77777777" w:rsidR="00721C98" w:rsidRDefault="00AE7B71" w:rsidP="00AE7B71">
      <w:pPr>
        <w:pStyle w:val="ListParagraph"/>
        <w:numPr>
          <w:ilvl w:val="0"/>
          <w:numId w:val="51"/>
        </w:numPr>
      </w:pPr>
      <w:r>
        <w:rPr>
          <w:color w:val="000000"/>
        </w:rPr>
        <w:t>Promote knowledge sharing, capacity building, and skills acquisition, enabling researchers and organisations to actively contribute to open science and the development of Global Open Research Commons.</w:t>
      </w:r>
    </w:p>
    <w:p w14:paraId="6B085C4C" w14:textId="77777777" w:rsidR="00721C98" w:rsidRDefault="00AE7B71">
      <w:r>
        <w:rPr>
          <w:b/>
          <w:color w:val="000000"/>
        </w:rPr>
        <w:t>Area 3: Environmentally sustainable science</w:t>
      </w:r>
    </w:p>
    <w:p w14:paraId="3AC9CA7E" w14:textId="77777777" w:rsidR="00721C98" w:rsidRDefault="00AE7B71">
      <w:r>
        <w:rPr>
          <w:color w:val="000000"/>
          <w:u w:val="single"/>
        </w:rPr>
        <w:lastRenderedPageBreak/>
        <w:t>Expected outcome:</w:t>
      </w:r>
      <w:r>
        <w:rPr>
          <w:color w:val="000000"/>
        </w:rPr>
        <w:t xml:space="preserve"> Projects under Area 3 will deliver on the impact “Increased uptake, effectiveness and impact of environmentally sustainable research”, contributing to the green transition. Project results are expected to contribute to all of the following expected outcomes:</w:t>
      </w:r>
    </w:p>
    <w:p w14:paraId="6A6A196A" w14:textId="77777777" w:rsidR="00721C98" w:rsidRDefault="00AE7B71" w:rsidP="00AE7B71">
      <w:pPr>
        <w:pStyle w:val="ListParagraph"/>
        <w:numPr>
          <w:ilvl w:val="0"/>
          <w:numId w:val="52"/>
        </w:numPr>
      </w:pPr>
      <w:r>
        <w:rPr>
          <w:color w:val="000000"/>
        </w:rPr>
        <w:t>Effective knowledge sharing and support for researchers and R&amp;I organisations in implementing environmentally sustainable practices and policies;</w:t>
      </w:r>
    </w:p>
    <w:p w14:paraId="035DE8F4" w14:textId="77777777" w:rsidR="00721C98" w:rsidRDefault="00AE7B71" w:rsidP="00AE7B71">
      <w:pPr>
        <w:pStyle w:val="ListParagraph"/>
        <w:numPr>
          <w:ilvl w:val="0"/>
          <w:numId w:val="52"/>
        </w:numPr>
      </w:pPr>
      <w:r>
        <w:rPr>
          <w:color w:val="000000"/>
        </w:rPr>
        <w:t>Enhanced culture and awareness of environmental sustainability within the scientific community;</w:t>
      </w:r>
    </w:p>
    <w:p w14:paraId="44BE8C44" w14:textId="77777777" w:rsidR="00721C98" w:rsidRDefault="00AE7B71" w:rsidP="00AE7B71">
      <w:pPr>
        <w:pStyle w:val="ListParagraph"/>
        <w:numPr>
          <w:ilvl w:val="0"/>
          <w:numId w:val="52"/>
        </w:numPr>
      </w:pPr>
      <w:r>
        <w:rPr>
          <w:color w:val="000000"/>
        </w:rPr>
        <w:t>Increased integration of environmental sustainability considerations in European and national research funding programmes and other initiatives.</w:t>
      </w:r>
    </w:p>
    <w:p w14:paraId="5D17EC4F" w14:textId="77777777" w:rsidR="00721C98" w:rsidRDefault="00AE7B71">
      <w:r>
        <w:rPr>
          <w:color w:val="000000"/>
          <w:u w:val="single"/>
        </w:rPr>
        <w:t>Scope:</w:t>
      </w:r>
      <w:r>
        <w:rPr>
          <w:color w:val="000000"/>
        </w:rPr>
        <w:t xml:space="preserve"> Area 3 contributes toward reducing environmental footprint of research. The aim is to set up a network dedicated to driving the transformation of research practices and research organisations toward environmental sustainability, considering various measures, such as energy-efficient, low-waste laboratories, and sustainable data storage and computing facilities. Special attention should be given to energy-intensive digital technologies like AI.</w:t>
      </w:r>
    </w:p>
    <w:p w14:paraId="79D18A35" w14:textId="77777777" w:rsidR="00721C98" w:rsidRDefault="00AE7B71">
      <w:r>
        <w:rPr>
          <w:color w:val="000000"/>
        </w:rPr>
        <w:t>Proposals should build on existing approaches and methodologies and collaborate with relevant projects, networks and initiatives</w:t>
      </w:r>
      <w:r>
        <w:rPr>
          <w:vertAlign w:val="superscript"/>
        </w:rPr>
        <w:footnoteReference w:id="74"/>
      </w:r>
      <w:r>
        <w:rPr>
          <w:color w:val="000000"/>
        </w:rPr>
        <w:t>. Project activities should target actors such as higher education institutions, research performing and funding organisations, industry, policymakers, and grassroots initiatives. To achieve the expected outcomes, proposals should address the activities outlined below and propose any additional, complementary activities:</w:t>
      </w:r>
    </w:p>
    <w:p w14:paraId="76B00897" w14:textId="77777777" w:rsidR="00721C98" w:rsidRDefault="00AE7B71" w:rsidP="00AE7B71">
      <w:pPr>
        <w:pStyle w:val="ListParagraph"/>
        <w:numPr>
          <w:ilvl w:val="0"/>
          <w:numId w:val="53"/>
        </w:numPr>
      </w:pPr>
      <w:r>
        <w:rPr>
          <w:color w:val="000000"/>
        </w:rPr>
        <w:t>Map existing approaches for assessing and reducing environmental footprint and develop sustainability guidelines, considering various disciplines and research contexts;</w:t>
      </w:r>
    </w:p>
    <w:p w14:paraId="5A467414" w14:textId="77777777" w:rsidR="00721C98" w:rsidRDefault="00AE7B71" w:rsidP="00AE7B71">
      <w:pPr>
        <w:pStyle w:val="ListParagraph"/>
        <w:numPr>
          <w:ilvl w:val="0"/>
          <w:numId w:val="53"/>
        </w:numPr>
      </w:pPr>
      <w:r>
        <w:rPr>
          <w:color w:val="000000"/>
        </w:rPr>
        <w:t>Offer evidence-based recommendations to integrate sustainability into research funding and evaluation, with attention to different institutional frameworks and engagement at all institutional levels;</w:t>
      </w:r>
    </w:p>
    <w:p w14:paraId="5BDFFA68" w14:textId="77777777" w:rsidR="00721C98" w:rsidRDefault="00AE7B71" w:rsidP="00AE7B71">
      <w:pPr>
        <w:pStyle w:val="ListParagraph"/>
        <w:numPr>
          <w:ilvl w:val="0"/>
          <w:numId w:val="53"/>
        </w:numPr>
      </w:pPr>
      <w:r>
        <w:rPr>
          <w:color w:val="000000"/>
        </w:rPr>
        <w:t>Promote awareness and adoption of sustainability policies and practices through knowledge exchange, collaboration, and trainings that leverage existing resources and expertise.</w:t>
      </w:r>
    </w:p>
    <w:p w14:paraId="3A964B23" w14:textId="77777777" w:rsidR="00721C98" w:rsidRDefault="00AE7B71">
      <w:pPr>
        <w:pStyle w:val="HeadingThree"/>
      </w:pPr>
      <w:r>
        <w:t>HORIZON-WIDERA-2026-06-ERA-04: Pillar II: Piloting innovative approaches to support academic startups and spinoffs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0B498576" w14:textId="77777777" w:rsidTr="00DB4111">
        <w:tc>
          <w:tcPr>
            <w:tcW w:w="0" w:type="auto"/>
            <w:gridSpan w:val="2"/>
          </w:tcPr>
          <w:p w14:paraId="32CD5203" w14:textId="77777777" w:rsidR="00721C98" w:rsidRDefault="00AE7B71">
            <w:pPr>
              <w:pStyle w:val="CellTextValue"/>
            </w:pPr>
            <w:r>
              <w:rPr>
                <w:b/>
              </w:rPr>
              <w:t>Call: Enhancing the European R&amp;I system</w:t>
            </w:r>
          </w:p>
        </w:tc>
      </w:tr>
      <w:tr w:rsidR="00DB4111" w14:paraId="54B6F463" w14:textId="77777777" w:rsidTr="00DB4111">
        <w:tc>
          <w:tcPr>
            <w:tcW w:w="0" w:type="auto"/>
            <w:gridSpan w:val="2"/>
          </w:tcPr>
          <w:p w14:paraId="1E91B25F" w14:textId="77777777" w:rsidR="00721C98" w:rsidRDefault="00AE7B71">
            <w:pPr>
              <w:pStyle w:val="CellTextValue"/>
            </w:pPr>
            <w:r>
              <w:rPr>
                <w:b/>
              </w:rPr>
              <w:t>Specific conditions</w:t>
            </w:r>
          </w:p>
        </w:tc>
      </w:tr>
      <w:tr w:rsidR="00721C98" w14:paraId="3A9237B1" w14:textId="77777777">
        <w:tc>
          <w:tcPr>
            <w:tcW w:w="0" w:type="auto"/>
          </w:tcPr>
          <w:p w14:paraId="09CA69B0" w14:textId="77777777" w:rsidR="00721C98" w:rsidRDefault="00AE7B71">
            <w:pPr>
              <w:pStyle w:val="CellTextValue"/>
              <w:jc w:val="left"/>
            </w:pPr>
            <w:r>
              <w:rPr>
                <w:i/>
              </w:rPr>
              <w:lastRenderedPageBreak/>
              <w:t>Expected EU contribution per project</w:t>
            </w:r>
          </w:p>
        </w:tc>
        <w:tc>
          <w:tcPr>
            <w:tcW w:w="0" w:type="auto"/>
          </w:tcPr>
          <w:p w14:paraId="354531BF" w14:textId="77777777" w:rsidR="00721C98" w:rsidRDefault="00AE7B71">
            <w:pPr>
              <w:pStyle w:val="CellTextValue"/>
            </w:pPr>
            <w:r>
              <w:t>The Commission estimates that an EU contribution of around EUR 2.00 million would allow these outcomes to be addressed appropriately. Nonetheless, this does not preclude submission and selection of a proposal requesting different amounts.</w:t>
            </w:r>
          </w:p>
        </w:tc>
      </w:tr>
      <w:tr w:rsidR="00721C98" w14:paraId="5BDF2365" w14:textId="77777777">
        <w:tc>
          <w:tcPr>
            <w:tcW w:w="0" w:type="auto"/>
          </w:tcPr>
          <w:p w14:paraId="166F49D6" w14:textId="77777777" w:rsidR="00721C98" w:rsidRDefault="00AE7B71">
            <w:pPr>
              <w:pStyle w:val="CellTextValue"/>
              <w:jc w:val="left"/>
            </w:pPr>
            <w:r>
              <w:rPr>
                <w:i/>
              </w:rPr>
              <w:t>Indicative budget</w:t>
            </w:r>
          </w:p>
        </w:tc>
        <w:tc>
          <w:tcPr>
            <w:tcW w:w="0" w:type="auto"/>
          </w:tcPr>
          <w:p w14:paraId="467043A0" w14:textId="77777777" w:rsidR="00721C98" w:rsidRDefault="00AE7B71">
            <w:pPr>
              <w:pStyle w:val="CellTextValue"/>
            </w:pPr>
            <w:r>
              <w:t>The total indicative budget for the topic is EUR 4.00 million.</w:t>
            </w:r>
          </w:p>
        </w:tc>
      </w:tr>
      <w:tr w:rsidR="00721C98" w14:paraId="2B9365F2" w14:textId="77777777">
        <w:tc>
          <w:tcPr>
            <w:tcW w:w="0" w:type="auto"/>
          </w:tcPr>
          <w:p w14:paraId="1A5DC478" w14:textId="77777777" w:rsidR="00721C98" w:rsidRDefault="00AE7B71">
            <w:pPr>
              <w:pStyle w:val="CellTextValue"/>
              <w:jc w:val="left"/>
            </w:pPr>
            <w:r>
              <w:rPr>
                <w:i/>
              </w:rPr>
              <w:t>Type of Action</w:t>
            </w:r>
          </w:p>
        </w:tc>
        <w:tc>
          <w:tcPr>
            <w:tcW w:w="0" w:type="auto"/>
          </w:tcPr>
          <w:p w14:paraId="1A46DCDA" w14:textId="77777777" w:rsidR="00721C98" w:rsidRDefault="00AE7B71">
            <w:pPr>
              <w:pStyle w:val="CellTextValue"/>
            </w:pPr>
            <w:r>
              <w:rPr>
                <w:color w:val="000000"/>
              </w:rPr>
              <w:t>Coordination and Support Actions</w:t>
            </w:r>
          </w:p>
        </w:tc>
      </w:tr>
      <w:tr w:rsidR="00721C98" w14:paraId="2ED1B36F" w14:textId="77777777">
        <w:tc>
          <w:tcPr>
            <w:tcW w:w="0" w:type="auto"/>
          </w:tcPr>
          <w:p w14:paraId="50BACB15" w14:textId="77777777" w:rsidR="00721C98" w:rsidRDefault="00AE7B71">
            <w:pPr>
              <w:pStyle w:val="CellTextValue"/>
              <w:jc w:val="left"/>
            </w:pPr>
            <w:r>
              <w:rPr>
                <w:i/>
              </w:rPr>
              <w:t>Eligibility conditions</w:t>
            </w:r>
          </w:p>
        </w:tc>
        <w:tc>
          <w:tcPr>
            <w:tcW w:w="0" w:type="auto"/>
          </w:tcPr>
          <w:p w14:paraId="290DBA20" w14:textId="77777777" w:rsidR="00721C98" w:rsidRDefault="00AE7B71">
            <w:pPr>
              <w:pStyle w:val="CellTextValue"/>
            </w:pPr>
            <w:r>
              <w:rPr>
                <w:color w:val="000000"/>
              </w:rPr>
              <w:t>The conditions are described in General Annex B. The following exceptions apply:</w:t>
            </w:r>
          </w:p>
          <w:p w14:paraId="0EAA1AC5"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0A909902" w14:textId="77777777">
        <w:tc>
          <w:tcPr>
            <w:tcW w:w="0" w:type="auto"/>
          </w:tcPr>
          <w:p w14:paraId="3DDD882F" w14:textId="77777777" w:rsidR="00721C98" w:rsidRDefault="00AE7B71">
            <w:pPr>
              <w:pStyle w:val="CellTextValue"/>
              <w:jc w:val="left"/>
            </w:pPr>
            <w:r>
              <w:rPr>
                <w:i/>
              </w:rPr>
              <w:t>Legal and financial set-up of the Grant Agreements</w:t>
            </w:r>
          </w:p>
        </w:tc>
        <w:tc>
          <w:tcPr>
            <w:tcW w:w="0" w:type="auto"/>
          </w:tcPr>
          <w:p w14:paraId="76BE4B43" w14:textId="77777777" w:rsidR="00721C98" w:rsidRDefault="00AE7B71">
            <w:pPr>
              <w:pStyle w:val="CellTextValue"/>
            </w:pPr>
            <w:r>
              <w:rPr>
                <w:color w:val="000000"/>
              </w:rPr>
              <w:t>The rules are described in General Annex G. The following exceptions apply:</w:t>
            </w:r>
          </w:p>
          <w:p w14:paraId="7D5A4185"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75"/>
            </w:r>
            <w:r>
              <w:rPr>
                <w:color w:val="000000"/>
              </w:rPr>
              <w:t>.</w:t>
            </w:r>
          </w:p>
        </w:tc>
      </w:tr>
    </w:tbl>
    <w:p w14:paraId="684AA7C8" w14:textId="77777777" w:rsidR="00721C98" w:rsidRDefault="00721C98">
      <w:pPr>
        <w:spacing w:after="0" w:line="150" w:lineRule="auto"/>
      </w:pPr>
    </w:p>
    <w:p w14:paraId="13139D7E" w14:textId="77777777" w:rsidR="00721C98" w:rsidRDefault="00AE7B71">
      <w:r>
        <w:rPr>
          <w:u w:val="single"/>
        </w:rPr>
        <w:t>Expected Outcome</w:t>
      </w:r>
      <w:r>
        <w:t xml:space="preserve">: </w:t>
      </w:r>
      <w:r>
        <w:rPr>
          <w:color w:val="000000"/>
        </w:rPr>
        <w:t>Proposals will deliver on the impact of “Stronger translation of R&amp;I results into society and economy”, contributing to the ERA Structural Policy “Upscaling knowledge valorisation capacities and activities”. Project results are expected to contribute to the following outcomes:</w:t>
      </w:r>
    </w:p>
    <w:p w14:paraId="728DAB95" w14:textId="77777777" w:rsidR="00721C98" w:rsidRDefault="00AE7B71" w:rsidP="00AE7B71">
      <w:pPr>
        <w:pStyle w:val="ListParagraph"/>
        <w:numPr>
          <w:ilvl w:val="0"/>
          <w:numId w:val="54"/>
        </w:numPr>
      </w:pPr>
      <w:r>
        <w:rPr>
          <w:color w:val="000000"/>
        </w:rPr>
        <w:t>Upgraded guidance and services for supporting early-stage academic spinoffs and startups to bring their innovative solutions to market;</w:t>
      </w:r>
    </w:p>
    <w:p w14:paraId="3FFC77E7" w14:textId="77777777" w:rsidR="00721C98" w:rsidRDefault="00AE7B71" w:rsidP="00AE7B71">
      <w:pPr>
        <w:pStyle w:val="ListParagraph"/>
        <w:numPr>
          <w:ilvl w:val="0"/>
          <w:numId w:val="54"/>
        </w:numPr>
      </w:pPr>
      <w:r>
        <w:rPr>
          <w:color w:val="000000"/>
        </w:rPr>
        <w:t>Tested and shared innovative valorisation best practices addressing the needs of early-stage academic spinoffs and startups for engaging with industry, societal actors, and end-users.</w:t>
      </w:r>
    </w:p>
    <w:p w14:paraId="5390ADA9" w14:textId="77777777" w:rsidR="00721C98" w:rsidRDefault="00AE7B71">
      <w:r>
        <w:rPr>
          <w:u w:val="single"/>
        </w:rPr>
        <w:t>Scope</w:t>
      </w:r>
      <w:r>
        <w:t xml:space="preserve">: </w:t>
      </w:r>
      <w:r>
        <w:rPr>
          <w:color w:val="000000"/>
        </w:rPr>
        <w:t xml:space="preserve">The objective of this topic is to strengthen ecosystems for knowledge valorisation and innovation by supporting academic startups and spinoffs to benefit from end-user feedback </w:t>
      </w:r>
      <w:r>
        <w:rPr>
          <w:color w:val="000000"/>
        </w:rPr>
        <w:lastRenderedPageBreak/>
        <w:t>and links to industry and society. The topic supports the objectives of the Startup and Scaleup Strategy</w:t>
      </w:r>
      <w:r>
        <w:rPr>
          <w:vertAlign w:val="superscript"/>
        </w:rPr>
        <w:footnoteReference w:id="76"/>
      </w:r>
      <w:r>
        <w:rPr>
          <w:color w:val="000000"/>
        </w:rPr>
        <w:t xml:space="preserve"> by fostering the market uptake of innovative solutions.</w:t>
      </w:r>
    </w:p>
    <w:p w14:paraId="706316F1" w14:textId="77777777" w:rsidR="00721C98" w:rsidRDefault="00AE7B71">
      <w:r>
        <w:rPr>
          <w:color w:val="000000"/>
        </w:rPr>
        <w:t>Academic startups and spinoffs need access to excellent support services to commercialise their research and bring their innovations to market. Beyond technology validation, there is a need to test the desirability of their products and services with a broader public, learn from citizens’ feedback, and adapt and improve their value propositions to improve their prospects for collaborating with industrial partners, attracting investors, and growing locally and internationally.</w:t>
      </w:r>
    </w:p>
    <w:p w14:paraId="247400A2" w14:textId="77777777" w:rsidR="00721C98" w:rsidRDefault="00AE7B71">
      <w:r>
        <w:rPr>
          <w:color w:val="000000"/>
        </w:rPr>
        <w:t xml:space="preserve">A variety of organisations – such as science parks, technology parks, living labs, hubs, and practitioners in citizen engagement for knowledge valorisation – engage societal actors in experimentation practices that aim to support, at an early stage, the market uptake and growth of university spinoffs and startups. To be effective, such practices need to align with the fast pace of innovation and integrate skills and methods from different areas, drawing also from the social sciences and humanities, and the </w:t>
      </w:r>
      <w:r>
        <w:rPr>
          <w:color w:val="000000"/>
        </w:rPr>
        <w:t>arts and design. To achieve the expected outcomes, proposals should address the activities outlined below and propose any additional, complementary activities:</w:t>
      </w:r>
    </w:p>
    <w:p w14:paraId="1148FBAE" w14:textId="77777777" w:rsidR="00721C98" w:rsidRDefault="00AE7B71" w:rsidP="00AE7B71">
      <w:pPr>
        <w:pStyle w:val="ListParagraph"/>
        <w:numPr>
          <w:ilvl w:val="0"/>
          <w:numId w:val="55"/>
        </w:numPr>
      </w:pPr>
      <w:r>
        <w:rPr>
          <w:color w:val="000000"/>
        </w:rPr>
        <w:t>At least 20 pilot actions across Europe enabling university spinoffs and technology startups to link up to end-users, societal actors, industry, and other stakeholders to boost market uptake and growth.</w:t>
      </w:r>
    </w:p>
    <w:p w14:paraId="37EBF7DC" w14:textId="77777777" w:rsidR="00721C98" w:rsidRDefault="00AE7B71" w:rsidP="00AE7B71">
      <w:pPr>
        <w:pStyle w:val="ListParagraph"/>
        <w:numPr>
          <w:ilvl w:val="0"/>
          <w:numId w:val="55"/>
        </w:numPr>
      </w:pPr>
      <w:r>
        <w:rPr>
          <w:color w:val="000000"/>
        </w:rPr>
        <w:t>Development of guidance and services, including methodologies and best practices to support spinoffs and startups, where testing and validating their innovative solutions to better fit society and the market is important.</w:t>
      </w:r>
    </w:p>
    <w:p w14:paraId="72908EDB" w14:textId="77777777" w:rsidR="00721C98" w:rsidRDefault="00AE7B71">
      <w:r>
        <w:rPr>
          <w:color w:val="000000"/>
        </w:rPr>
        <w:t>Proposals should describe their target group in terms of its scope and size. A wide geographical coverage, inclusivity, broad participation, and accessibility should be ensured. In project activities, particular attention should be paid to promoting inclusive gender equality and addressing gender-specific challenges.</w:t>
      </w:r>
    </w:p>
    <w:p w14:paraId="2EC562E4" w14:textId="77777777" w:rsidR="00721C98" w:rsidRDefault="00AE7B71">
      <w:r>
        <w:rPr>
          <w:color w:val="000000"/>
        </w:rPr>
        <w:t xml:space="preserve">Projects are expected to contribute to the </w:t>
      </w:r>
      <w:hyperlink r:id="rId16">
        <w:r w:rsidR="00721C98">
          <w:rPr>
            <w:szCs w:val="24"/>
            <w:u w:val="single"/>
          </w:rPr>
          <w:t>EU Knowledge Valorisation Platform</w:t>
        </w:r>
      </w:hyperlink>
      <w:r>
        <w:rPr>
          <w:color w:val="000000"/>
        </w:rPr>
        <w:t>, which highlights best practices for knowledge valorisation. Additionally, projects are expected to establish synergies with ongoing projects under the topic “Experimentation and exchange of good practices for value creation”</w:t>
      </w:r>
      <w:r>
        <w:rPr>
          <w:vertAlign w:val="superscript"/>
        </w:rPr>
        <w:footnoteReference w:id="77"/>
      </w:r>
      <w:r>
        <w:rPr>
          <w:color w:val="000000"/>
        </w:rPr>
        <w:t>, taking their results into account.</w:t>
      </w:r>
    </w:p>
    <w:p w14:paraId="656F9E11" w14:textId="77777777" w:rsidR="00721C98" w:rsidRDefault="00AE7B71">
      <w:r>
        <w:rPr>
          <w:color w:val="000000"/>
        </w:rPr>
        <w:t>Expected project duration is up to 2 years without prejudice to a longer duration if justified.</w:t>
      </w:r>
    </w:p>
    <w:p w14:paraId="060FD8D5" w14:textId="77777777" w:rsidR="00721C98" w:rsidRDefault="00AE7B71">
      <w:pPr>
        <w:pStyle w:val="HeadingThree"/>
      </w:pPr>
      <w:r>
        <w:t>HORIZON-WIDERA-2026-06-ERA-05: Pillar III: Fostering citizen engagement for more responsible and democratic R&amp;I</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5724EA5A" w14:textId="77777777" w:rsidTr="00DB4111">
        <w:tc>
          <w:tcPr>
            <w:tcW w:w="0" w:type="auto"/>
            <w:gridSpan w:val="2"/>
          </w:tcPr>
          <w:p w14:paraId="28FE1103" w14:textId="77777777" w:rsidR="00721C98" w:rsidRDefault="00AE7B71">
            <w:pPr>
              <w:pStyle w:val="CellTextValue"/>
            </w:pPr>
            <w:r>
              <w:rPr>
                <w:b/>
              </w:rPr>
              <w:t>Call: Enhancing the European R&amp;I system</w:t>
            </w:r>
          </w:p>
        </w:tc>
      </w:tr>
      <w:tr w:rsidR="00DB4111" w14:paraId="7E118F0B" w14:textId="77777777" w:rsidTr="00DB4111">
        <w:tc>
          <w:tcPr>
            <w:tcW w:w="0" w:type="auto"/>
            <w:gridSpan w:val="2"/>
          </w:tcPr>
          <w:p w14:paraId="3E3F5610" w14:textId="77777777" w:rsidR="00721C98" w:rsidRDefault="00AE7B71">
            <w:pPr>
              <w:pStyle w:val="CellTextValue"/>
            </w:pPr>
            <w:r>
              <w:rPr>
                <w:b/>
              </w:rPr>
              <w:lastRenderedPageBreak/>
              <w:t>Specific conditions</w:t>
            </w:r>
          </w:p>
        </w:tc>
      </w:tr>
      <w:tr w:rsidR="00721C98" w14:paraId="23F7C7CD" w14:textId="77777777">
        <w:tc>
          <w:tcPr>
            <w:tcW w:w="0" w:type="auto"/>
          </w:tcPr>
          <w:p w14:paraId="02A9A797" w14:textId="77777777" w:rsidR="00721C98" w:rsidRDefault="00AE7B71">
            <w:pPr>
              <w:pStyle w:val="CellTextValue"/>
              <w:jc w:val="left"/>
            </w:pPr>
            <w:r>
              <w:rPr>
                <w:i/>
              </w:rPr>
              <w:t>Expected EU contribution per project</w:t>
            </w:r>
          </w:p>
        </w:tc>
        <w:tc>
          <w:tcPr>
            <w:tcW w:w="0" w:type="auto"/>
          </w:tcPr>
          <w:p w14:paraId="418EF272" w14:textId="77777777" w:rsidR="00721C98" w:rsidRDefault="00AE7B71">
            <w:pPr>
              <w:pStyle w:val="CellTextValue"/>
            </w:pPr>
            <w:r>
              <w:t>The Commission estimates that an EU contribution of around EUR 1.00 million would allow these outcomes to be addressed appropriately. Nonetheless, this does not preclude submission and selection of a proposal requesting different amounts.</w:t>
            </w:r>
          </w:p>
        </w:tc>
      </w:tr>
      <w:tr w:rsidR="00721C98" w14:paraId="064E3F23" w14:textId="77777777">
        <w:tc>
          <w:tcPr>
            <w:tcW w:w="0" w:type="auto"/>
          </w:tcPr>
          <w:p w14:paraId="73B8B96B" w14:textId="77777777" w:rsidR="00721C98" w:rsidRDefault="00AE7B71">
            <w:pPr>
              <w:pStyle w:val="CellTextValue"/>
              <w:jc w:val="left"/>
            </w:pPr>
            <w:r>
              <w:rPr>
                <w:i/>
              </w:rPr>
              <w:t>Indicative budget</w:t>
            </w:r>
          </w:p>
        </w:tc>
        <w:tc>
          <w:tcPr>
            <w:tcW w:w="0" w:type="auto"/>
          </w:tcPr>
          <w:p w14:paraId="10AE35AF" w14:textId="77777777" w:rsidR="00721C98" w:rsidRDefault="00AE7B71">
            <w:pPr>
              <w:pStyle w:val="CellTextValue"/>
            </w:pPr>
            <w:r>
              <w:t>The total indicative budget for the topic is EUR 2.00 million.</w:t>
            </w:r>
          </w:p>
        </w:tc>
      </w:tr>
      <w:tr w:rsidR="00721C98" w14:paraId="0A5CB817" w14:textId="77777777">
        <w:tc>
          <w:tcPr>
            <w:tcW w:w="0" w:type="auto"/>
          </w:tcPr>
          <w:p w14:paraId="02D8DCEA" w14:textId="77777777" w:rsidR="00721C98" w:rsidRDefault="00AE7B71">
            <w:pPr>
              <w:pStyle w:val="CellTextValue"/>
              <w:jc w:val="left"/>
            </w:pPr>
            <w:r>
              <w:rPr>
                <w:i/>
              </w:rPr>
              <w:t>Type of Action</w:t>
            </w:r>
          </w:p>
        </w:tc>
        <w:tc>
          <w:tcPr>
            <w:tcW w:w="0" w:type="auto"/>
          </w:tcPr>
          <w:p w14:paraId="549F9D27" w14:textId="77777777" w:rsidR="00721C98" w:rsidRDefault="00AE7B71">
            <w:pPr>
              <w:pStyle w:val="CellTextValue"/>
            </w:pPr>
            <w:r>
              <w:rPr>
                <w:color w:val="000000"/>
              </w:rPr>
              <w:t>Coordination and Support Actions</w:t>
            </w:r>
          </w:p>
        </w:tc>
      </w:tr>
      <w:tr w:rsidR="00721C98" w14:paraId="688A2830" w14:textId="77777777">
        <w:tc>
          <w:tcPr>
            <w:tcW w:w="0" w:type="auto"/>
          </w:tcPr>
          <w:p w14:paraId="220F0972" w14:textId="77777777" w:rsidR="00721C98" w:rsidRDefault="00AE7B71">
            <w:pPr>
              <w:pStyle w:val="CellTextValue"/>
              <w:jc w:val="left"/>
            </w:pPr>
            <w:r>
              <w:rPr>
                <w:i/>
              </w:rPr>
              <w:t>Eligibility conditions</w:t>
            </w:r>
          </w:p>
        </w:tc>
        <w:tc>
          <w:tcPr>
            <w:tcW w:w="0" w:type="auto"/>
          </w:tcPr>
          <w:p w14:paraId="35EA3202" w14:textId="77777777" w:rsidR="00721C98" w:rsidRDefault="00AE7B71">
            <w:pPr>
              <w:pStyle w:val="CellTextValue"/>
            </w:pPr>
            <w:r>
              <w:rPr>
                <w:color w:val="000000"/>
              </w:rPr>
              <w:t>The conditions are described in General Annex B. The following exceptions apply:</w:t>
            </w:r>
          </w:p>
          <w:p w14:paraId="748D3729"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42C9BE2A" w14:textId="77777777">
        <w:tc>
          <w:tcPr>
            <w:tcW w:w="0" w:type="auto"/>
          </w:tcPr>
          <w:p w14:paraId="1734A2DD" w14:textId="77777777" w:rsidR="00721C98" w:rsidRDefault="00AE7B71">
            <w:pPr>
              <w:pStyle w:val="CellTextValue"/>
              <w:jc w:val="left"/>
            </w:pPr>
            <w:r>
              <w:rPr>
                <w:i/>
              </w:rPr>
              <w:t>Procedure</w:t>
            </w:r>
          </w:p>
        </w:tc>
        <w:tc>
          <w:tcPr>
            <w:tcW w:w="0" w:type="auto"/>
          </w:tcPr>
          <w:p w14:paraId="5958C190" w14:textId="77777777" w:rsidR="00721C98" w:rsidRDefault="00AE7B71">
            <w:pPr>
              <w:pStyle w:val="CellTextValue"/>
            </w:pPr>
            <w:r>
              <w:rPr>
                <w:color w:val="000000"/>
              </w:rPr>
              <w:t>The procedure is described in General Annex F. The following exceptions apply:</w:t>
            </w:r>
          </w:p>
          <w:p w14:paraId="3D06A3E1" w14:textId="77777777" w:rsidR="00721C98" w:rsidRDefault="00AE7B71">
            <w:pPr>
              <w:pStyle w:val="CellTextValue"/>
            </w:pPr>
            <w:r>
              <w:rPr>
                <w:color w:val="000000"/>
              </w:rPr>
              <w:t>To ensure a balanced portfolio covering different ERA policy areas, as outlined in the expected outcomes and scope, grants will be awarded to proposals not only in order of ranking, but at least also to proposals that are the highest ranked within each area, provided that proposals pass all thresholds.</w:t>
            </w:r>
          </w:p>
        </w:tc>
      </w:tr>
      <w:tr w:rsidR="00721C98" w14:paraId="79EFAB3B" w14:textId="77777777">
        <w:tc>
          <w:tcPr>
            <w:tcW w:w="0" w:type="auto"/>
          </w:tcPr>
          <w:p w14:paraId="5091196A" w14:textId="77777777" w:rsidR="00721C98" w:rsidRDefault="00AE7B71">
            <w:pPr>
              <w:pStyle w:val="CellTextValue"/>
              <w:jc w:val="left"/>
            </w:pPr>
            <w:r>
              <w:rPr>
                <w:i/>
              </w:rPr>
              <w:t>Legal and financial set-up of the Grant Agreements</w:t>
            </w:r>
          </w:p>
        </w:tc>
        <w:tc>
          <w:tcPr>
            <w:tcW w:w="0" w:type="auto"/>
          </w:tcPr>
          <w:p w14:paraId="6988CE46" w14:textId="77777777" w:rsidR="00721C98" w:rsidRDefault="00AE7B71">
            <w:pPr>
              <w:pStyle w:val="CellTextValue"/>
            </w:pPr>
            <w:r>
              <w:rPr>
                <w:color w:val="000000"/>
              </w:rPr>
              <w:t>The rules are described in General Annex G. The following exceptions apply:</w:t>
            </w:r>
          </w:p>
          <w:p w14:paraId="405E3A4E"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78"/>
            </w:r>
            <w:r>
              <w:rPr>
                <w:color w:val="000000"/>
              </w:rPr>
              <w:t>.</w:t>
            </w:r>
          </w:p>
        </w:tc>
      </w:tr>
    </w:tbl>
    <w:p w14:paraId="7A890206" w14:textId="77777777" w:rsidR="00721C98" w:rsidRDefault="00721C98">
      <w:pPr>
        <w:spacing w:after="0" w:line="150" w:lineRule="auto"/>
      </w:pPr>
    </w:p>
    <w:p w14:paraId="751F894D" w14:textId="77777777" w:rsidR="00721C98" w:rsidRDefault="00AE7B71">
      <w:r>
        <w:rPr>
          <w:u w:val="single"/>
        </w:rPr>
        <w:t>Scope</w:t>
      </w:r>
      <w:r>
        <w:t xml:space="preserve">: </w:t>
      </w:r>
      <w:r>
        <w:rPr>
          <w:color w:val="000000"/>
        </w:rPr>
        <w:t>This topic aims to connect R&amp;I with citizens and other stakeholders by fostering greater citizen engagement, participation, and science communication. Proposals will contribute to the impact of “Increasing trust in science and alignment of R&amp;I with society’s needs, expectations and values”, thereby enhancing the democratic character and impact of science in the ERA.</w:t>
      </w:r>
    </w:p>
    <w:p w14:paraId="55E3492E" w14:textId="77777777" w:rsidR="00721C98" w:rsidRDefault="00AE7B71">
      <w:r>
        <w:rPr>
          <w:color w:val="000000"/>
        </w:rPr>
        <w:lastRenderedPageBreak/>
        <w:t xml:space="preserve">Applicants should select and clearly identify </w:t>
      </w:r>
      <w:r>
        <w:rPr>
          <w:color w:val="000000"/>
          <w:u w:val="single"/>
        </w:rPr>
        <w:t>one</w:t>
      </w:r>
      <w:r>
        <w:rPr>
          <w:color w:val="000000"/>
        </w:rPr>
        <w:t xml:space="preserve"> area being addressed, choosing from the two areas outlined below, both supporting the implementation of the ERA Structural Policy “Enhancing Trust in Science through Citizen Participation, Engagement and Science Communication”. Proposals should develop the activities outlined for the selected area and propose additional activities that contribute to achieving the expected outcomes.</w:t>
      </w:r>
    </w:p>
    <w:p w14:paraId="0B7B4D72" w14:textId="77777777" w:rsidR="00721C98" w:rsidRDefault="00AE7B71">
      <w:r>
        <w:rPr>
          <w:color w:val="000000"/>
        </w:rPr>
        <w:t>Project activities should reach large communities of stakeholders ensuring a wide geographical coverage, inclusivity, broad participation, and accessibility over the course of the project. Proposals should describe their target group in terms of its scope and size. In project activities, particular attention should be paid to promoting gender equality and addressing gender-specific challenges, where relevant.</w:t>
      </w:r>
    </w:p>
    <w:p w14:paraId="1456B8D4" w14:textId="77777777" w:rsidR="00721C98" w:rsidRDefault="00AE7B71">
      <w:r>
        <w:rPr>
          <w:color w:val="000000"/>
        </w:rPr>
        <w:t>Expected project duration is up to 3 years without prejudice to a longer duration if justified.</w:t>
      </w:r>
    </w:p>
    <w:p w14:paraId="5DFD4926" w14:textId="77777777" w:rsidR="00721C98" w:rsidRDefault="00AE7B71">
      <w:r>
        <w:rPr>
          <w:b/>
          <w:color w:val="000000"/>
        </w:rPr>
        <w:t xml:space="preserve">Area 1: Citizen science for enhancing democratic governance </w:t>
      </w:r>
    </w:p>
    <w:p w14:paraId="58EC101E" w14:textId="77777777" w:rsidR="00721C98" w:rsidRDefault="00AE7B71">
      <w:r>
        <w:rPr>
          <w:color w:val="000000"/>
          <w:u w:val="single"/>
        </w:rPr>
        <w:t>Expected outcome:</w:t>
      </w:r>
      <w:r>
        <w:rPr>
          <w:color w:val="000000"/>
        </w:rPr>
        <w:t xml:space="preserve"> Project results are expected to contribute to all of the following outcomes:</w:t>
      </w:r>
    </w:p>
    <w:p w14:paraId="73333C84" w14:textId="77777777" w:rsidR="00721C98" w:rsidRDefault="00AE7B71" w:rsidP="00AE7B71">
      <w:pPr>
        <w:pStyle w:val="ListParagraph"/>
        <w:numPr>
          <w:ilvl w:val="0"/>
          <w:numId w:val="56"/>
        </w:numPr>
      </w:pPr>
      <w:r>
        <w:rPr>
          <w:color w:val="000000"/>
        </w:rPr>
        <w:t>Improved framework conditions for integrating citizen science in democratic governance, considering issues of institutional feasibility and preparedness, including protocols and working modalities that foster the use of citizen science data in policies;</w:t>
      </w:r>
    </w:p>
    <w:p w14:paraId="0FA58A31" w14:textId="77777777" w:rsidR="00721C98" w:rsidRDefault="00AE7B71" w:rsidP="00AE7B71">
      <w:pPr>
        <w:pStyle w:val="ListParagraph"/>
        <w:numPr>
          <w:ilvl w:val="0"/>
          <w:numId w:val="56"/>
        </w:numPr>
      </w:pPr>
      <w:r>
        <w:rPr>
          <w:color w:val="000000"/>
        </w:rPr>
        <w:t>Improved data practices employed by researchers and experts in citizen science initiatives;</w:t>
      </w:r>
    </w:p>
    <w:p w14:paraId="5CB3458D" w14:textId="77777777" w:rsidR="00721C98" w:rsidRDefault="00AE7B71" w:rsidP="00AE7B71">
      <w:pPr>
        <w:pStyle w:val="ListParagraph"/>
        <w:numPr>
          <w:ilvl w:val="0"/>
          <w:numId w:val="56"/>
        </w:numPr>
      </w:pPr>
      <w:r>
        <w:rPr>
          <w:color w:val="000000"/>
        </w:rPr>
        <w:t>Increased awareness about the valuable scientific knowledge generated by citizen science and its contributions to tackling societal challenges.</w:t>
      </w:r>
    </w:p>
    <w:p w14:paraId="64802490" w14:textId="77777777" w:rsidR="00721C98" w:rsidRDefault="00AE7B71">
      <w:r>
        <w:rPr>
          <w:color w:val="000000"/>
          <w:u w:val="single"/>
        </w:rPr>
        <w:t>Scope:</w:t>
      </w:r>
      <w:r>
        <w:rPr>
          <w:color w:val="000000"/>
        </w:rPr>
        <w:t xml:space="preserve"> Area 1 aims to improve framework conditions and provide adequate standards and working modalities with a view to improving the links between citizen science and democratic governance.</w:t>
      </w:r>
    </w:p>
    <w:p w14:paraId="23078932" w14:textId="77777777" w:rsidR="00721C98" w:rsidRDefault="00AE7B71">
      <w:r>
        <w:rPr>
          <w:color w:val="000000"/>
        </w:rPr>
        <w:t xml:space="preserve">Proposals should build on the findings of the </w:t>
      </w:r>
      <w:hyperlink r:id="rId17">
        <w:r w:rsidR="00721C98">
          <w:rPr>
            <w:szCs w:val="24"/>
            <w:u w:val="single"/>
          </w:rPr>
          <w:t>Mutual Learning Exercise on Citizen Science</w:t>
        </w:r>
      </w:hyperlink>
      <w:r>
        <w:rPr>
          <w:color w:val="000000"/>
        </w:rPr>
        <w:t xml:space="preserve"> and on any past or ongoing relevant initiatives and projects at European or national level. Project activities should include actors such as research performing and funding organisations, universities, researchers and innovators, research infrastructures, civil society organisations, and policymakers. To achieve the expected outcomes, proposals should address the activities outlined below and propose any additional, complementary activities:</w:t>
      </w:r>
    </w:p>
    <w:p w14:paraId="732717AE" w14:textId="77777777" w:rsidR="00721C98" w:rsidRDefault="00AE7B71" w:rsidP="00AE7B71">
      <w:pPr>
        <w:pStyle w:val="ListParagraph"/>
        <w:numPr>
          <w:ilvl w:val="0"/>
          <w:numId w:val="57"/>
        </w:numPr>
      </w:pPr>
      <w:r>
        <w:rPr>
          <w:color w:val="000000"/>
        </w:rPr>
        <w:t>Provide evidence-based recommendations on how to set up protocols supporting data quality (including validation mechanisms), comparability, and inter-operability in citizen science for policies;</w:t>
      </w:r>
    </w:p>
    <w:p w14:paraId="3DC46A38" w14:textId="77777777" w:rsidR="00721C98" w:rsidRDefault="00AE7B71" w:rsidP="00AE7B71">
      <w:pPr>
        <w:pStyle w:val="ListParagraph"/>
        <w:numPr>
          <w:ilvl w:val="0"/>
          <w:numId w:val="57"/>
        </w:numPr>
      </w:pPr>
      <w:r>
        <w:rPr>
          <w:color w:val="000000"/>
        </w:rPr>
        <w:t>Demonstrate how citizen science can be introduced in institutions through greater preparedness and coherence across different levels of governance, while also addressing issues of equity in public participation;</w:t>
      </w:r>
    </w:p>
    <w:p w14:paraId="332BB17F" w14:textId="77777777" w:rsidR="00721C98" w:rsidRDefault="00AE7B71" w:rsidP="00AE7B71">
      <w:pPr>
        <w:pStyle w:val="ListParagraph"/>
        <w:numPr>
          <w:ilvl w:val="0"/>
          <w:numId w:val="57"/>
        </w:numPr>
      </w:pPr>
      <w:r>
        <w:rPr>
          <w:color w:val="000000"/>
        </w:rPr>
        <w:t>Provide evidence of the impact of citizen science on policy change;</w:t>
      </w:r>
    </w:p>
    <w:p w14:paraId="2E453618" w14:textId="77777777" w:rsidR="00721C98" w:rsidRDefault="00AE7B71" w:rsidP="00AE7B71">
      <w:pPr>
        <w:pStyle w:val="ListParagraph"/>
        <w:numPr>
          <w:ilvl w:val="0"/>
          <w:numId w:val="57"/>
        </w:numPr>
      </w:pPr>
      <w:r>
        <w:rPr>
          <w:color w:val="000000"/>
        </w:rPr>
        <w:lastRenderedPageBreak/>
        <w:t>Raise awareness among relevant stakeholders on incentives for the research community to engage in citizen science.</w:t>
      </w:r>
    </w:p>
    <w:p w14:paraId="30391235" w14:textId="77777777" w:rsidR="00721C98" w:rsidRDefault="00AE7B71">
      <w:r>
        <w:rPr>
          <w:b/>
          <w:color w:val="000000"/>
        </w:rPr>
        <w:t>Area 2: Guiding principles for inclusive engagement in R&amp;I</w:t>
      </w:r>
    </w:p>
    <w:p w14:paraId="187C4CC7" w14:textId="77777777" w:rsidR="00721C98" w:rsidRDefault="00AE7B71">
      <w:r>
        <w:rPr>
          <w:color w:val="000000"/>
          <w:u w:val="single"/>
        </w:rPr>
        <w:t>Expected outcome:</w:t>
      </w:r>
      <w:r>
        <w:rPr>
          <w:color w:val="000000"/>
        </w:rPr>
        <w:t xml:space="preserve"> Project results are expected to contribute to all of the following outcomes:</w:t>
      </w:r>
    </w:p>
    <w:p w14:paraId="739A39BE" w14:textId="77777777" w:rsidR="00721C98" w:rsidRDefault="00AE7B71" w:rsidP="00AE7B71">
      <w:pPr>
        <w:pStyle w:val="ListParagraph"/>
        <w:numPr>
          <w:ilvl w:val="0"/>
          <w:numId w:val="58"/>
        </w:numPr>
      </w:pPr>
      <w:r>
        <w:rPr>
          <w:color w:val="000000"/>
        </w:rPr>
        <w:t>Enhanced institutional and organisational capacities in relation to public engagement and science-society links;</w:t>
      </w:r>
    </w:p>
    <w:p w14:paraId="7EA62ADA" w14:textId="77777777" w:rsidR="00721C98" w:rsidRDefault="00AE7B71" w:rsidP="00AE7B71">
      <w:pPr>
        <w:pStyle w:val="ListParagraph"/>
        <w:numPr>
          <w:ilvl w:val="0"/>
          <w:numId w:val="58"/>
        </w:numPr>
      </w:pPr>
      <w:r>
        <w:rPr>
          <w:color w:val="000000"/>
        </w:rPr>
        <w:t>Common ERA approaches for researchers, policymakers, public engagement professionals, and communication experts to boost public engagement in R&amp;I and science communication;</w:t>
      </w:r>
    </w:p>
    <w:p w14:paraId="47C6DEB6" w14:textId="77777777" w:rsidR="00721C98" w:rsidRDefault="00AE7B71" w:rsidP="00AE7B71">
      <w:pPr>
        <w:pStyle w:val="ListParagraph"/>
        <w:numPr>
          <w:ilvl w:val="0"/>
          <w:numId w:val="58"/>
        </w:numPr>
      </w:pPr>
      <w:r>
        <w:rPr>
          <w:color w:val="000000"/>
        </w:rPr>
        <w:t>Actionable pathways for strengthening the co-creation of R&amp;I by society, and evidence of the impacts of public engagement.</w:t>
      </w:r>
    </w:p>
    <w:p w14:paraId="335ACD27" w14:textId="77777777" w:rsidR="00721C98" w:rsidRDefault="00AE7B71">
      <w:r>
        <w:rPr>
          <w:color w:val="000000"/>
          <w:u w:val="single"/>
        </w:rPr>
        <w:t>Scope:</w:t>
      </w:r>
      <w:r>
        <w:rPr>
          <w:color w:val="000000"/>
        </w:rPr>
        <w:t xml:space="preserve"> Area 2 aims to develop common ERA approaches for public engagement in R&amp;I and science communication to make the R&amp;I ecosystem more participatory, trustworthy, democratic, open and responsible and improving its capacity to tackle societal challenges.</w:t>
      </w:r>
    </w:p>
    <w:p w14:paraId="3D7D0D43" w14:textId="77777777" w:rsidR="00721C98" w:rsidRDefault="00AE7B71">
      <w:r>
        <w:rPr>
          <w:color w:val="000000"/>
        </w:rPr>
        <w:t xml:space="preserve">Proposals should build on the findings of the </w:t>
      </w:r>
      <w:hyperlink r:id="rId18">
        <w:r w:rsidR="00721C98">
          <w:rPr>
            <w:szCs w:val="24"/>
            <w:u w:val="single"/>
          </w:rPr>
          <w:t>Mutual Learning Exercise on Public Engagement in R&amp;I</w:t>
        </w:r>
      </w:hyperlink>
      <w:r>
        <w:rPr>
          <w:color w:val="000000"/>
        </w:rPr>
        <w:t xml:space="preserve">, the </w:t>
      </w:r>
      <w:hyperlink r:id="rId19" w:anchor=":~:text=TheCodeofpracticeon,engagementforimprovedknowledgevalorisation.">
        <w:r w:rsidR="00721C98">
          <w:rPr>
            <w:szCs w:val="24"/>
            <w:u w:val="single"/>
          </w:rPr>
          <w:t>code of practice</w:t>
        </w:r>
      </w:hyperlink>
      <w:r>
        <w:rPr>
          <w:color w:val="000000"/>
        </w:rPr>
        <w:t xml:space="preserve"> on citizen engagement for knowledge valorisation, and any past or ongoing relevant initiatives, experiments and projects at European or national level</w:t>
      </w:r>
      <w:r>
        <w:rPr>
          <w:vertAlign w:val="superscript"/>
        </w:rPr>
        <w:footnoteReference w:id="79"/>
      </w:r>
      <w:r>
        <w:rPr>
          <w:color w:val="000000"/>
        </w:rPr>
        <w:t>. The target groups for this action are research performing organisations and funding organisations, universities, researchers and innovators, policymakers, science communicators, public engagement professionals, and members of the media. To achieve the expected outcomes, proposals should address the activities outlined below and propose any additional, complementary activities:</w:t>
      </w:r>
    </w:p>
    <w:p w14:paraId="017290BF" w14:textId="77777777" w:rsidR="00721C98" w:rsidRDefault="00AE7B71" w:rsidP="00AE7B71">
      <w:pPr>
        <w:pStyle w:val="ListParagraph"/>
        <w:numPr>
          <w:ilvl w:val="0"/>
          <w:numId w:val="59"/>
        </w:numPr>
      </w:pPr>
      <w:r>
        <w:rPr>
          <w:color w:val="000000"/>
        </w:rPr>
        <w:t>Provide actionable recommendations for mechanisms (e.g., guidelines, funding schemes, co-creation methodologies) for sustainable citizen participation and engagement in R&amp;I of diverse groups of citizens, including those not habitually involved in science;</w:t>
      </w:r>
    </w:p>
    <w:p w14:paraId="232794DA" w14:textId="77777777" w:rsidR="00721C98" w:rsidRDefault="00AE7B71" w:rsidP="00AE7B71">
      <w:pPr>
        <w:pStyle w:val="ListParagraph"/>
        <w:numPr>
          <w:ilvl w:val="0"/>
          <w:numId w:val="59"/>
        </w:numPr>
      </w:pPr>
      <w:r>
        <w:rPr>
          <w:color w:val="000000"/>
        </w:rPr>
        <w:t>Provide recommendations to support institutional capacity building, organisational structures and careers (in research performing organisations) in relation to facilitating interaction with society through innovative science communication, engagement, and participation of diverse groups of citizens;</w:t>
      </w:r>
    </w:p>
    <w:p w14:paraId="40864224" w14:textId="77777777" w:rsidR="00721C98" w:rsidRDefault="00AE7B71" w:rsidP="00AE7B71">
      <w:pPr>
        <w:pStyle w:val="ListParagraph"/>
        <w:numPr>
          <w:ilvl w:val="0"/>
          <w:numId w:val="59"/>
        </w:numPr>
      </w:pPr>
      <w:r>
        <w:rPr>
          <w:color w:val="000000"/>
        </w:rPr>
        <w:t>Establish an evidence base on the effectiveness and impact of public engagement in R&amp;I and science communication; identify evaluation indicators for different policy settings;</w:t>
      </w:r>
    </w:p>
    <w:p w14:paraId="79A44756" w14:textId="77777777" w:rsidR="00721C98" w:rsidRDefault="00AE7B71" w:rsidP="00AE7B71">
      <w:pPr>
        <w:pStyle w:val="ListParagraph"/>
        <w:numPr>
          <w:ilvl w:val="0"/>
          <w:numId w:val="59"/>
        </w:numPr>
      </w:pPr>
      <w:r>
        <w:rPr>
          <w:color w:val="000000"/>
        </w:rPr>
        <w:t>Offer guidance for developing ethical guidelines for citizen engagement, participation, and science communication, ensuring their inclusion in institutional ethics and integrity committees and frameworks;</w:t>
      </w:r>
    </w:p>
    <w:p w14:paraId="2E51B81D" w14:textId="77777777" w:rsidR="00721C98" w:rsidRDefault="00AE7B71" w:rsidP="00AE7B71">
      <w:pPr>
        <w:pStyle w:val="ListParagraph"/>
        <w:numPr>
          <w:ilvl w:val="0"/>
          <w:numId w:val="59"/>
        </w:numPr>
      </w:pPr>
      <w:r>
        <w:rPr>
          <w:color w:val="000000"/>
        </w:rPr>
        <w:lastRenderedPageBreak/>
        <w:t>Propose pathways to tackle issues of equity and inclusion in public engagement in R&amp;I also considering beliefs, awareness and misperceptions by citizens.</w:t>
      </w:r>
    </w:p>
    <w:p w14:paraId="1010EC68" w14:textId="77777777" w:rsidR="00721C98" w:rsidRDefault="00AE7B71">
      <w:pPr>
        <w:pStyle w:val="HeadingThree"/>
      </w:pPr>
      <w:r>
        <w:t>HORIZON-WIDERA-2026-06-ERA-06: Pillar III: European Citizens' Hackathon Championship</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90"/>
        <w:gridCol w:w="7012"/>
      </w:tblGrid>
      <w:tr w:rsidR="00DB4111" w14:paraId="5C801E71" w14:textId="77777777" w:rsidTr="00DB4111">
        <w:tc>
          <w:tcPr>
            <w:tcW w:w="0" w:type="auto"/>
            <w:gridSpan w:val="2"/>
          </w:tcPr>
          <w:p w14:paraId="744A0A46" w14:textId="77777777" w:rsidR="00721C98" w:rsidRDefault="00AE7B71">
            <w:pPr>
              <w:pStyle w:val="CellTextValue"/>
            </w:pPr>
            <w:r>
              <w:rPr>
                <w:b/>
              </w:rPr>
              <w:t>Call: Enhancing the European R&amp;I system</w:t>
            </w:r>
          </w:p>
        </w:tc>
      </w:tr>
      <w:tr w:rsidR="00DB4111" w14:paraId="2CAB1E0B" w14:textId="77777777" w:rsidTr="00DB4111">
        <w:tc>
          <w:tcPr>
            <w:tcW w:w="0" w:type="auto"/>
            <w:gridSpan w:val="2"/>
          </w:tcPr>
          <w:p w14:paraId="3A1CC359" w14:textId="77777777" w:rsidR="00721C98" w:rsidRDefault="00AE7B71">
            <w:pPr>
              <w:pStyle w:val="CellTextValue"/>
            </w:pPr>
            <w:r>
              <w:rPr>
                <w:b/>
              </w:rPr>
              <w:t>Specific conditions</w:t>
            </w:r>
          </w:p>
        </w:tc>
      </w:tr>
      <w:tr w:rsidR="00721C98" w14:paraId="0EEB7B53" w14:textId="77777777">
        <w:tc>
          <w:tcPr>
            <w:tcW w:w="0" w:type="auto"/>
          </w:tcPr>
          <w:p w14:paraId="3BAC4D8F" w14:textId="77777777" w:rsidR="00721C98" w:rsidRDefault="00AE7B71">
            <w:pPr>
              <w:pStyle w:val="CellTextValue"/>
              <w:jc w:val="left"/>
            </w:pPr>
            <w:r>
              <w:rPr>
                <w:i/>
              </w:rPr>
              <w:t>Expected EU contribution per project</w:t>
            </w:r>
          </w:p>
        </w:tc>
        <w:tc>
          <w:tcPr>
            <w:tcW w:w="0" w:type="auto"/>
          </w:tcPr>
          <w:p w14:paraId="5C283E50" w14:textId="77777777" w:rsidR="00721C98" w:rsidRDefault="00AE7B71">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721C98" w14:paraId="22C6B683" w14:textId="77777777">
        <w:tc>
          <w:tcPr>
            <w:tcW w:w="0" w:type="auto"/>
          </w:tcPr>
          <w:p w14:paraId="7AE6E715" w14:textId="77777777" w:rsidR="00721C98" w:rsidRDefault="00AE7B71">
            <w:pPr>
              <w:pStyle w:val="CellTextValue"/>
              <w:jc w:val="left"/>
            </w:pPr>
            <w:r>
              <w:rPr>
                <w:i/>
              </w:rPr>
              <w:t>Indicative budget</w:t>
            </w:r>
          </w:p>
        </w:tc>
        <w:tc>
          <w:tcPr>
            <w:tcW w:w="0" w:type="auto"/>
          </w:tcPr>
          <w:p w14:paraId="073BF8DC" w14:textId="77777777" w:rsidR="00721C98" w:rsidRDefault="00AE7B71">
            <w:pPr>
              <w:pStyle w:val="CellTextValue"/>
            </w:pPr>
            <w:r>
              <w:t>The total indicative budget for the topic is EUR 3.00 million.</w:t>
            </w:r>
          </w:p>
        </w:tc>
      </w:tr>
      <w:tr w:rsidR="00721C98" w14:paraId="6A82D9B7" w14:textId="77777777">
        <w:tc>
          <w:tcPr>
            <w:tcW w:w="0" w:type="auto"/>
          </w:tcPr>
          <w:p w14:paraId="3C5487F9" w14:textId="77777777" w:rsidR="00721C98" w:rsidRDefault="00AE7B71">
            <w:pPr>
              <w:pStyle w:val="CellTextValue"/>
              <w:jc w:val="left"/>
            </w:pPr>
            <w:r>
              <w:rPr>
                <w:i/>
              </w:rPr>
              <w:t>Type of Action</w:t>
            </w:r>
          </w:p>
        </w:tc>
        <w:tc>
          <w:tcPr>
            <w:tcW w:w="0" w:type="auto"/>
          </w:tcPr>
          <w:p w14:paraId="11F120C5" w14:textId="77777777" w:rsidR="00721C98" w:rsidRDefault="00AE7B71">
            <w:pPr>
              <w:pStyle w:val="CellTextValue"/>
            </w:pPr>
            <w:r>
              <w:rPr>
                <w:color w:val="000000"/>
              </w:rPr>
              <w:t>Coordination and Support Actions</w:t>
            </w:r>
          </w:p>
        </w:tc>
      </w:tr>
      <w:tr w:rsidR="00721C98" w14:paraId="25028000" w14:textId="77777777">
        <w:tc>
          <w:tcPr>
            <w:tcW w:w="0" w:type="auto"/>
          </w:tcPr>
          <w:p w14:paraId="38E72B81" w14:textId="77777777" w:rsidR="00721C98" w:rsidRDefault="00AE7B71">
            <w:pPr>
              <w:pStyle w:val="CellTextValue"/>
              <w:jc w:val="left"/>
            </w:pPr>
            <w:r>
              <w:rPr>
                <w:i/>
              </w:rPr>
              <w:t>Eligibility conditions</w:t>
            </w:r>
          </w:p>
        </w:tc>
        <w:tc>
          <w:tcPr>
            <w:tcW w:w="0" w:type="auto"/>
          </w:tcPr>
          <w:p w14:paraId="177CCE88" w14:textId="77777777" w:rsidR="00721C98" w:rsidRDefault="00AE7B71">
            <w:pPr>
              <w:pStyle w:val="CellTextValue"/>
            </w:pPr>
            <w:r>
              <w:rPr>
                <w:color w:val="000000"/>
              </w:rPr>
              <w:t>The conditions are described in General Annex B. The following exceptions apply:</w:t>
            </w:r>
          </w:p>
          <w:p w14:paraId="2A0BE2A4"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0EE0DB1C" w14:textId="77777777">
        <w:tc>
          <w:tcPr>
            <w:tcW w:w="0" w:type="auto"/>
          </w:tcPr>
          <w:p w14:paraId="6BF55258" w14:textId="77777777" w:rsidR="00721C98" w:rsidRDefault="00AE7B71">
            <w:pPr>
              <w:pStyle w:val="CellTextValue"/>
              <w:jc w:val="left"/>
            </w:pPr>
            <w:r>
              <w:rPr>
                <w:i/>
              </w:rPr>
              <w:t>Legal and financial set-up of the Grant Agreements</w:t>
            </w:r>
          </w:p>
        </w:tc>
        <w:tc>
          <w:tcPr>
            <w:tcW w:w="0" w:type="auto"/>
          </w:tcPr>
          <w:p w14:paraId="3D64EBB6" w14:textId="77777777" w:rsidR="00721C98" w:rsidRDefault="00AE7B71">
            <w:pPr>
              <w:pStyle w:val="CellTextValue"/>
            </w:pPr>
            <w:r>
              <w:rPr>
                <w:color w:val="000000"/>
              </w:rPr>
              <w:t>The rules are described in General Annex G. The following exceptions apply:</w:t>
            </w:r>
          </w:p>
          <w:p w14:paraId="63B374C4" w14:textId="77777777" w:rsidR="00721C98" w:rsidRDefault="00AE7B71">
            <w:pPr>
              <w:pStyle w:val="CellTextValue"/>
            </w:pPr>
            <w:r>
              <w:rPr>
                <w:color w:val="000000"/>
              </w:rPr>
              <w:t>Beneficiaries must provide financial support to third parties. The financial support to third parties can only be provided in the form of prizes. The maximum amount to be awarded to each third party is EUR 20 000.</w:t>
            </w:r>
          </w:p>
          <w:p w14:paraId="76936043" w14:textId="77777777" w:rsidR="00721C98" w:rsidRDefault="00AE7B71">
            <w:pPr>
              <w:pStyle w:val="CellTextValue"/>
            </w:pPr>
            <w:r>
              <w:rPr>
                <w:color w:val="000000"/>
              </w:rPr>
              <w:t>Subcontracting is not restricted to a limited part of the action.</w:t>
            </w:r>
          </w:p>
        </w:tc>
      </w:tr>
    </w:tbl>
    <w:p w14:paraId="634282E2" w14:textId="77777777" w:rsidR="00721C98" w:rsidRDefault="00721C98">
      <w:pPr>
        <w:spacing w:after="0" w:line="150" w:lineRule="auto"/>
      </w:pPr>
    </w:p>
    <w:p w14:paraId="09A3FD69" w14:textId="77777777" w:rsidR="00721C98" w:rsidRDefault="00AE7B71">
      <w:r>
        <w:rPr>
          <w:u w:val="single"/>
        </w:rPr>
        <w:t>Expected Outcome</w:t>
      </w:r>
      <w:r>
        <w:t xml:space="preserve">: </w:t>
      </w:r>
      <w:r>
        <w:rPr>
          <w:color w:val="000000"/>
        </w:rPr>
        <w:t>Proposals will deliver on the impact of “Stronger translation of R&amp;I results into society and economy”, contributing to the ERA Structural Policy “Upscaling knowledge valorisation capacities and activities”. Project results are expected to contribute to the following outcomes:</w:t>
      </w:r>
    </w:p>
    <w:p w14:paraId="733D486F" w14:textId="77777777" w:rsidR="00721C98" w:rsidRDefault="00AE7B71" w:rsidP="00AE7B71">
      <w:pPr>
        <w:pStyle w:val="ListParagraph"/>
        <w:numPr>
          <w:ilvl w:val="0"/>
          <w:numId w:val="60"/>
        </w:numPr>
      </w:pPr>
      <w:r>
        <w:rPr>
          <w:color w:val="000000"/>
        </w:rPr>
        <w:t>Hundreds of innovative solutions resulting from the co-creation in transdisciplinary teams of researchers and citizens, supported through mentoring, business and technical advice and training to enter the market;</w:t>
      </w:r>
    </w:p>
    <w:p w14:paraId="1110B95F" w14:textId="77777777" w:rsidR="00721C98" w:rsidRDefault="00AE7B71" w:rsidP="00AE7B71">
      <w:pPr>
        <w:pStyle w:val="ListParagraph"/>
        <w:numPr>
          <w:ilvl w:val="0"/>
          <w:numId w:val="60"/>
        </w:numPr>
      </w:pPr>
      <w:r>
        <w:rPr>
          <w:color w:val="000000"/>
        </w:rPr>
        <w:t>Upgraded skills for innovation and entrepreneurship among researchers and citizens across Europe, promoting business mindsets and contributing to new business startups that are given exposure and opportunities to grow at European level;</w:t>
      </w:r>
    </w:p>
    <w:p w14:paraId="49A42C7B" w14:textId="77777777" w:rsidR="00721C98" w:rsidRDefault="00AE7B71" w:rsidP="00AE7B71">
      <w:pPr>
        <w:pStyle w:val="ListParagraph"/>
        <w:numPr>
          <w:ilvl w:val="0"/>
          <w:numId w:val="60"/>
        </w:numPr>
      </w:pPr>
      <w:r>
        <w:rPr>
          <w:color w:val="000000"/>
        </w:rPr>
        <w:lastRenderedPageBreak/>
        <w:t>Increased awareness of societal challenges and R&amp;I for new solutions to address them;</w:t>
      </w:r>
    </w:p>
    <w:p w14:paraId="3A4B42A6" w14:textId="77777777" w:rsidR="00721C98" w:rsidRDefault="00AE7B71" w:rsidP="00AE7B71">
      <w:pPr>
        <w:pStyle w:val="ListParagraph"/>
        <w:numPr>
          <w:ilvl w:val="0"/>
          <w:numId w:val="60"/>
        </w:numPr>
      </w:pPr>
      <w:r>
        <w:rPr>
          <w:color w:val="000000"/>
        </w:rPr>
        <w:t>Increased trust in science and broader use of participatory and citizen engagement approaches to create value for market and society.</w:t>
      </w:r>
    </w:p>
    <w:p w14:paraId="7448BD95" w14:textId="77777777" w:rsidR="00721C98" w:rsidRDefault="00AE7B71">
      <w:r>
        <w:rPr>
          <w:u w:val="single"/>
        </w:rPr>
        <w:t>Scope</w:t>
      </w:r>
      <w:r>
        <w:t xml:space="preserve">: </w:t>
      </w:r>
      <w:r>
        <w:rPr>
          <w:color w:val="000000"/>
        </w:rPr>
        <w:t>This topic focuses on connecting R&amp;I with citizens and other stakeholders in order to upscale knowledge valorisation, while also contributing to increased trust in science and alignment of R&amp;I with society’s needs, expectations and values.</w:t>
      </w:r>
    </w:p>
    <w:p w14:paraId="259DF0D2" w14:textId="77777777" w:rsidR="00721C98" w:rsidRDefault="00AE7B71">
      <w:r>
        <w:rPr>
          <w:color w:val="000000"/>
        </w:rPr>
        <w:t>It aims to accelerate knowledge valorisation through citizen engagement by driving the co-creation of innovative solutions that address citizens' needs, in joint teams of researchers and citizens, thereby supporting their market uptake.</w:t>
      </w:r>
    </w:p>
    <w:p w14:paraId="372C6D26" w14:textId="77777777" w:rsidR="00721C98" w:rsidRDefault="00AE7B71">
      <w:r>
        <w:rPr>
          <w:color w:val="000000"/>
        </w:rPr>
        <w:t>The topic will enable researchers and citizens from across Europe to work together in transnational, transdisciplinary teams to address societal challenges through existing research results and to create new businesses to bring their innovative solutions to market. Municipalities, regional and city councils, research organisations, business and innovation centres, and other entities are invited to jointly implement, for three consecutive years (2027-2029), an annual, year-long competition, the “European Cit</w:t>
      </w:r>
      <w:r>
        <w:rPr>
          <w:color w:val="000000"/>
        </w:rPr>
        <w:t>izens’ Hackathon Championship”, with impact at local, regional and European level.</w:t>
      </w:r>
    </w:p>
    <w:p w14:paraId="3E6421DF" w14:textId="77777777" w:rsidR="00721C98" w:rsidRDefault="00AE7B71">
      <w:r>
        <w:rPr>
          <w:color w:val="000000"/>
        </w:rPr>
        <w:t>Each annual competition will consist of a first-phase of hackathons taking place as physical meetings in several locations (cities and communities) across Europe, addressing issues that affect people’s lives. The detailed programme of activities, including the theme of the first annual competition, must be delivered within 3 months of start of the grant agreement and be approved by the granting authority. Subsequent themes will be agreed with the granting authority at the latest in month 14 and 26 of the ac</w:t>
      </w:r>
      <w:r>
        <w:rPr>
          <w:color w:val="000000"/>
        </w:rPr>
        <w:t>tion.</w:t>
      </w:r>
    </w:p>
    <w:p w14:paraId="22744467" w14:textId="77777777" w:rsidR="00721C98" w:rsidRDefault="00AE7B71">
      <w:r>
        <w:rPr>
          <w:color w:val="000000"/>
        </w:rPr>
        <w:t>The winning teams of these first-phase hackathons will then compete at the European level for the title of European Champion. The total financial award of EUR 60 000 per year will be shared equally among the three winning teams of each annual competition.</w:t>
      </w:r>
    </w:p>
    <w:p w14:paraId="6170D578" w14:textId="77777777" w:rsidR="00721C98" w:rsidRDefault="00AE7B71">
      <w:r>
        <w:rPr>
          <w:color w:val="000000"/>
        </w:rPr>
        <w:t>The final event should also engage broad groups of stakeholders, including citizens, researchers, industry, public authorities, investors, and business developers.</w:t>
      </w:r>
    </w:p>
    <w:p w14:paraId="40BA4352" w14:textId="77777777" w:rsidR="00721C98" w:rsidRDefault="00AE7B71">
      <w:r>
        <w:rPr>
          <w:color w:val="000000"/>
        </w:rPr>
        <w:t>Proposals should describe the plan for rolling out the competition over three consecutive years and supporting winning teams in the uptake of their solutions.</w:t>
      </w:r>
    </w:p>
    <w:p w14:paraId="44B57BC1" w14:textId="77777777" w:rsidR="00721C98" w:rsidRDefault="00AE7B71">
      <w:r>
        <w:rPr>
          <w:color w:val="000000"/>
        </w:rPr>
        <w:t>The three cities hosting the yearly European-level hackathons should be members or associated partners of the consortium. The first-phase hackathons should take place in at least 14 physical locations across Europe and be open to participating teams from all Member States and Associated Countries.</w:t>
      </w:r>
    </w:p>
    <w:p w14:paraId="01596239" w14:textId="77777777" w:rsidR="00721C98" w:rsidRDefault="00AE7B71">
      <w:r>
        <w:rPr>
          <w:color w:val="000000"/>
        </w:rPr>
        <w:t>Wherever possible, synergies should be sought with other programmes such as “Science comes to town”, the European Researchers’ Night, the New European Bauhaus Festival, and others at every step of the championship.</w:t>
      </w:r>
    </w:p>
    <w:p w14:paraId="5D19E6A4" w14:textId="77777777" w:rsidR="00721C98" w:rsidRDefault="00AE7B71">
      <w:r>
        <w:rPr>
          <w:color w:val="000000"/>
        </w:rPr>
        <w:lastRenderedPageBreak/>
        <w:t>Physical and digital accessibility should be ensured in all phases of the championship. Particular attention should be paid to promoting inclusive gender equality and addressing gender-specific challenges, where relevant.</w:t>
      </w:r>
    </w:p>
    <w:p w14:paraId="45B21BCA" w14:textId="77777777" w:rsidR="00721C98" w:rsidRDefault="00AE7B71">
      <w:r>
        <w:rPr>
          <w:color w:val="000000"/>
        </w:rPr>
        <w:t>Expected project duration is up to 4 years without prejudice to a longer duration if justified.</w:t>
      </w:r>
    </w:p>
    <w:p w14:paraId="5CE0DD23" w14:textId="77777777" w:rsidR="00721C98" w:rsidRDefault="00AE7B71">
      <w:pPr>
        <w:pStyle w:val="HeadingThree"/>
      </w:pPr>
      <w:r>
        <w:t>HORIZON-WIDERA-2026-06-ERA-07: Pillar III: Science comes to town 2028</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9"/>
        <w:gridCol w:w="7193"/>
      </w:tblGrid>
      <w:tr w:rsidR="00DB4111" w14:paraId="75B1FC7B" w14:textId="77777777" w:rsidTr="00DB4111">
        <w:tc>
          <w:tcPr>
            <w:tcW w:w="0" w:type="auto"/>
            <w:gridSpan w:val="2"/>
          </w:tcPr>
          <w:p w14:paraId="39906FDE" w14:textId="77777777" w:rsidR="00721C98" w:rsidRDefault="00AE7B71">
            <w:pPr>
              <w:pStyle w:val="CellTextValue"/>
            </w:pPr>
            <w:r>
              <w:rPr>
                <w:b/>
              </w:rPr>
              <w:t>Call: Enhancing the European R&amp;I system</w:t>
            </w:r>
          </w:p>
        </w:tc>
      </w:tr>
      <w:tr w:rsidR="00DB4111" w14:paraId="107D5878" w14:textId="77777777" w:rsidTr="00DB4111">
        <w:tc>
          <w:tcPr>
            <w:tcW w:w="0" w:type="auto"/>
            <w:gridSpan w:val="2"/>
          </w:tcPr>
          <w:p w14:paraId="482FEA1A" w14:textId="77777777" w:rsidR="00721C98" w:rsidRDefault="00AE7B71">
            <w:pPr>
              <w:pStyle w:val="CellTextValue"/>
            </w:pPr>
            <w:r>
              <w:rPr>
                <w:b/>
              </w:rPr>
              <w:t>Specific conditions</w:t>
            </w:r>
          </w:p>
        </w:tc>
      </w:tr>
      <w:tr w:rsidR="00721C98" w14:paraId="21030D44" w14:textId="77777777">
        <w:tc>
          <w:tcPr>
            <w:tcW w:w="0" w:type="auto"/>
          </w:tcPr>
          <w:p w14:paraId="33B7B6A8" w14:textId="77777777" w:rsidR="00721C98" w:rsidRDefault="00AE7B71">
            <w:pPr>
              <w:pStyle w:val="CellTextValue"/>
              <w:jc w:val="left"/>
            </w:pPr>
            <w:r>
              <w:rPr>
                <w:i/>
              </w:rPr>
              <w:t>Expected EU contribution per project</w:t>
            </w:r>
          </w:p>
        </w:tc>
        <w:tc>
          <w:tcPr>
            <w:tcW w:w="0" w:type="auto"/>
          </w:tcPr>
          <w:p w14:paraId="29E71450" w14:textId="77777777" w:rsidR="00721C98" w:rsidRDefault="00AE7B71">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721C98" w14:paraId="10653536" w14:textId="77777777">
        <w:tc>
          <w:tcPr>
            <w:tcW w:w="0" w:type="auto"/>
          </w:tcPr>
          <w:p w14:paraId="0D20B921" w14:textId="77777777" w:rsidR="00721C98" w:rsidRDefault="00AE7B71">
            <w:pPr>
              <w:pStyle w:val="CellTextValue"/>
              <w:jc w:val="left"/>
            </w:pPr>
            <w:r>
              <w:rPr>
                <w:i/>
              </w:rPr>
              <w:t>Indicative budget</w:t>
            </w:r>
          </w:p>
        </w:tc>
        <w:tc>
          <w:tcPr>
            <w:tcW w:w="0" w:type="auto"/>
          </w:tcPr>
          <w:p w14:paraId="3B6AEF25" w14:textId="77777777" w:rsidR="00721C98" w:rsidRDefault="00AE7B71">
            <w:pPr>
              <w:pStyle w:val="CellTextValue"/>
            </w:pPr>
            <w:r>
              <w:t>The total indicative budget for the topic is EUR 6.00 million.</w:t>
            </w:r>
          </w:p>
        </w:tc>
      </w:tr>
      <w:tr w:rsidR="00721C98" w14:paraId="783EBCB1" w14:textId="77777777">
        <w:tc>
          <w:tcPr>
            <w:tcW w:w="0" w:type="auto"/>
          </w:tcPr>
          <w:p w14:paraId="15B71922" w14:textId="77777777" w:rsidR="00721C98" w:rsidRDefault="00AE7B71">
            <w:pPr>
              <w:pStyle w:val="CellTextValue"/>
              <w:jc w:val="left"/>
            </w:pPr>
            <w:r>
              <w:rPr>
                <w:i/>
              </w:rPr>
              <w:t>Type of Action</w:t>
            </w:r>
          </w:p>
        </w:tc>
        <w:tc>
          <w:tcPr>
            <w:tcW w:w="0" w:type="auto"/>
          </w:tcPr>
          <w:p w14:paraId="2C4BEFE4" w14:textId="77777777" w:rsidR="00721C98" w:rsidRDefault="00AE7B71">
            <w:pPr>
              <w:pStyle w:val="CellTextValue"/>
            </w:pPr>
            <w:r>
              <w:rPr>
                <w:color w:val="000000"/>
              </w:rPr>
              <w:t>Coordination and Support Actions</w:t>
            </w:r>
          </w:p>
        </w:tc>
      </w:tr>
      <w:tr w:rsidR="00721C98" w14:paraId="0DEFBC67" w14:textId="77777777">
        <w:tc>
          <w:tcPr>
            <w:tcW w:w="0" w:type="auto"/>
          </w:tcPr>
          <w:p w14:paraId="19D9BB5A" w14:textId="77777777" w:rsidR="00721C98" w:rsidRDefault="00AE7B71">
            <w:pPr>
              <w:pStyle w:val="CellTextValue"/>
              <w:jc w:val="left"/>
            </w:pPr>
            <w:r>
              <w:rPr>
                <w:i/>
              </w:rPr>
              <w:t>Eligibility conditions</w:t>
            </w:r>
          </w:p>
        </w:tc>
        <w:tc>
          <w:tcPr>
            <w:tcW w:w="0" w:type="auto"/>
          </w:tcPr>
          <w:p w14:paraId="50F538A5" w14:textId="77777777" w:rsidR="00721C98" w:rsidRDefault="00AE7B71">
            <w:pPr>
              <w:pStyle w:val="CellTextValue"/>
            </w:pPr>
            <w:r>
              <w:rPr>
                <w:color w:val="000000"/>
              </w:rPr>
              <w:t>The conditions are described in General Annex B. The following exceptions apply:</w:t>
            </w:r>
          </w:p>
          <w:p w14:paraId="6A8B00AF"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p w14:paraId="71A6253E" w14:textId="77777777" w:rsidR="00721C98" w:rsidRDefault="00AE7B71">
            <w:pPr>
              <w:pStyle w:val="CellTextValue"/>
            </w:pPr>
            <w:r>
              <w:rPr>
                <w:color w:val="000000"/>
              </w:rPr>
              <w:t>The participating city that the proposal designates as host for EUCYS 2028 must provide as part of the proposal the commitment from its respective National EUCYS Organiser to run the 2028 competition as part of the project (EUCYS National Organiser must either participate as a beneficiary or associated partner, or provide a commitment letter).</w:t>
            </w:r>
          </w:p>
        </w:tc>
      </w:tr>
      <w:tr w:rsidR="00721C98" w14:paraId="302DB25C" w14:textId="77777777">
        <w:tc>
          <w:tcPr>
            <w:tcW w:w="0" w:type="auto"/>
          </w:tcPr>
          <w:p w14:paraId="411B7F14" w14:textId="77777777" w:rsidR="00721C98" w:rsidRDefault="00AE7B71">
            <w:pPr>
              <w:pStyle w:val="CellTextValue"/>
              <w:jc w:val="left"/>
            </w:pPr>
            <w:r>
              <w:rPr>
                <w:i/>
              </w:rPr>
              <w:t>Legal and financial set-up of the Grant Agreements</w:t>
            </w:r>
          </w:p>
        </w:tc>
        <w:tc>
          <w:tcPr>
            <w:tcW w:w="0" w:type="auto"/>
          </w:tcPr>
          <w:p w14:paraId="56E6FCEE" w14:textId="77777777" w:rsidR="00721C98" w:rsidRDefault="00AE7B71">
            <w:pPr>
              <w:pStyle w:val="CellTextValue"/>
            </w:pPr>
            <w:r>
              <w:rPr>
                <w:color w:val="000000"/>
              </w:rPr>
              <w:t>The rules are described in General Annex G. The following exceptions apply:</w:t>
            </w:r>
          </w:p>
          <w:p w14:paraId="7682080E" w14:textId="77777777" w:rsidR="00721C98" w:rsidRDefault="00AE7B71">
            <w:pPr>
              <w:pStyle w:val="CellTextValue"/>
            </w:pPr>
            <w:r>
              <w:rPr>
                <w:color w:val="000000"/>
              </w:rPr>
              <w:t>Subcontracting is not restricted to a limited part of the action.</w:t>
            </w:r>
          </w:p>
          <w:p w14:paraId="757BF9DE" w14:textId="77777777" w:rsidR="00721C98" w:rsidRDefault="00AE7B71">
            <w:pPr>
              <w:pStyle w:val="CellTextValue"/>
            </w:pPr>
            <w:r>
              <w:rPr>
                <w:color w:val="000000"/>
              </w:rPr>
              <w:t>Beneficiaries must provide financial support to third parties. The financial support to third parties can only be provided in the form of prizes. The maximum amount to be awarded to each third party (recipient) is EUR 60 000.</w:t>
            </w:r>
          </w:p>
        </w:tc>
      </w:tr>
    </w:tbl>
    <w:p w14:paraId="64203EDF" w14:textId="77777777" w:rsidR="00721C98" w:rsidRDefault="00721C98">
      <w:pPr>
        <w:spacing w:after="0" w:line="150" w:lineRule="auto"/>
      </w:pPr>
    </w:p>
    <w:p w14:paraId="4418EDD8" w14:textId="77777777" w:rsidR="00721C98" w:rsidRDefault="00AE7B71">
      <w:r>
        <w:rPr>
          <w:u w:val="single"/>
        </w:rPr>
        <w:t>Expected Outcome</w:t>
      </w:r>
      <w:r>
        <w:t xml:space="preserve">: </w:t>
      </w:r>
      <w:r>
        <w:rPr>
          <w:color w:val="000000"/>
        </w:rPr>
        <w:t>The successful proposal will deliver on the impact “Increased alignment of research with society’s needs, expectations and values”. Project results are expected to contribute to all of the following expected outcomes:</w:t>
      </w:r>
    </w:p>
    <w:p w14:paraId="0B69427A" w14:textId="77777777" w:rsidR="00721C98" w:rsidRDefault="00AE7B71" w:rsidP="00AE7B71">
      <w:pPr>
        <w:pStyle w:val="ListParagraph"/>
        <w:numPr>
          <w:ilvl w:val="0"/>
          <w:numId w:val="61"/>
        </w:numPr>
      </w:pPr>
      <w:r>
        <w:rPr>
          <w:color w:val="000000"/>
        </w:rPr>
        <w:lastRenderedPageBreak/>
        <w:t>Strengthened capacity, networks and involvement of the participating cities in science communication and citizen engagement in science;</w:t>
      </w:r>
    </w:p>
    <w:p w14:paraId="6027EEFA" w14:textId="77777777" w:rsidR="00721C98" w:rsidRDefault="00AE7B71" w:rsidP="00AE7B71">
      <w:pPr>
        <w:pStyle w:val="ListParagraph"/>
        <w:numPr>
          <w:ilvl w:val="0"/>
          <w:numId w:val="61"/>
        </w:numPr>
      </w:pPr>
      <w:r>
        <w:rPr>
          <w:color w:val="000000"/>
        </w:rPr>
        <w:t>More informed, evidence-based policymaking and increased public engagement through inclusive and participatory discussions and debates on science and R&amp;I policy;</w:t>
      </w:r>
    </w:p>
    <w:p w14:paraId="7707D08C" w14:textId="77777777" w:rsidR="00721C98" w:rsidRDefault="00AE7B71" w:rsidP="00AE7B71">
      <w:pPr>
        <w:pStyle w:val="ListParagraph"/>
        <w:numPr>
          <w:ilvl w:val="0"/>
          <w:numId w:val="61"/>
        </w:numPr>
      </w:pPr>
      <w:r>
        <w:rPr>
          <w:color w:val="000000"/>
        </w:rPr>
        <w:t>Improved attractiveness of diverse careers in R&amp;I for younger generations.</w:t>
      </w:r>
    </w:p>
    <w:p w14:paraId="01D88200" w14:textId="77777777" w:rsidR="00721C98" w:rsidRDefault="00AE7B71">
      <w:r>
        <w:rPr>
          <w:u w:val="single"/>
        </w:rPr>
        <w:t>Scope</w:t>
      </w:r>
      <w:r>
        <w:t xml:space="preserve">: </w:t>
      </w:r>
      <w:r>
        <w:rPr>
          <w:color w:val="000000"/>
        </w:rPr>
        <w:t>This topic supports a small group of cities in organising and hosting a joint 1-year programme “Science comes to town 2028”. The programme should have a robust concept and brand focusing on connecting citizens and science while involving all relevant stakeholders (e.g., researchers, research funders, policymakers, publishers, citizens, civil society organisations, and business community).</w:t>
      </w:r>
    </w:p>
    <w:p w14:paraId="69FFE648" w14:textId="77777777" w:rsidR="00721C98" w:rsidRDefault="00AE7B71">
      <w:r>
        <w:rPr>
          <w:color w:val="000000"/>
        </w:rPr>
        <w:t>Various events and activities should be organised, highlighting the latest R&amp;I developments and their contribution to society (including projects supported by national/regional/EU funds). Applicants should experiment with novel formats that are inclusive and participatory and engage diverse age and social groups at local, regional, and European levels. In project activities, particular attention should be paid to promoting inclusive gender equality and addressing gender-specific challenges. Special emphasis</w:t>
      </w:r>
      <w:r>
        <w:rPr>
          <w:color w:val="000000"/>
        </w:rPr>
        <w:t xml:space="preserve"> should be placed on exploring and supporting citizen science to promote both science education and multiple forms of public engagement with science.</w:t>
      </w:r>
    </w:p>
    <w:p w14:paraId="19323F6A" w14:textId="77777777" w:rsidR="00721C98" w:rsidRDefault="00AE7B71">
      <w:r>
        <w:rPr>
          <w:color w:val="000000"/>
        </w:rPr>
        <w:t>In addition, the programme of activities should include the following two components:</w:t>
      </w:r>
    </w:p>
    <w:p w14:paraId="37B7752A" w14:textId="77777777" w:rsidR="00721C98" w:rsidRDefault="00AE7B71" w:rsidP="00AE7B71">
      <w:pPr>
        <w:pStyle w:val="ListParagraph"/>
        <w:numPr>
          <w:ilvl w:val="0"/>
          <w:numId w:val="62"/>
        </w:numPr>
      </w:pPr>
      <w:r>
        <w:rPr>
          <w:color w:val="000000"/>
        </w:rPr>
        <w:t>EUCYS (European Union Contest for Young Scientists): science competition, awarding prizes and awards, for 14- to 20-year-olds who are first prize winners of national science contests for school science projects.</w:t>
      </w:r>
    </w:p>
    <w:p w14:paraId="141693D1" w14:textId="77777777" w:rsidR="00721C98" w:rsidRDefault="00AE7B71" w:rsidP="00AE7B71">
      <w:pPr>
        <w:pStyle w:val="ListParagraph"/>
        <w:numPr>
          <w:ilvl w:val="0"/>
          <w:numId w:val="62"/>
        </w:numPr>
      </w:pPr>
      <w:r>
        <w:rPr>
          <w:color w:val="000000"/>
        </w:rPr>
        <w:t>EU TalentOn (European Union Contest for Early Career Researchers): science competition, awarding prizes and awards, bringing together at least 100 early-career researchers, 21-35 of age, to work on scientific solutions to societal challenges.</w:t>
      </w:r>
    </w:p>
    <w:p w14:paraId="41317E4F" w14:textId="77777777" w:rsidR="00721C98" w:rsidRDefault="00AE7B71">
      <w:r>
        <w:rPr>
          <w:color w:val="000000"/>
        </w:rPr>
        <w:t>The 2028 editions of EUCYS and EU TalentOn will take place in the third quarter of 2028, customarily in September</w:t>
      </w:r>
      <w:r>
        <w:rPr>
          <w:vertAlign w:val="superscript"/>
        </w:rPr>
        <w:footnoteReference w:id="80"/>
      </w:r>
      <w:r>
        <w:rPr>
          <w:color w:val="000000"/>
        </w:rPr>
        <w:t>.</w:t>
      </w:r>
    </w:p>
    <w:p w14:paraId="22C77E2F" w14:textId="77777777" w:rsidR="00721C98" w:rsidRDefault="00AE7B71">
      <w:r>
        <w:rPr>
          <w:color w:val="000000"/>
        </w:rPr>
        <w:t>Applicants are encouraged to establish synergies with the European Researchers’ Night and the Researchers at School initiative, funded by Marie Skłodowska-Curie Actions</w:t>
      </w:r>
      <w:r>
        <w:rPr>
          <w:vertAlign w:val="superscript"/>
        </w:rPr>
        <w:footnoteReference w:id="81"/>
      </w:r>
      <w:r>
        <w:rPr>
          <w:color w:val="000000"/>
        </w:rPr>
        <w:t>. Programmed activities should create a link with the preceding</w:t>
      </w:r>
      <w:r>
        <w:rPr>
          <w:vertAlign w:val="superscript"/>
        </w:rPr>
        <w:footnoteReference w:id="82"/>
      </w:r>
      <w:r>
        <w:rPr>
          <w:color w:val="000000"/>
        </w:rPr>
        <w:t xml:space="preserve"> and subsequent edition of “Science comes to town”, fostering cohesion and growth of the initiative.</w:t>
      </w:r>
    </w:p>
    <w:p w14:paraId="5A40909D" w14:textId="77777777" w:rsidR="00721C98" w:rsidRDefault="00AE7B71">
      <w:r>
        <w:rPr>
          <w:color w:val="000000"/>
        </w:rPr>
        <w:lastRenderedPageBreak/>
        <w:t>The programme should take place in a minimum of 3 and maximum of 6 cities located in at least 3 different Members States and/or Associated Countries, with the majority located in Member States. The consortium can include organisations that can represent the host cities and/or join them in designing and implementing the project activities. Local partners that provide a connection to R&amp;I should be included.</w:t>
      </w:r>
    </w:p>
    <w:p w14:paraId="79F8B212" w14:textId="77777777" w:rsidR="00721C98" w:rsidRDefault="00AE7B71">
      <w:r>
        <w:rPr>
          <w:color w:val="000000"/>
        </w:rPr>
        <w:t>Applicants should provide commitment letters from the public authorities of each participating city, signed by the highest authorities (such as the mayor or equivalent city governance representative), demonstrating strong commitment for the activities included in the proposal. The proposal should clearly explain how the city will contribute to the initiative and outline its specific roles, resources, and support.</w:t>
      </w:r>
    </w:p>
    <w:p w14:paraId="54D450FA" w14:textId="77777777" w:rsidR="00721C98" w:rsidRDefault="00AE7B71">
      <w:r>
        <w:rPr>
          <w:color w:val="000000"/>
        </w:rPr>
        <w:t>Proposals should demonstrate the consortium’s ability to mobilise substantial resources beyond the Union contribution, including monetary or in-kind sponsorships, to support and expand the planned activities. Applicants may choose to further increase the impact and added value by incorporating additional events and activities, financed by other resources, by engaging ‘satellite’ cities to reach more communities. The consortium will report on the implementation of the planned activities and events not covere</w:t>
      </w:r>
      <w:r>
        <w:rPr>
          <w:color w:val="000000"/>
        </w:rPr>
        <w:t>d by the grant but will not report or declare the related costs, in order to limit administrative effort.</w:t>
      </w:r>
    </w:p>
    <w:p w14:paraId="70336B26" w14:textId="77777777" w:rsidR="00721C98" w:rsidRDefault="00AE7B71">
      <w:r>
        <w:rPr>
          <w:color w:val="000000"/>
        </w:rPr>
        <w:t>Proposals should include the overall concept for the programmed activities, detailing the focus and scope of activities, the outreach strategy, and the contribution to the long-term vision for the cities, while specifying clearly:</w:t>
      </w:r>
    </w:p>
    <w:p w14:paraId="7FA272F5" w14:textId="77777777" w:rsidR="00721C98" w:rsidRDefault="00AE7B71">
      <w:r>
        <w:rPr>
          <w:color w:val="000000"/>
        </w:rPr>
        <w:t>a) events (including EUCYS and EU TalentOn) and activities (e.g., overall coordination and communication activities) that will be funded partially or fully by the Union contribution;</w:t>
      </w:r>
    </w:p>
    <w:p w14:paraId="16211F69" w14:textId="77777777" w:rsidR="00721C98" w:rsidRDefault="00AE7B71">
      <w:r>
        <w:rPr>
          <w:color w:val="000000"/>
        </w:rPr>
        <w:t>b) activities and events that will be financed by the participating cities, ‘satellite’ cities, sponsorship and other resources (i.e., activities not funded by the Union contribution).</w:t>
      </w:r>
    </w:p>
    <w:p w14:paraId="0FBEC31C" w14:textId="77777777" w:rsidR="00721C98" w:rsidRDefault="00AE7B71">
      <w:r>
        <w:rPr>
          <w:color w:val="000000"/>
        </w:rPr>
        <w:t>Proposals should present a breakdown of all additional resources. Annexes should be used only for commitment letters, not for extra budget related details.</w:t>
      </w:r>
    </w:p>
    <w:p w14:paraId="244FB2FC" w14:textId="77777777" w:rsidR="00721C98" w:rsidRDefault="00AE7B71">
      <w:r>
        <w:rPr>
          <w:color w:val="000000"/>
        </w:rPr>
        <w:t>The consortium will submit a detailed draft programme of activities for approval by the granting authority, no later than three months prior to the official programme launch.</w:t>
      </w:r>
    </w:p>
    <w:p w14:paraId="20922EA9" w14:textId="77777777" w:rsidR="00721C98" w:rsidRDefault="00AE7B71">
      <w:r>
        <w:rPr>
          <w:color w:val="000000"/>
        </w:rPr>
        <w:t>The financial support to third parties can only be provided in the form of prizes to the total amount of €70 000 for EUCYS and €100 000 for EU TalentOn.</w:t>
      </w:r>
    </w:p>
    <w:p w14:paraId="2314DD51" w14:textId="77777777" w:rsidR="00721C98" w:rsidRDefault="00AE7B71">
      <w:r>
        <w:rPr>
          <w:color w:val="000000"/>
        </w:rPr>
        <w:t>The expected duration of the project is between 24 and 30 months.</w:t>
      </w:r>
    </w:p>
    <w:p w14:paraId="727B30AF" w14:textId="77777777" w:rsidR="00721C98" w:rsidRDefault="00AE7B71">
      <w:pPr>
        <w:pStyle w:val="HeadingThree"/>
      </w:pPr>
      <w:r>
        <w:t>HORIZON-WIDERA-2026-06-ERA-08: Pillar IV: Advancing Knowledge for ERA</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45B24059" w14:textId="77777777" w:rsidTr="00DB4111">
        <w:tc>
          <w:tcPr>
            <w:tcW w:w="0" w:type="auto"/>
            <w:gridSpan w:val="2"/>
          </w:tcPr>
          <w:p w14:paraId="7B07959E" w14:textId="77777777" w:rsidR="00721C98" w:rsidRDefault="00AE7B71">
            <w:pPr>
              <w:pStyle w:val="CellTextValue"/>
            </w:pPr>
            <w:r>
              <w:rPr>
                <w:b/>
              </w:rPr>
              <w:t>Call: Enhancing the European R&amp;I system</w:t>
            </w:r>
          </w:p>
        </w:tc>
      </w:tr>
      <w:tr w:rsidR="00DB4111" w14:paraId="3BC4613C" w14:textId="77777777" w:rsidTr="00DB4111">
        <w:tc>
          <w:tcPr>
            <w:tcW w:w="0" w:type="auto"/>
            <w:gridSpan w:val="2"/>
          </w:tcPr>
          <w:p w14:paraId="625B71AB" w14:textId="77777777" w:rsidR="00721C98" w:rsidRDefault="00AE7B71">
            <w:pPr>
              <w:pStyle w:val="CellTextValue"/>
            </w:pPr>
            <w:r>
              <w:rPr>
                <w:b/>
              </w:rPr>
              <w:t>Specific conditions</w:t>
            </w:r>
          </w:p>
        </w:tc>
      </w:tr>
      <w:tr w:rsidR="00721C98" w14:paraId="244857F2" w14:textId="77777777">
        <w:tc>
          <w:tcPr>
            <w:tcW w:w="0" w:type="auto"/>
          </w:tcPr>
          <w:p w14:paraId="77D31083" w14:textId="77777777" w:rsidR="00721C98" w:rsidRDefault="00AE7B71">
            <w:pPr>
              <w:pStyle w:val="CellTextValue"/>
              <w:jc w:val="left"/>
            </w:pPr>
            <w:r>
              <w:rPr>
                <w:i/>
              </w:rPr>
              <w:t xml:space="preserve">Expected EU </w:t>
            </w:r>
            <w:r>
              <w:rPr>
                <w:i/>
              </w:rPr>
              <w:lastRenderedPageBreak/>
              <w:t>contribution per project</w:t>
            </w:r>
          </w:p>
        </w:tc>
        <w:tc>
          <w:tcPr>
            <w:tcW w:w="0" w:type="auto"/>
          </w:tcPr>
          <w:p w14:paraId="772D69FF" w14:textId="77777777" w:rsidR="00721C98" w:rsidRDefault="00AE7B71">
            <w:pPr>
              <w:pStyle w:val="CellTextValue"/>
            </w:pPr>
            <w:r>
              <w:lastRenderedPageBreak/>
              <w:t xml:space="preserve">The Commission estimates that an EU contribution of between EUR </w:t>
            </w:r>
            <w:r>
              <w:lastRenderedPageBreak/>
              <w:t>1.50 and 2.50 million would allow these outcomes to be addressed appropriately. Nonetheless, this does not preclude submission and selection of a proposal requesting different amounts.</w:t>
            </w:r>
          </w:p>
        </w:tc>
      </w:tr>
      <w:tr w:rsidR="00721C98" w14:paraId="1C521E26" w14:textId="77777777">
        <w:tc>
          <w:tcPr>
            <w:tcW w:w="0" w:type="auto"/>
          </w:tcPr>
          <w:p w14:paraId="06629F95" w14:textId="77777777" w:rsidR="00721C98" w:rsidRDefault="00AE7B71">
            <w:pPr>
              <w:pStyle w:val="CellTextValue"/>
              <w:jc w:val="left"/>
            </w:pPr>
            <w:r>
              <w:rPr>
                <w:i/>
              </w:rPr>
              <w:lastRenderedPageBreak/>
              <w:t>Indicative budget</w:t>
            </w:r>
          </w:p>
        </w:tc>
        <w:tc>
          <w:tcPr>
            <w:tcW w:w="0" w:type="auto"/>
          </w:tcPr>
          <w:p w14:paraId="1090C13E" w14:textId="77777777" w:rsidR="00721C98" w:rsidRDefault="00AE7B71">
            <w:pPr>
              <w:pStyle w:val="CellTextValue"/>
            </w:pPr>
            <w:r>
              <w:t>The total indicative budget for the topic is EUR 16.00 million.</w:t>
            </w:r>
          </w:p>
        </w:tc>
      </w:tr>
      <w:tr w:rsidR="00721C98" w14:paraId="5464EB1E" w14:textId="77777777">
        <w:tc>
          <w:tcPr>
            <w:tcW w:w="0" w:type="auto"/>
          </w:tcPr>
          <w:p w14:paraId="155B5B3E" w14:textId="77777777" w:rsidR="00721C98" w:rsidRDefault="00AE7B71">
            <w:pPr>
              <w:pStyle w:val="CellTextValue"/>
              <w:jc w:val="left"/>
            </w:pPr>
            <w:r>
              <w:rPr>
                <w:i/>
              </w:rPr>
              <w:t>Type of Action</w:t>
            </w:r>
          </w:p>
        </w:tc>
        <w:tc>
          <w:tcPr>
            <w:tcW w:w="0" w:type="auto"/>
          </w:tcPr>
          <w:p w14:paraId="6CC81F47" w14:textId="77777777" w:rsidR="00721C98" w:rsidRDefault="00AE7B71">
            <w:pPr>
              <w:pStyle w:val="CellTextValue"/>
            </w:pPr>
            <w:r>
              <w:rPr>
                <w:color w:val="000000"/>
              </w:rPr>
              <w:t>Research and Innovation Actions</w:t>
            </w:r>
          </w:p>
        </w:tc>
      </w:tr>
      <w:tr w:rsidR="00721C98" w14:paraId="5A2C6395" w14:textId="77777777">
        <w:tc>
          <w:tcPr>
            <w:tcW w:w="0" w:type="auto"/>
          </w:tcPr>
          <w:p w14:paraId="3E9CAF59" w14:textId="77777777" w:rsidR="00721C98" w:rsidRDefault="00AE7B71">
            <w:pPr>
              <w:pStyle w:val="CellTextValue"/>
              <w:jc w:val="left"/>
            </w:pPr>
            <w:r>
              <w:rPr>
                <w:i/>
              </w:rPr>
              <w:t>Award criteria</w:t>
            </w:r>
          </w:p>
        </w:tc>
        <w:tc>
          <w:tcPr>
            <w:tcW w:w="0" w:type="auto"/>
          </w:tcPr>
          <w:p w14:paraId="1BFFADD2" w14:textId="77777777" w:rsidR="00721C98" w:rsidRDefault="00AE7B71">
            <w:pPr>
              <w:pStyle w:val="CellTextValue"/>
            </w:pPr>
            <w:r>
              <w:rPr>
                <w:color w:val="000000"/>
              </w:rPr>
              <w:t>The criteria are described in General Annex D. The following exceptions apply:</w:t>
            </w:r>
          </w:p>
          <w:p w14:paraId="3ABC0584" w14:textId="77777777" w:rsidR="00721C98" w:rsidRDefault="00AE7B71">
            <w:pPr>
              <w:pStyle w:val="CellTextValue"/>
            </w:pPr>
            <w:r>
              <w:rPr>
                <w:color w:val="000000"/>
              </w:rPr>
              <w:t>The following additions to the general award criteria apply: The overall threshold, applying to the sum of the three individual scores, will be 12.</w:t>
            </w:r>
          </w:p>
        </w:tc>
      </w:tr>
      <w:tr w:rsidR="00721C98" w14:paraId="2628AB44" w14:textId="77777777">
        <w:tc>
          <w:tcPr>
            <w:tcW w:w="0" w:type="auto"/>
          </w:tcPr>
          <w:p w14:paraId="73F521AB" w14:textId="77777777" w:rsidR="00721C98" w:rsidRDefault="00AE7B71">
            <w:pPr>
              <w:pStyle w:val="CellTextValue"/>
              <w:jc w:val="left"/>
            </w:pPr>
            <w:r>
              <w:rPr>
                <w:i/>
              </w:rPr>
              <w:t>Procedure</w:t>
            </w:r>
          </w:p>
        </w:tc>
        <w:tc>
          <w:tcPr>
            <w:tcW w:w="0" w:type="auto"/>
          </w:tcPr>
          <w:p w14:paraId="1E199575" w14:textId="77777777" w:rsidR="00721C98" w:rsidRDefault="00AE7B71">
            <w:pPr>
              <w:pStyle w:val="CellTextValue"/>
            </w:pPr>
            <w:r>
              <w:rPr>
                <w:color w:val="000000"/>
              </w:rPr>
              <w:t>The procedure is described in General Annex F. The following exceptions apply:</w:t>
            </w:r>
          </w:p>
          <w:p w14:paraId="5687788D" w14:textId="77777777" w:rsidR="00721C98" w:rsidRDefault="00AE7B71">
            <w:pPr>
              <w:pStyle w:val="CellTextValue"/>
            </w:pPr>
            <w:r>
              <w:rPr>
                <w:color w:val="000000"/>
              </w:rPr>
              <w:t>To ensure a balanced portfolio covering different ERA policy areas, as outlined in the expected outcomes and scope, grants will be awarded to proposals not only in order of ranking, but at least also to proposals that are the highest ranked within each area, provided that proposals pass all thresholds.</w:t>
            </w:r>
          </w:p>
        </w:tc>
      </w:tr>
      <w:tr w:rsidR="00721C98" w14:paraId="618F968F" w14:textId="77777777">
        <w:tc>
          <w:tcPr>
            <w:tcW w:w="0" w:type="auto"/>
          </w:tcPr>
          <w:p w14:paraId="013F14B7" w14:textId="77777777" w:rsidR="00721C98" w:rsidRDefault="00AE7B71">
            <w:pPr>
              <w:pStyle w:val="CellTextValue"/>
              <w:jc w:val="left"/>
            </w:pPr>
            <w:r>
              <w:rPr>
                <w:i/>
              </w:rPr>
              <w:t>Legal and financial set-up of the Grant Agreements</w:t>
            </w:r>
          </w:p>
        </w:tc>
        <w:tc>
          <w:tcPr>
            <w:tcW w:w="0" w:type="auto"/>
          </w:tcPr>
          <w:p w14:paraId="6C0A6F1E" w14:textId="77777777" w:rsidR="00721C98" w:rsidRDefault="00AE7B71">
            <w:pPr>
              <w:pStyle w:val="CellTextValue"/>
            </w:pPr>
            <w:r>
              <w:rPr>
                <w:color w:val="000000"/>
              </w:rPr>
              <w:t>The rules are described in General Annex G. The following exceptions apply:</w:t>
            </w:r>
          </w:p>
          <w:p w14:paraId="6755CC68"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83"/>
            </w:r>
            <w:r>
              <w:rPr>
                <w:color w:val="000000"/>
              </w:rPr>
              <w:t>.</w:t>
            </w:r>
          </w:p>
        </w:tc>
      </w:tr>
    </w:tbl>
    <w:p w14:paraId="5C8FD18D" w14:textId="77777777" w:rsidR="00721C98" w:rsidRDefault="00721C98">
      <w:pPr>
        <w:spacing w:after="0" w:line="150" w:lineRule="auto"/>
      </w:pPr>
    </w:p>
    <w:p w14:paraId="1466F3C1" w14:textId="77777777" w:rsidR="00721C98" w:rsidRDefault="00AE7B71">
      <w:r>
        <w:rPr>
          <w:u w:val="single"/>
        </w:rPr>
        <w:t>Scope</w:t>
      </w:r>
      <w:r>
        <w:t xml:space="preserve">: </w:t>
      </w:r>
      <w:r>
        <w:rPr>
          <w:color w:val="000000"/>
        </w:rPr>
        <w:t>This topic aims to generate new information and knowledge contributing to strengthening the evidence base for advancing the ERA. Applicants should propose diverse R&amp;I activities that can support the design, implementation, monitoring and evaluation of ERA policies and practices.</w:t>
      </w:r>
    </w:p>
    <w:p w14:paraId="4CA1EB4F" w14:textId="77777777" w:rsidR="00721C98" w:rsidRDefault="00AE7B71">
      <w:r>
        <w:rPr>
          <w:color w:val="000000"/>
        </w:rPr>
        <w:t xml:space="preserve">Applicants should select and clearly identify </w:t>
      </w:r>
      <w:r>
        <w:rPr>
          <w:color w:val="000000"/>
          <w:u w:val="single"/>
        </w:rPr>
        <w:t>one</w:t>
      </w:r>
      <w:r>
        <w:rPr>
          <w:color w:val="000000"/>
        </w:rPr>
        <w:t xml:space="preserve"> area being addressed, choosing from the six areas outlined below. Each area is designed to contribute toward the implementation of an ERA policy: Area 1 – ERA Structural Policy “Enabling open science via sharing and re-use of data, including through EOSC”; Area 2 – ERA Action “A coordinated framework responding to emerging challenges for ethics and integrity in R&amp;I”; Area 3 and Area 4 – ERA Structural Policy “Strengthening gender equality and inclusiveness in the ERA"; Area 5 and Area 6 – </w:t>
      </w:r>
      <w:r>
        <w:rPr>
          <w:color w:val="000000"/>
        </w:rPr>
        <w:lastRenderedPageBreak/>
        <w:t>ERA Structural Policy “Making research careers more attractive and sustainable and support mobility”. Proposals should develop all the activities outlined for the selected area, as well as additional activities contributing to the selected area’s expected outcomes.</w:t>
      </w:r>
    </w:p>
    <w:p w14:paraId="7ACD1860" w14:textId="77777777" w:rsidR="00721C98" w:rsidRDefault="00AE7B71">
      <w:r>
        <w:rPr>
          <w:color w:val="000000"/>
        </w:rPr>
        <w:t>In project activities, particular attention should be paid to promoting inclusive gender equality and addressing gender-specific challenges.</w:t>
      </w:r>
    </w:p>
    <w:p w14:paraId="292D238C" w14:textId="77777777" w:rsidR="00721C98" w:rsidRDefault="00AE7B71">
      <w:r>
        <w:rPr>
          <w:color w:val="000000"/>
        </w:rPr>
        <w:t>Expected project duration is up to 3 years without prejudice to a longer duration if justified.</w:t>
      </w:r>
    </w:p>
    <w:p w14:paraId="43B97153" w14:textId="77777777" w:rsidR="00721C98" w:rsidRDefault="00AE7B71">
      <w:r>
        <w:rPr>
          <w:b/>
          <w:color w:val="000000"/>
        </w:rPr>
        <w:t>Area 1: Assessing reproducibility in research by direct replication of scientific findings</w:t>
      </w:r>
    </w:p>
    <w:p w14:paraId="3C3D5139" w14:textId="77777777" w:rsidR="00721C98" w:rsidRDefault="00AE7B71">
      <w:r>
        <w:rPr>
          <w:color w:val="000000"/>
          <w:u w:val="single"/>
        </w:rPr>
        <w:t>Expected outcome:</w:t>
      </w:r>
      <w:r>
        <w:rPr>
          <w:color w:val="000000"/>
        </w:rPr>
        <w:t xml:space="preserve"> Proposals under Area 1 will deliver on the impact “Increased reproducibility, trustworthiness and transparency of scientific research”, contributing to the ERA Structural Policy “Enabling open science via sharing and re-use of data, including through EOSC”. Project results are expected to contribute to all of the following expected outcomes:</w:t>
      </w:r>
    </w:p>
    <w:p w14:paraId="1761C9E8" w14:textId="77777777" w:rsidR="00721C98" w:rsidRDefault="00AE7B71" w:rsidP="00AE7B71">
      <w:pPr>
        <w:pStyle w:val="ListParagraph"/>
        <w:numPr>
          <w:ilvl w:val="0"/>
          <w:numId w:val="63"/>
        </w:numPr>
      </w:pPr>
      <w:r>
        <w:rPr>
          <w:color w:val="000000"/>
        </w:rPr>
        <w:t>New knowledge and methodologies through independent, direct replication studies of selected high-impact research findings are available to researchers, citizens, and policymakers;</w:t>
      </w:r>
    </w:p>
    <w:p w14:paraId="1D8B86BA" w14:textId="77777777" w:rsidR="00721C98" w:rsidRDefault="00AE7B71" w:rsidP="00AE7B71">
      <w:pPr>
        <w:pStyle w:val="ListParagraph"/>
        <w:numPr>
          <w:ilvl w:val="0"/>
          <w:numId w:val="63"/>
        </w:numPr>
      </w:pPr>
      <w:r>
        <w:rPr>
          <w:color w:val="000000"/>
        </w:rPr>
        <w:t>New innovative approaches are available to researchers and open science experts to conduct and incentivise the replication of scientific findings;</w:t>
      </w:r>
    </w:p>
    <w:p w14:paraId="0CBC3EF4" w14:textId="77777777" w:rsidR="00721C98" w:rsidRDefault="00AE7B71" w:rsidP="00AE7B71">
      <w:pPr>
        <w:pStyle w:val="ListParagraph"/>
        <w:numPr>
          <w:ilvl w:val="0"/>
          <w:numId w:val="63"/>
        </w:numPr>
      </w:pPr>
      <w:r>
        <w:rPr>
          <w:color w:val="000000"/>
        </w:rPr>
        <w:t>Sustainable engagement and collaboration in replication of scientific findings have been established across research communities.</w:t>
      </w:r>
    </w:p>
    <w:p w14:paraId="2CC7BEA7" w14:textId="77777777" w:rsidR="00721C98" w:rsidRDefault="00AE7B71">
      <w:r>
        <w:rPr>
          <w:color w:val="000000"/>
          <w:u w:val="single"/>
        </w:rPr>
        <w:t>Scope:</w:t>
      </w:r>
      <w:r>
        <w:rPr>
          <w:color w:val="000000"/>
        </w:rPr>
        <w:t xml:space="preserve"> Area 1 aims to support the replication of significant findings across different scientific fields, addressing technical and societal challenges related to research reproducibility. Proposals must build on prior art in replication practices and demonstrate their capacity to perform and conclude the replication of the findings within the means and duration of the project. Funded actions are expected to adhere to the best practices in open science and reproducibility.</w:t>
      </w:r>
    </w:p>
    <w:p w14:paraId="05E9E65C" w14:textId="77777777" w:rsidR="00721C98" w:rsidRDefault="00AE7B71">
      <w:r>
        <w:rPr>
          <w:color w:val="000000"/>
        </w:rPr>
        <w:t>Activities should involve all relevant actors, including researchers, scientific service and infrastructure providers, and open science experts. To achieve the expected outcomes, proposals should address the activities outlined below and propose any additional, complementary activities:</w:t>
      </w:r>
    </w:p>
    <w:p w14:paraId="79371B27" w14:textId="77777777" w:rsidR="00721C98" w:rsidRDefault="00AE7B71" w:rsidP="00AE7B71">
      <w:pPr>
        <w:pStyle w:val="ListParagraph"/>
        <w:numPr>
          <w:ilvl w:val="0"/>
          <w:numId w:val="64"/>
        </w:numPr>
      </w:pPr>
      <w:r>
        <w:rPr>
          <w:color w:val="000000"/>
        </w:rPr>
        <w:t>Conduct independent, direct replication of the findings of specified high-impact, influential studies from selected research domains, using state-of-the-art methodologies; these should cover both experimental and computational studies, including cases where the original findings have been controversial, or where replication studies are needed to confirm or refine the results;</w:t>
      </w:r>
    </w:p>
    <w:p w14:paraId="5219AF29" w14:textId="77777777" w:rsidR="00721C98" w:rsidRDefault="00AE7B71" w:rsidP="00AE7B71">
      <w:pPr>
        <w:pStyle w:val="ListParagraph"/>
        <w:numPr>
          <w:ilvl w:val="0"/>
          <w:numId w:val="64"/>
        </w:numPr>
      </w:pPr>
      <w:r>
        <w:rPr>
          <w:color w:val="000000"/>
        </w:rPr>
        <w:t>Develop innovative approaches to replication studies and solutions that can be generalised or adapted to multiple fields, considering the distinct challenges of different scientific fields and the challenges that cut across the selected research domains;</w:t>
      </w:r>
    </w:p>
    <w:p w14:paraId="3E61ABCF" w14:textId="77777777" w:rsidR="00721C98" w:rsidRDefault="00AE7B71" w:rsidP="00AE7B71">
      <w:pPr>
        <w:pStyle w:val="ListParagraph"/>
        <w:numPr>
          <w:ilvl w:val="0"/>
          <w:numId w:val="64"/>
        </w:numPr>
      </w:pPr>
      <w:r>
        <w:rPr>
          <w:color w:val="000000"/>
        </w:rPr>
        <w:lastRenderedPageBreak/>
        <w:t>Assess the findings of the replication studies and develop and disseminate best practices and concrete, field-specific recommendations for increased reproducibility of scientific findings, based on the replication studies, as well as policy-related recommendations;</w:t>
      </w:r>
    </w:p>
    <w:p w14:paraId="4408FDF7" w14:textId="77777777" w:rsidR="00721C98" w:rsidRDefault="00AE7B71" w:rsidP="00AE7B71">
      <w:pPr>
        <w:pStyle w:val="ListParagraph"/>
        <w:numPr>
          <w:ilvl w:val="0"/>
          <w:numId w:val="64"/>
        </w:numPr>
      </w:pPr>
      <w:r>
        <w:rPr>
          <w:color w:val="000000"/>
        </w:rPr>
        <w:t>Develop and test innovative models to incentivise researchers to participate in replication studies;</w:t>
      </w:r>
    </w:p>
    <w:p w14:paraId="2803B770" w14:textId="77777777" w:rsidR="00721C98" w:rsidRDefault="00AE7B71" w:rsidP="00AE7B71">
      <w:pPr>
        <w:pStyle w:val="ListParagraph"/>
        <w:numPr>
          <w:ilvl w:val="0"/>
          <w:numId w:val="64"/>
        </w:numPr>
      </w:pPr>
      <w:r>
        <w:rPr>
          <w:color w:val="000000"/>
        </w:rPr>
        <w:t>Foster community-building to support long-term collaborations on replication practices.</w:t>
      </w:r>
    </w:p>
    <w:p w14:paraId="31A0FAD6" w14:textId="77777777" w:rsidR="00721C98" w:rsidRDefault="00AE7B71">
      <w:r>
        <w:rPr>
          <w:b/>
          <w:color w:val="000000"/>
        </w:rPr>
        <w:t>Area 2: Ethics of emerging technologies with high socio-economic impact: space exploration/exploitation</w:t>
      </w:r>
    </w:p>
    <w:p w14:paraId="07C3B199" w14:textId="77777777" w:rsidR="00721C98" w:rsidRDefault="00AE7B71">
      <w:r>
        <w:rPr>
          <w:color w:val="000000"/>
          <w:u w:val="single"/>
        </w:rPr>
        <w:t>Expected outcome:</w:t>
      </w:r>
      <w:r>
        <w:rPr>
          <w:color w:val="000000"/>
        </w:rPr>
        <w:t xml:space="preserve"> Proposals under Area 2 will deliver on the impact “A research ethics and integrity ecosystem enhanced with robust methodologies and knowledge in the field of space exploration/exploitation”, contributing to the ERA Action “A coordinated framework responding to emerging challenges for ethics and integrity in R&amp;I”. Project results are expected to contribute to the following outcomes:</w:t>
      </w:r>
    </w:p>
    <w:p w14:paraId="7980E37D" w14:textId="77777777" w:rsidR="00721C98" w:rsidRDefault="00AE7B71" w:rsidP="00AE7B71">
      <w:pPr>
        <w:pStyle w:val="ListParagraph"/>
        <w:numPr>
          <w:ilvl w:val="0"/>
          <w:numId w:val="65"/>
        </w:numPr>
      </w:pPr>
      <w:r>
        <w:rPr>
          <w:color w:val="000000"/>
        </w:rPr>
        <w:t>Researchers and ethics professionals have generated new knowledge about the ethical and societal impact of emerging technologies in space exploration/exploitation;</w:t>
      </w:r>
    </w:p>
    <w:p w14:paraId="60A4395B" w14:textId="77777777" w:rsidR="00721C98" w:rsidRDefault="00AE7B71" w:rsidP="00AE7B71">
      <w:pPr>
        <w:pStyle w:val="ListParagraph"/>
        <w:numPr>
          <w:ilvl w:val="0"/>
          <w:numId w:val="65"/>
        </w:numPr>
      </w:pPr>
      <w:r>
        <w:rPr>
          <w:color w:val="000000"/>
        </w:rPr>
        <w:t>A robust ethics and integrity framework supports researchers, ethics experts, and policy makers in applying responsible governance to emerging technologies in space exploration/exploitation;</w:t>
      </w:r>
    </w:p>
    <w:p w14:paraId="17393725" w14:textId="77777777" w:rsidR="00721C98" w:rsidRDefault="00AE7B71" w:rsidP="00AE7B71">
      <w:pPr>
        <w:pStyle w:val="ListParagraph"/>
        <w:numPr>
          <w:ilvl w:val="0"/>
          <w:numId w:val="65"/>
        </w:numPr>
      </w:pPr>
      <w:r>
        <w:rPr>
          <w:color w:val="000000"/>
        </w:rPr>
        <w:t>Key stakeholders, e.g., policymakers, researchers, innovators, and the public, have increased awareness and understanding of the ethical aspects of emerging technologies in space exploration/exploitation.</w:t>
      </w:r>
    </w:p>
    <w:p w14:paraId="09054D2D" w14:textId="77777777" w:rsidR="00721C98" w:rsidRDefault="00AE7B71">
      <w:r>
        <w:rPr>
          <w:color w:val="000000"/>
          <w:u w:val="single"/>
        </w:rPr>
        <w:t>Scope</w:t>
      </w:r>
      <w:r>
        <w:rPr>
          <w:color w:val="000000"/>
        </w:rPr>
        <w:t>: Area 2 aims to define the ethical challenges and design a robust framework to address the risks to fundamental rights, human integrity, and environmental harm of space exploration/exploitation.</w:t>
      </w:r>
    </w:p>
    <w:p w14:paraId="2B6E7CCF" w14:textId="77777777" w:rsidR="00721C98" w:rsidRDefault="00AE7B71">
      <w:r>
        <w:rPr>
          <w:color w:val="000000"/>
        </w:rPr>
        <w:t>Proposals should build on the results of relevant past or ongoing initiatives and projects at European and/or national level addressing ethics-related aspects.</w:t>
      </w:r>
      <w:r>
        <w:rPr>
          <w:vertAlign w:val="superscript"/>
        </w:rPr>
        <w:footnoteReference w:id="84"/>
      </w:r>
      <w:r>
        <w:rPr>
          <w:color w:val="000000"/>
        </w:rPr>
        <w:t xml:space="preserve"> Proposals should include structured cooperation with the Embassy of Good Science,</w:t>
      </w:r>
      <w:r>
        <w:rPr>
          <w:vertAlign w:val="superscript"/>
        </w:rPr>
        <w:footnoteReference w:id="85"/>
      </w:r>
      <w:r>
        <w:rPr>
          <w:color w:val="000000"/>
        </w:rPr>
        <w:t xml:space="preserve"> as well as relevant European networks</w:t>
      </w:r>
      <w:r>
        <w:rPr>
          <w:vertAlign w:val="superscript"/>
        </w:rPr>
        <w:footnoteReference w:id="86"/>
      </w:r>
      <w:r>
        <w:rPr>
          <w:color w:val="000000"/>
        </w:rPr>
        <w:t>, and liaise with international initiatives (e.g., UNESCO). Actions should target researchers, ethics experts, members of national and local ethics committees/bodies, policy makers, and the general public. To achieve the expected outcomes, proposals should address the activities outlined below and propose any additional, complementary activities:</w:t>
      </w:r>
    </w:p>
    <w:p w14:paraId="48B6D349" w14:textId="77777777" w:rsidR="00721C98" w:rsidRDefault="00AE7B71" w:rsidP="00AE7B71">
      <w:pPr>
        <w:pStyle w:val="ListParagraph"/>
        <w:numPr>
          <w:ilvl w:val="0"/>
          <w:numId w:val="66"/>
        </w:numPr>
      </w:pPr>
      <w:r>
        <w:rPr>
          <w:color w:val="000000"/>
        </w:rPr>
        <w:lastRenderedPageBreak/>
        <w:t>Identify and study the ethical challenges and implications in relation to R&amp;I on space exploration and exploitation, e.g., the risks and benefits for the integrity and dignity of human beings, approaches to minimise harm and maximise beneficence, and approaches to ensure a responsible and sustainable use of space resources;</w:t>
      </w:r>
    </w:p>
    <w:p w14:paraId="28D4794D" w14:textId="77777777" w:rsidR="00721C98" w:rsidRDefault="00AE7B71" w:rsidP="00AE7B71">
      <w:pPr>
        <w:pStyle w:val="ListParagraph"/>
        <w:numPr>
          <w:ilvl w:val="0"/>
          <w:numId w:val="66"/>
        </w:numPr>
      </w:pPr>
      <w:r>
        <w:rPr>
          <w:color w:val="000000"/>
        </w:rPr>
        <w:t>Develop a robust research and integrity framework and training materials to support actors at the EU, national, and local levels in applying an ‘ethics by design’ principle;</w:t>
      </w:r>
    </w:p>
    <w:p w14:paraId="7A3E5A62" w14:textId="77777777" w:rsidR="00721C98" w:rsidRDefault="00AE7B71" w:rsidP="00AE7B71">
      <w:pPr>
        <w:pStyle w:val="ListParagraph"/>
        <w:numPr>
          <w:ilvl w:val="0"/>
          <w:numId w:val="66"/>
        </w:numPr>
      </w:pPr>
      <w:r>
        <w:rPr>
          <w:color w:val="000000"/>
        </w:rPr>
        <w:t>Develop and implement communication tools to provide open and transparent information on project outcomes to enable public trust.</w:t>
      </w:r>
    </w:p>
    <w:p w14:paraId="451E5285" w14:textId="77777777" w:rsidR="00721C98" w:rsidRDefault="00AE7B71">
      <w:r>
        <w:rPr>
          <w:b/>
          <w:color w:val="000000"/>
        </w:rPr>
        <w:t>Area 3: Mapping and promoting inclusive gender equality and policies in R&amp;D intensive firms</w:t>
      </w:r>
    </w:p>
    <w:p w14:paraId="375087F7" w14:textId="77777777" w:rsidR="00721C98" w:rsidRDefault="00AE7B71">
      <w:r>
        <w:rPr>
          <w:color w:val="000000"/>
          <w:u w:val="single"/>
        </w:rPr>
        <w:t>Expected outcome:</w:t>
      </w:r>
      <w:r>
        <w:rPr>
          <w:color w:val="000000"/>
        </w:rPr>
        <w:t xml:space="preserve"> Proposals under Area 3 will deliver on the impact “Enhanced gender equality and inclusiveness, leading to research excellence and more innovative, socially relevant, and economically impactful outcomes”, contributing to the ERA Structural Policy “Strengthening gender equality and inclusiveness in the ERA”. Project results are expected to contribute to all of the following expected outcomes:</w:t>
      </w:r>
    </w:p>
    <w:p w14:paraId="277CEBCB" w14:textId="77777777" w:rsidR="00721C98" w:rsidRDefault="00AE7B71" w:rsidP="00AE7B71">
      <w:pPr>
        <w:pStyle w:val="ListParagraph"/>
        <w:numPr>
          <w:ilvl w:val="0"/>
          <w:numId w:val="67"/>
        </w:numPr>
      </w:pPr>
      <w:r>
        <w:rPr>
          <w:color w:val="000000"/>
        </w:rPr>
        <w:t>Better understanding by researchers, research organisations, ERA stakeholders, and policymakers of the current state of inclusive gender equality in R&amp;D intensive firms;</w:t>
      </w:r>
    </w:p>
    <w:p w14:paraId="7E6E9525" w14:textId="77777777" w:rsidR="00721C98" w:rsidRDefault="00AE7B71" w:rsidP="00AE7B71">
      <w:pPr>
        <w:pStyle w:val="ListParagraph"/>
        <w:numPr>
          <w:ilvl w:val="0"/>
          <w:numId w:val="67"/>
        </w:numPr>
      </w:pPr>
      <w:r>
        <w:rPr>
          <w:color w:val="000000"/>
        </w:rPr>
        <w:t>Researchers, research organisations, ERA stakeholders, and policymakers have access to effective methods, strategies, and tools to overcome the challenges and to promote and support the adoption of inclusive gender equality policies in R&amp;D intensive firms;</w:t>
      </w:r>
    </w:p>
    <w:p w14:paraId="735CBACD" w14:textId="77777777" w:rsidR="00721C98" w:rsidRDefault="00AE7B71" w:rsidP="00AE7B71">
      <w:pPr>
        <w:pStyle w:val="ListParagraph"/>
        <w:numPr>
          <w:ilvl w:val="0"/>
          <w:numId w:val="67"/>
        </w:numPr>
      </w:pPr>
      <w:r>
        <w:rPr>
          <w:color w:val="000000"/>
        </w:rPr>
        <w:t>Increased capacity of R&amp;D intensive firms to implement inclusive gender equality plans, policies and practices.</w:t>
      </w:r>
    </w:p>
    <w:p w14:paraId="47774F2C" w14:textId="77777777" w:rsidR="00721C98" w:rsidRDefault="00AE7B71">
      <w:r>
        <w:rPr>
          <w:color w:val="000000"/>
          <w:u w:val="single"/>
        </w:rPr>
        <w:t>Scope:</w:t>
      </w:r>
      <w:r>
        <w:rPr>
          <w:color w:val="000000"/>
        </w:rPr>
        <w:t xml:space="preserve"> Area 3 aims at increasing knowledge on policies and strategies addressing persistent gender and diversity gaps in R&amp;D intensive firms</w:t>
      </w:r>
      <w:r>
        <w:rPr>
          <w:vertAlign w:val="superscript"/>
        </w:rPr>
        <w:footnoteReference w:id="87"/>
      </w:r>
      <w:r>
        <w:rPr>
          <w:color w:val="000000"/>
        </w:rPr>
        <w:t>.</w:t>
      </w:r>
    </w:p>
    <w:p w14:paraId="472518D6" w14:textId="77777777" w:rsidR="00721C98" w:rsidRDefault="00AE7B71">
      <w:r>
        <w:rPr>
          <w:color w:val="000000"/>
        </w:rPr>
        <w:t>Project activities should target research performing organisations, higher education organisations, and other R&amp;I stakeholders (networks, etc.). Participation of private sector organisations, including R&amp;D intensive firms, is encouraged. Proposals should build on and complement outcomes of any relevant past or ongoing initiatives and projects</w:t>
      </w:r>
      <w:r>
        <w:rPr>
          <w:vertAlign w:val="superscript"/>
        </w:rPr>
        <w:footnoteReference w:id="88"/>
      </w:r>
      <w:r>
        <w:rPr>
          <w:color w:val="000000"/>
        </w:rPr>
        <w:t>.</w:t>
      </w:r>
    </w:p>
    <w:p w14:paraId="75369903" w14:textId="77777777" w:rsidR="00721C98" w:rsidRDefault="00AE7B71">
      <w:r>
        <w:rPr>
          <w:color w:val="000000"/>
        </w:rPr>
        <w:t>Proposals are invited to focus on specific (sub)fields of research and development</w:t>
      </w:r>
      <w:r>
        <w:rPr>
          <w:vertAlign w:val="superscript"/>
        </w:rPr>
        <w:footnoteReference w:id="89"/>
      </w:r>
      <w:r>
        <w:rPr>
          <w:color w:val="000000"/>
        </w:rPr>
        <w:t xml:space="preserve"> with persisting gender and diversity gaps, focusing in particular on small and medium-sized enterprises, start-ups, and scale-ups. To achieve the expected outcomes, proposals should address the activities outlined below and propose any additional, complementary activities:</w:t>
      </w:r>
    </w:p>
    <w:p w14:paraId="4A990F09" w14:textId="77777777" w:rsidR="00721C98" w:rsidRDefault="00AE7B71" w:rsidP="00AE7B71">
      <w:pPr>
        <w:pStyle w:val="ListParagraph"/>
        <w:numPr>
          <w:ilvl w:val="0"/>
          <w:numId w:val="68"/>
        </w:numPr>
      </w:pPr>
      <w:r>
        <w:rPr>
          <w:color w:val="000000"/>
        </w:rPr>
        <w:lastRenderedPageBreak/>
        <w:t>Comprehensively map inclusive gender equality policies and practices in R&amp;D intensive firms, involving a literature review, data collection and analysis, and identify gaps, challenges, needs, impacts, and conditions that enable or hinder their implementation;</w:t>
      </w:r>
    </w:p>
    <w:p w14:paraId="6CE2AB5A" w14:textId="77777777" w:rsidR="00721C98" w:rsidRDefault="00AE7B71" w:rsidP="00AE7B71">
      <w:pPr>
        <w:pStyle w:val="ListParagraph"/>
        <w:numPr>
          <w:ilvl w:val="0"/>
          <w:numId w:val="68"/>
        </w:numPr>
      </w:pPr>
      <w:r>
        <w:rPr>
          <w:color w:val="000000"/>
        </w:rPr>
        <w:t>Explore methods and strategies to overcome the challenges and enhance the engagement of R&amp;D intensive firms in actions aimed at increasing the participation of women and underrepresented groups;</w:t>
      </w:r>
    </w:p>
    <w:p w14:paraId="4ED488CA" w14:textId="77777777" w:rsidR="00721C98" w:rsidRDefault="00AE7B71" w:rsidP="00AE7B71">
      <w:pPr>
        <w:pStyle w:val="ListParagraph"/>
        <w:numPr>
          <w:ilvl w:val="0"/>
          <w:numId w:val="68"/>
        </w:numPr>
      </w:pPr>
      <w:r>
        <w:rPr>
          <w:color w:val="000000"/>
        </w:rPr>
        <w:t>Develop and disseminate tailored capacity building, tools, and resources for R&amp;D intensive firms that facilitate adoption and effective implementation of inclusive gender equality plans, policies and practices.</w:t>
      </w:r>
    </w:p>
    <w:p w14:paraId="4A909934" w14:textId="77777777" w:rsidR="00721C98" w:rsidRDefault="00AE7B71">
      <w:r>
        <w:rPr>
          <w:b/>
          <w:color w:val="000000"/>
        </w:rPr>
        <w:t>Area 4: Advancing gender-responsive R&amp;I through budgeting, expenditure tracking, and evaluation of the sex and/or gender analysis in R&amp;I content</w:t>
      </w:r>
    </w:p>
    <w:p w14:paraId="28524858" w14:textId="77777777" w:rsidR="00721C98" w:rsidRDefault="00AE7B71">
      <w:r>
        <w:rPr>
          <w:color w:val="000000"/>
          <w:u w:val="single"/>
        </w:rPr>
        <w:t>Expected outcome:</w:t>
      </w:r>
      <w:r>
        <w:rPr>
          <w:color w:val="000000"/>
        </w:rPr>
        <w:t xml:space="preserve"> Proposals under Area 4 will deliver on the impact “Enhanced gender equality and inclusiveness, leading to research excellence and more innovative, socially relevant, and economically impactful outcomes”, contributing to the ERA Structural Policy “Strengthening inclusive and intersectional gender equality in the ERA”. Project results are expected to contribute to all of the following expected outcomes:</w:t>
      </w:r>
    </w:p>
    <w:p w14:paraId="77AE1362" w14:textId="77777777" w:rsidR="00721C98" w:rsidRDefault="00AE7B71" w:rsidP="00AE7B71">
      <w:pPr>
        <w:pStyle w:val="ListParagraph"/>
        <w:numPr>
          <w:ilvl w:val="0"/>
          <w:numId w:val="69"/>
        </w:numPr>
      </w:pPr>
      <w:r>
        <w:rPr>
          <w:color w:val="000000"/>
        </w:rPr>
        <w:t>Research organisations and policymakers at national and EU level have improved capacity to monitor, evaluate, and strengthen the integration of the gender dimension, including an intersectional perspective, in R&amp;I content;</w:t>
      </w:r>
    </w:p>
    <w:p w14:paraId="6C2A9860" w14:textId="77777777" w:rsidR="00721C98" w:rsidRDefault="00AE7B71" w:rsidP="00AE7B71">
      <w:pPr>
        <w:pStyle w:val="ListParagraph"/>
        <w:numPr>
          <w:ilvl w:val="0"/>
          <w:numId w:val="69"/>
        </w:numPr>
      </w:pPr>
      <w:r>
        <w:rPr>
          <w:color w:val="000000"/>
        </w:rPr>
        <w:t>Research organisations at national and EU level have access to standardised principles, methodologies, and tools for gender-responsive budgeting and expenditure tracking;</w:t>
      </w:r>
    </w:p>
    <w:p w14:paraId="39248BCB" w14:textId="77777777" w:rsidR="00721C98" w:rsidRDefault="00AE7B71" w:rsidP="00AE7B71">
      <w:pPr>
        <w:pStyle w:val="ListParagraph"/>
        <w:numPr>
          <w:ilvl w:val="0"/>
          <w:numId w:val="69"/>
        </w:numPr>
      </w:pPr>
      <w:r>
        <w:rPr>
          <w:color w:val="000000"/>
        </w:rPr>
        <w:t>Stakeholders and policymakers benefit from improved access to high-quality disaggregated data and transparent reporting on the gender dimension in R&amp;I content, including an intersectional perspective, and in R&amp;I expenditure, supporting more inclusive decision-making and socially relevant innovations.</w:t>
      </w:r>
    </w:p>
    <w:p w14:paraId="4A13BA65" w14:textId="77777777" w:rsidR="00721C98" w:rsidRDefault="00AE7B71">
      <w:r>
        <w:rPr>
          <w:color w:val="000000"/>
          <w:u w:val="single"/>
        </w:rPr>
        <w:t>Scope:</w:t>
      </w:r>
      <w:r>
        <w:rPr>
          <w:color w:val="000000"/>
        </w:rPr>
        <w:t xml:space="preserve"> Area 4 aims to define principles and develop a methodology for gender budgeting and expenditure tracking in R&amp;I, and to develop a comprehensive monitoring and evaluation approach to assess the integration of gender dimension in R&amp;I content, including the intersectional perspective.</w:t>
      </w:r>
    </w:p>
    <w:p w14:paraId="71E291C0" w14:textId="77777777" w:rsidR="00721C98" w:rsidRDefault="00AE7B71">
      <w:r>
        <w:rPr>
          <w:color w:val="000000"/>
        </w:rPr>
        <w:t>Project activities should target research performing and funding organisations, higher education institutions, research infrastructures, and public bodies. Proposals should build on the results of relevant past or ongoing initiatives and projects</w:t>
      </w:r>
      <w:r>
        <w:rPr>
          <w:vertAlign w:val="superscript"/>
        </w:rPr>
        <w:footnoteReference w:id="90"/>
      </w:r>
      <w:r>
        <w:rPr>
          <w:color w:val="000000"/>
        </w:rPr>
        <w:t>. To achieve the expected outcomes, proposals should address the activities outlined below and propose any additional, complementary activities:</w:t>
      </w:r>
    </w:p>
    <w:p w14:paraId="1BFE6385" w14:textId="77777777" w:rsidR="00721C98" w:rsidRDefault="00AE7B71" w:rsidP="00AE7B71">
      <w:pPr>
        <w:pStyle w:val="ListParagraph"/>
        <w:numPr>
          <w:ilvl w:val="0"/>
          <w:numId w:val="70"/>
        </w:numPr>
      </w:pPr>
      <w:r>
        <w:rPr>
          <w:color w:val="000000"/>
        </w:rPr>
        <w:lastRenderedPageBreak/>
        <w:t>Review existing knowledge, frameworks, and practices employed by relevant stakeholders;</w:t>
      </w:r>
    </w:p>
    <w:p w14:paraId="093CA708" w14:textId="77777777" w:rsidR="00721C98" w:rsidRDefault="00AE7B71" w:rsidP="00AE7B71">
      <w:pPr>
        <w:pStyle w:val="ListParagraph"/>
        <w:numPr>
          <w:ilvl w:val="0"/>
          <w:numId w:val="70"/>
        </w:numPr>
      </w:pPr>
      <w:r>
        <w:rPr>
          <w:color w:val="000000"/>
        </w:rPr>
        <w:t>By 2027, in collaboration with the ERA Forum sub-group on inclusive gender equality</w:t>
      </w:r>
      <w:r>
        <w:rPr>
          <w:vertAlign w:val="superscript"/>
        </w:rPr>
        <w:footnoteReference w:id="91"/>
      </w:r>
      <w:r>
        <w:rPr>
          <w:color w:val="000000"/>
        </w:rPr>
        <w:t>, develop: 1) guidelines, criteria, and metrics to assess and guide the integration of the gender dimension in R&amp;I content and 2) principles for gender budgeting and expenditure tracking, including a standardised methodology, with an intersectional approach to be applied to both;</w:t>
      </w:r>
    </w:p>
    <w:p w14:paraId="76E09CD8" w14:textId="77777777" w:rsidR="00721C98" w:rsidRDefault="00AE7B71" w:rsidP="00AE7B71">
      <w:pPr>
        <w:pStyle w:val="ListParagraph"/>
        <w:numPr>
          <w:ilvl w:val="0"/>
          <w:numId w:val="70"/>
        </w:numPr>
      </w:pPr>
      <w:r>
        <w:rPr>
          <w:color w:val="000000"/>
        </w:rPr>
        <w:t>Design monitoring and reporting mechanisms, such as a publicly accessible database, that provide disaggregated data on gender equality and intersectional characteristics in R&amp;I expenditure and showcase related outcomes;</w:t>
      </w:r>
    </w:p>
    <w:p w14:paraId="21EDFA7D" w14:textId="77777777" w:rsidR="00721C98" w:rsidRDefault="00AE7B71" w:rsidP="00AE7B71">
      <w:pPr>
        <w:pStyle w:val="ListParagraph"/>
        <w:numPr>
          <w:ilvl w:val="0"/>
          <w:numId w:val="70"/>
        </w:numPr>
      </w:pPr>
      <w:r>
        <w:rPr>
          <w:color w:val="000000"/>
        </w:rPr>
        <w:t>Cooperate with key stakeholders, employ engagement activities and participatory approaches to involve under-represented groups, where relevant, and build capacity and foster mutual learning through targeted workshops, seminars, and training sessions.</w:t>
      </w:r>
    </w:p>
    <w:p w14:paraId="41AF562A" w14:textId="77777777" w:rsidR="00721C98" w:rsidRDefault="00AE7B71">
      <w:r>
        <w:rPr>
          <w:b/>
          <w:color w:val="000000"/>
        </w:rPr>
        <w:t>Area 5: Assessing trends and effects of research careers in the private sector and of inter-sectoral research careers</w:t>
      </w:r>
    </w:p>
    <w:p w14:paraId="7E897168" w14:textId="77777777" w:rsidR="00721C98" w:rsidRDefault="00AE7B71">
      <w:r>
        <w:rPr>
          <w:color w:val="000000"/>
          <w:u w:val="single"/>
        </w:rPr>
        <w:t>Expected outcome</w:t>
      </w:r>
      <w:r>
        <w:rPr>
          <w:color w:val="000000"/>
        </w:rPr>
        <w:t>: Proposals under Area 5 will deliver on the impact “Improved career research careers and mobility on the basis of the European framework for research careers, fostering knowledge flows and career interoperability across sectors and countries”, contributing to the ERA Structural Policy “Making research careers more attractive and sustainable and support mobility”. Project results are expected to contribute to all of the following expected outcomes:</w:t>
      </w:r>
    </w:p>
    <w:p w14:paraId="79D08F0D" w14:textId="77777777" w:rsidR="00721C98" w:rsidRDefault="00AE7B71" w:rsidP="00AE7B71">
      <w:pPr>
        <w:pStyle w:val="ListParagraph"/>
        <w:numPr>
          <w:ilvl w:val="0"/>
          <w:numId w:val="71"/>
        </w:numPr>
      </w:pPr>
      <w:r>
        <w:rPr>
          <w:color w:val="000000"/>
        </w:rPr>
        <w:t>Improved knowledge regarding the structure and deployment of research careers in the private business sector and of careers that deploy across various sectors;</w:t>
      </w:r>
    </w:p>
    <w:p w14:paraId="510CD1B2" w14:textId="77777777" w:rsidR="00721C98" w:rsidRDefault="00AE7B71" w:rsidP="00AE7B71">
      <w:pPr>
        <w:pStyle w:val="ListParagraph"/>
        <w:numPr>
          <w:ilvl w:val="0"/>
          <w:numId w:val="71"/>
        </w:numPr>
      </w:pPr>
      <w:r>
        <w:rPr>
          <w:color w:val="000000"/>
        </w:rPr>
        <w:t>Better awareness of the types of knowledge flows triggered by inter-sectoral mobility and careers;</w:t>
      </w:r>
    </w:p>
    <w:p w14:paraId="73D569C2" w14:textId="77777777" w:rsidR="00721C98" w:rsidRDefault="00AE7B71" w:rsidP="00AE7B71">
      <w:pPr>
        <w:pStyle w:val="ListParagraph"/>
        <w:numPr>
          <w:ilvl w:val="0"/>
          <w:numId w:val="71"/>
        </w:numPr>
      </w:pPr>
      <w:r>
        <w:rPr>
          <w:color w:val="000000"/>
        </w:rPr>
        <w:t>Stakeholders and policymakers benefit from an improved set of tools to conceptualise, measure, and assess research careers in the private business sector and careers that span across various sectors.</w:t>
      </w:r>
    </w:p>
    <w:p w14:paraId="5D473E59" w14:textId="77777777" w:rsidR="00721C98" w:rsidRDefault="00AE7B71">
      <w:r>
        <w:rPr>
          <w:color w:val="000000"/>
          <w:u w:val="single"/>
        </w:rPr>
        <w:t>Scope:</w:t>
      </w:r>
      <w:r>
        <w:rPr>
          <w:color w:val="000000"/>
        </w:rPr>
        <w:t xml:space="preserve"> Area 5 aims to build new evidence to support informed policymaking, with the potential to foster the interoperability of research careers across sectors and countries, and broaden the spectrum of research career opportunities.</w:t>
      </w:r>
    </w:p>
    <w:p w14:paraId="112FB460" w14:textId="77777777" w:rsidR="00721C98" w:rsidRDefault="00AE7B71">
      <w:r>
        <w:rPr>
          <w:color w:val="000000"/>
        </w:rPr>
        <w:t xml:space="preserve">The objective is to collect empirical and conceptual knowledge on the specific characteristics and career trends of EU-based researchers working in the private business sector (56.5% of </w:t>
      </w:r>
      <w:r>
        <w:rPr>
          <w:color w:val="000000"/>
        </w:rPr>
        <w:lastRenderedPageBreak/>
        <w:t>total employed researchers</w:t>
      </w:r>
      <w:r>
        <w:rPr>
          <w:vertAlign w:val="superscript"/>
        </w:rPr>
        <w:footnoteReference w:id="92"/>
      </w:r>
      <w:r>
        <w:rPr>
          <w:color w:val="000000"/>
        </w:rPr>
        <w:t>). Universities and other research performing organisations are expected to implement the activities in cooperation with business sector actors, where relevant. Results should benefit policymakers, as well as research organisations and individual researchers. To achieve the expected outcomes, proposals should address the activities outlined below and propose any additional, complementary activities:</w:t>
      </w:r>
    </w:p>
    <w:p w14:paraId="6E278AC2" w14:textId="77777777" w:rsidR="00721C98" w:rsidRDefault="00AE7B71" w:rsidP="00AE7B71">
      <w:pPr>
        <w:pStyle w:val="ListParagraph"/>
        <w:numPr>
          <w:ilvl w:val="0"/>
          <w:numId w:val="72"/>
        </w:numPr>
      </w:pPr>
      <w:r>
        <w:rPr>
          <w:color w:val="000000"/>
        </w:rPr>
        <w:t>Conduct quantitative and/or qualitative analyses which may build on or complement the insights and data provided by the Research and Innovation Careers Observatory</w:t>
      </w:r>
      <w:r>
        <w:rPr>
          <w:vertAlign w:val="superscript"/>
        </w:rPr>
        <w:footnoteReference w:id="93"/>
      </w:r>
      <w:r>
        <w:rPr>
          <w:color w:val="000000"/>
        </w:rPr>
        <w:t>;</w:t>
      </w:r>
    </w:p>
    <w:p w14:paraId="7E03240B" w14:textId="77777777" w:rsidR="00721C98" w:rsidRDefault="00AE7B71" w:rsidP="00AE7B71">
      <w:pPr>
        <w:pStyle w:val="ListParagraph"/>
        <w:numPr>
          <w:ilvl w:val="0"/>
          <w:numId w:val="72"/>
        </w:numPr>
      </w:pPr>
      <w:r>
        <w:rPr>
          <w:color w:val="000000"/>
        </w:rPr>
        <w:t>Analyse the logics underpinning research careers in the private sector, as well as those spanning over private and public sectors;</w:t>
      </w:r>
    </w:p>
    <w:p w14:paraId="598AA5AB" w14:textId="77777777" w:rsidR="00721C98" w:rsidRDefault="00AE7B71" w:rsidP="00AE7B71">
      <w:pPr>
        <w:pStyle w:val="ListParagraph"/>
        <w:numPr>
          <w:ilvl w:val="0"/>
          <w:numId w:val="72"/>
        </w:numPr>
      </w:pPr>
      <w:r>
        <w:rPr>
          <w:color w:val="000000"/>
        </w:rPr>
        <w:t>Analyse the role played by research careers in the private sector and the intersectoral mobility of researchers in the diffusion and valorisation of knowledge across the ERA;</w:t>
      </w:r>
    </w:p>
    <w:p w14:paraId="37026BB6" w14:textId="77777777" w:rsidR="00721C98" w:rsidRDefault="00AE7B71" w:rsidP="00AE7B71">
      <w:pPr>
        <w:pStyle w:val="ListParagraph"/>
        <w:numPr>
          <w:ilvl w:val="0"/>
          <w:numId w:val="72"/>
        </w:numPr>
      </w:pPr>
      <w:r>
        <w:rPr>
          <w:color w:val="000000"/>
        </w:rPr>
        <w:t>Provide policy recommendations to improve the attractiveness and interoperability of research careers.</w:t>
      </w:r>
    </w:p>
    <w:p w14:paraId="72EAEFBE" w14:textId="77777777" w:rsidR="00721C98" w:rsidRDefault="00AE7B71">
      <w:r>
        <w:rPr>
          <w:b/>
          <w:color w:val="000000"/>
        </w:rPr>
        <w:t>Area 6: Mapping international research careers and talent flows</w:t>
      </w:r>
    </w:p>
    <w:p w14:paraId="39FC48EE" w14:textId="77777777" w:rsidR="00721C98" w:rsidRDefault="00AE7B71">
      <w:r>
        <w:rPr>
          <w:color w:val="000000"/>
          <w:u w:val="single"/>
        </w:rPr>
        <w:t>Expected outcome:</w:t>
      </w:r>
      <w:r>
        <w:rPr>
          <w:color w:val="000000"/>
        </w:rPr>
        <w:t xml:space="preserve"> Proposals under Area 6 will deliver on the impact of “Improved career research careers and mobility on the basis of the European framework for research careers, fostering knowledge flows and career interoperability across sectors and countries”, contributing to the ERA Structural Policy “Making research careers more attractive and sustainable and support mobility”. Project results are expected to contribute to all of the following expected outcomes:</w:t>
      </w:r>
    </w:p>
    <w:p w14:paraId="1E86A483" w14:textId="77777777" w:rsidR="00721C98" w:rsidRDefault="00AE7B71" w:rsidP="00AE7B71">
      <w:pPr>
        <w:pStyle w:val="ListParagraph"/>
        <w:numPr>
          <w:ilvl w:val="0"/>
          <w:numId w:val="73"/>
        </w:numPr>
      </w:pPr>
      <w:r>
        <w:rPr>
          <w:color w:val="000000"/>
        </w:rPr>
        <w:t>Improved knowledge regarding the role played by research collaboration networks, which span across the EU and the rest of the world, in the configuration of research careers;</w:t>
      </w:r>
    </w:p>
    <w:p w14:paraId="2E61E519" w14:textId="77777777" w:rsidR="00721C98" w:rsidRDefault="00AE7B71" w:rsidP="00AE7B71">
      <w:pPr>
        <w:pStyle w:val="ListParagraph"/>
        <w:numPr>
          <w:ilvl w:val="0"/>
          <w:numId w:val="73"/>
        </w:numPr>
      </w:pPr>
      <w:r>
        <w:rPr>
          <w:color w:val="000000"/>
        </w:rPr>
        <w:t>Stakeholders and policymakers benefit from a better understanding of the international dimension of research careers and the impact these careers, in turn, have in shaping research collaboration networks and knowledge flows.</w:t>
      </w:r>
    </w:p>
    <w:p w14:paraId="7C9EA9B3" w14:textId="77777777" w:rsidR="00721C98" w:rsidRDefault="00AE7B71">
      <w:r>
        <w:rPr>
          <w:color w:val="000000"/>
          <w:u w:val="single"/>
        </w:rPr>
        <w:t>Scope:</w:t>
      </w:r>
      <w:r>
        <w:rPr>
          <w:color w:val="000000"/>
        </w:rPr>
        <w:t xml:space="preserve"> International research communities and networks provide the scope for research careers that deploy internationally, which in turn may contribute to strengthening international ties and communities.</w:t>
      </w:r>
    </w:p>
    <w:p w14:paraId="6DE12C04" w14:textId="77777777" w:rsidR="00721C98" w:rsidRDefault="00AE7B71">
      <w:r>
        <w:rPr>
          <w:color w:val="000000"/>
        </w:rPr>
        <w:t>Area 6 aims at increasing empirical and conceptual knowledge regarding this co-evolution between stable international research collaboration networks</w:t>
      </w:r>
      <w:r>
        <w:rPr>
          <w:vertAlign w:val="superscript"/>
        </w:rPr>
        <w:footnoteReference w:id="94"/>
      </w:r>
      <w:r>
        <w:rPr>
          <w:color w:val="000000"/>
        </w:rPr>
        <w:t xml:space="preserve"> and international research </w:t>
      </w:r>
      <w:r>
        <w:rPr>
          <w:color w:val="000000"/>
        </w:rPr>
        <w:lastRenderedPageBreak/>
        <w:t>careers. Applicants may propose a variety of empirical approaches and strategies, for example, the mapping of collaborative projects structures and international co-publication networks, or the design of specific case studies.</w:t>
      </w:r>
    </w:p>
    <w:p w14:paraId="7262762F" w14:textId="77777777" w:rsidR="00721C98" w:rsidRDefault="00AE7B71">
      <w:r>
        <w:rPr>
          <w:color w:val="000000"/>
        </w:rPr>
        <w:t>Universities and other research performing organisations are expected to implement the action, in cooperation with additional stakeholders, where relevant. Results should benefit policymakers in national and international administrations, as well as research organisations and individual researchers. To achieve the expected outcomes, proposals should address the activities outlined below and propose any additional, complementary activities:</w:t>
      </w:r>
    </w:p>
    <w:p w14:paraId="465CD618" w14:textId="77777777" w:rsidR="00721C98" w:rsidRDefault="00AE7B71" w:rsidP="00AE7B71">
      <w:pPr>
        <w:pStyle w:val="ListParagraph"/>
        <w:numPr>
          <w:ilvl w:val="0"/>
          <w:numId w:val="74"/>
        </w:numPr>
      </w:pPr>
      <w:r>
        <w:rPr>
          <w:color w:val="000000"/>
        </w:rPr>
        <w:t>Analyse the relevance of research collaboration networks involving the EU and Associated and/or third countries in the shaping of research careers across the world and in the EU's capacity to build and attract research talent;</w:t>
      </w:r>
    </w:p>
    <w:p w14:paraId="728E3BA5" w14:textId="77777777" w:rsidR="00721C98" w:rsidRDefault="00AE7B71" w:rsidP="00AE7B71">
      <w:pPr>
        <w:pStyle w:val="ListParagraph"/>
        <w:numPr>
          <w:ilvl w:val="0"/>
          <w:numId w:val="74"/>
        </w:numPr>
      </w:pPr>
      <w:r>
        <w:rPr>
          <w:color w:val="000000"/>
        </w:rPr>
        <w:t>Analyse the relevance of careers deploying within such global research collaboration networks in the development of the international collaboration ties and in encouraging knowledge flows across the EU and the rest of the world;</w:t>
      </w:r>
    </w:p>
    <w:p w14:paraId="55931C7B" w14:textId="77777777" w:rsidR="00721C98" w:rsidRDefault="00AE7B71" w:rsidP="00AE7B71">
      <w:pPr>
        <w:pStyle w:val="ListParagraph"/>
        <w:numPr>
          <w:ilvl w:val="0"/>
          <w:numId w:val="74"/>
        </w:numPr>
      </w:pPr>
      <w:r>
        <w:rPr>
          <w:color w:val="000000"/>
        </w:rPr>
        <w:t>Provide policy recommendations at European, national and stakeholders level to improve the attractiveness of research careers.</w:t>
      </w:r>
    </w:p>
    <w:p w14:paraId="07B8781F" w14:textId="77777777" w:rsidR="00721C98" w:rsidRDefault="00AE7B71">
      <w:pPr>
        <w:pStyle w:val="HeadingThree"/>
      </w:pPr>
      <w:r>
        <w:t xml:space="preserve">HORIZON-WIDERA-2027-05-ERA-01: Pillar I: Facilitating development of institutional open access policies through the retention of intellectual property rights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08913BF4" w14:textId="77777777" w:rsidTr="00DB4111">
        <w:tc>
          <w:tcPr>
            <w:tcW w:w="0" w:type="auto"/>
            <w:gridSpan w:val="2"/>
          </w:tcPr>
          <w:p w14:paraId="4AE50425" w14:textId="77777777" w:rsidR="00721C98" w:rsidRDefault="00AE7B71">
            <w:pPr>
              <w:pStyle w:val="CellTextValue"/>
            </w:pPr>
            <w:r>
              <w:rPr>
                <w:b/>
              </w:rPr>
              <w:t>Call: Enhancing the European R&amp;I system</w:t>
            </w:r>
          </w:p>
        </w:tc>
      </w:tr>
      <w:tr w:rsidR="00DB4111" w14:paraId="310550BF" w14:textId="77777777" w:rsidTr="00DB4111">
        <w:tc>
          <w:tcPr>
            <w:tcW w:w="0" w:type="auto"/>
            <w:gridSpan w:val="2"/>
          </w:tcPr>
          <w:p w14:paraId="46B5BBCF" w14:textId="77777777" w:rsidR="00721C98" w:rsidRDefault="00AE7B71">
            <w:pPr>
              <w:pStyle w:val="CellTextValue"/>
            </w:pPr>
            <w:r>
              <w:rPr>
                <w:b/>
              </w:rPr>
              <w:t>Specific conditions</w:t>
            </w:r>
          </w:p>
        </w:tc>
      </w:tr>
      <w:tr w:rsidR="00721C98" w14:paraId="6DD720EC" w14:textId="77777777">
        <w:tc>
          <w:tcPr>
            <w:tcW w:w="0" w:type="auto"/>
          </w:tcPr>
          <w:p w14:paraId="33F782B5" w14:textId="77777777" w:rsidR="00721C98" w:rsidRDefault="00AE7B71">
            <w:pPr>
              <w:pStyle w:val="CellTextValue"/>
              <w:jc w:val="left"/>
            </w:pPr>
            <w:r>
              <w:rPr>
                <w:i/>
              </w:rPr>
              <w:t>Expected EU contribution per project</w:t>
            </w:r>
          </w:p>
        </w:tc>
        <w:tc>
          <w:tcPr>
            <w:tcW w:w="0" w:type="auto"/>
          </w:tcPr>
          <w:p w14:paraId="395E32FF" w14:textId="77777777" w:rsidR="00721C98" w:rsidRDefault="00AE7B71">
            <w:pPr>
              <w:pStyle w:val="CellTextValue"/>
            </w:pPr>
            <w:r>
              <w:t>The Commission estimates that an EU contribution of around EUR 2.00 million would allow these outcomes to be addressed appropriately. Nonetheless, this does not preclude submission and selection of a proposal requesting different amounts.</w:t>
            </w:r>
          </w:p>
        </w:tc>
      </w:tr>
      <w:tr w:rsidR="00721C98" w14:paraId="26FABAC9" w14:textId="77777777">
        <w:tc>
          <w:tcPr>
            <w:tcW w:w="0" w:type="auto"/>
          </w:tcPr>
          <w:p w14:paraId="7116F817" w14:textId="77777777" w:rsidR="00721C98" w:rsidRDefault="00AE7B71">
            <w:pPr>
              <w:pStyle w:val="CellTextValue"/>
              <w:jc w:val="left"/>
            </w:pPr>
            <w:r>
              <w:rPr>
                <w:i/>
              </w:rPr>
              <w:t>Indicative budget</w:t>
            </w:r>
          </w:p>
        </w:tc>
        <w:tc>
          <w:tcPr>
            <w:tcW w:w="0" w:type="auto"/>
          </w:tcPr>
          <w:p w14:paraId="19387C06" w14:textId="77777777" w:rsidR="00721C98" w:rsidRDefault="00AE7B71">
            <w:pPr>
              <w:pStyle w:val="CellTextValue"/>
            </w:pPr>
            <w:r>
              <w:t>The total indicative budget for the topic is EUR 2.00 million.</w:t>
            </w:r>
          </w:p>
        </w:tc>
      </w:tr>
      <w:tr w:rsidR="00721C98" w14:paraId="76061122" w14:textId="77777777">
        <w:tc>
          <w:tcPr>
            <w:tcW w:w="0" w:type="auto"/>
          </w:tcPr>
          <w:p w14:paraId="7BDC8B3B" w14:textId="77777777" w:rsidR="00721C98" w:rsidRDefault="00AE7B71">
            <w:pPr>
              <w:pStyle w:val="CellTextValue"/>
              <w:jc w:val="left"/>
            </w:pPr>
            <w:r>
              <w:rPr>
                <w:i/>
              </w:rPr>
              <w:t>Type of Action</w:t>
            </w:r>
          </w:p>
        </w:tc>
        <w:tc>
          <w:tcPr>
            <w:tcW w:w="0" w:type="auto"/>
          </w:tcPr>
          <w:p w14:paraId="56D64AF2" w14:textId="77777777" w:rsidR="00721C98" w:rsidRDefault="00AE7B71">
            <w:pPr>
              <w:pStyle w:val="CellTextValue"/>
            </w:pPr>
            <w:r>
              <w:rPr>
                <w:color w:val="000000"/>
              </w:rPr>
              <w:t>Coordination and Support Actions</w:t>
            </w:r>
          </w:p>
        </w:tc>
      </w:tr>
      <w:tr w:rsidR="00721C98" w14:paraId="3410C3CE" w14:textId="77777777">
        <w:tc>
          <w:tcPr>
            <w:tcW w:w="0" w:type="auto"/>
          </w:tcPr>
          <w:p w14:paraId="61CC42C8" w14:textId="77777777" w:rsidR="00721C98" w:rsidRDefault="00AE7B71">
            <w:pPr>
              <w:pStyle w:val="CellTextValue"/>
              <w:jc w:val="left"/>
            </w:pPr>
            <w:r>
              <w:rPr>
                <w:i/>
              </w:rPr>
              <w:t>Eligibility conditions</w:t>
            </w:r>
          </w:p>
        </w:tc>
        <w:tc>
          <w:tcPr>
            <w:tcW w:w="0" w:type="auto"/>
          </w:tcPr>
          <w:p w14:paraId="742ACF31" w14:textId="77777777" w:rsidR="00721C98" w:rsidRDefault="00AE7B71">
            <w:pPr>
              <w:pStyle w:val="CellTextValue"/>
            </w:pPr>
            <w:r>
              <w:rPr>
                <w:color w:val="000000"/>
              </w:rPr>
              <w:t>The conditions are described in General Annex B. The following exceptions apply:</w:t>
            </w:r>
          </w:p>
          <w:p w14:paraId="295B7128"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184FFBF4" w14:textId="77777777">
        <w:tc>
          <w:tcPr>
            <w:tcW w:w="0" w:type="auto"/>
          </w:tcPr>
          <w:p w14:paraId="02347920" w14:textId="77777777" w:rsidR="00721C98" w:rsidRDefault="00AE7B71">
            <w:pPr>
              <w:pStyle w:val="CellTextValue"/>
              <w:jc w:val="left"/>
            </w:pPr>
            <w:r>
              <w:rPr>
                <w:i/>
              </w:rPr>
              <w:t>Legal and financial set-up of the Grant Agreements</w:t>
            </w:r>
          </w:p>
        </w:tc>
        <w:tc>
          <w:tcPr>
            <w:tcW w:w="0" w:type="auto"/>
          </w:tcPr>
          <w:p w14:paraId="32177873" w14:textId="77777777" w:rsidR="00721C98" w:rsidRDefault="00AE7B71">
            <w:pPr>
              <w:pStyle w:val="CellTextValue"/>
            </w:pPr>
            <w:r>
              <w:rPr>
                <w:color w:val="000000"/>
              </w:rPr>
              <w:t>The rules are described in General Annex G. The following exceptions apply:</w:t>
            </w:r>
          </w:p>
          <w:p w14:paraId="4974939E" w14:textId="77777777" w:rsidR="00721C98" w:rsidRDefault="00AE7B71">
            <w:pPr>
              <w:pStyle w:val="CellTextValue"/>
            </w:pPr>
            <w:r>
              <w:rPr>
                <w:color w:val="000000"/>
              </w:rPr>
              <w:t xml:space="preserve">Eligible costs will take the form of a lump sum as defined in the </w:t>
            </w:r>
            <w:r>
              <w:rPr>
                <w:color w:val="000000"/>
              </w:rPr>
              <w:lastRenderedPageBreak/>
              <w:t xml:space="preserve">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5"/>
            </w:r>
            <w:r>
              <w:rPr>
                <w:color w:val="000000"/>
              </w:rPr>
              <w:t>.</w:t>
            </w:r>
          </w:p>
        </w:tc>
      </w:tr>
    </w:tbl>
    <w:p w14:paraId="4F81742A" w14:textId="77777777" w:rsidR="00721C98" w:rsidRDefault="00721C98">
      <w:pPr>
        <w:spacing w:after="0" w:line="150" w:lineRule="auto"/>
      </w:pPr>
    </w:p>
    <w:p w14:paraId="345255C3" w14:textId="77777777" w:rsidR="00721C98" w:rsidRDefault="00AE7B71">
      <w:r>
        <w:rPr>
          <w:u w:val="single"/>
        </w:rPr>
        <w:t>Expected Outcome</w:t>
      </w:r>
      <w:r>
        <w:t xml:space="preserve">: </w:t>
      </w:r>
      <w:r>
        <w:rPr>
          <w:color w:val="000000"/>
        </w:rPr>
        <w:t>Proposals will deliver on the impact “A more open, equitable and inclusive research and innovation ecosystem”, contributing to the ERA Structural Policy “Enabling open science via sharing and re-use of data, including through the European Open Science Cloud (EOSC)”. Project results are expected to contribute to all of the following expected outcomes:</w:t>
      </w:r>
    </w:p>
    <w:p w14:paraId="55B0DFE6" w14:textId="77777777" w:rsidR="00721C98" w:rsidRDefault="00AE7B71" w:rsidP="00AE7B71">
      <w:pPr>
        <w:pStyle w:val="ListParagraph"/>
        <w:numPr>
          <w:ilvl w:val="0"/>
          <w:numId w:val="75"/>
        </w:numPr>
      </w:pPr>
      <w:r>
        <w:rPr>
          <w:color w:val="000000"/>
        </w:rPr>
        <w:t>Increased number of EU research performing organisations (RPOs) with well-developed policies on open access publications, which include clause(s) for rights retention;</w:t>
      </w:r>
    </w:p>
    <w:p w14:paraId="7D8A4E05" w14:textId="77777777" w:rsidR="00721C98" w:rsidRDefault="00AE7B71" w:rsidP="00AE7B71">
      <w:pPr>
        <w:pStyle w:val="ListParagraph"/>
        <w:numPr>
          <w:ilvl w:val="0"/>
          <w:numId w:val="75"/>
        </w:numPr>
      </w:pPr>
      <w:r>
        <w:rPr>
          <w:color w:val="000000"/>
        </w:rPr>
        <w:t>Higher share of research publications in open access across the EU and Associated Countries, especially in low-performing countries with respect to open access;</w:t>
      </w:r>
    </w:p>
    <w:p w14:paraId="3DE0235B" w14:textId="77777777" w:rsidR="00721C98" w:rsidRDefault="00AE7B71" w:rsidP="00AE7B71">
      <w:pPr>
        <w:pStyle w:val="ListParagraph"/>
        <w:numPr>
          <w:ilvl w:val="0"/>
          <w:numId w:val="75"/>
        </w:numPr>
      </w:pPr>
      <w:r>
        <w:rPr>
          <w:color w:val="000000"/>
        </w:rPr>
        <w:t>Increase of access to and preservation of scientific information through institutional infrastructures, such as repositories.</w:t>
      </w:r>
    </w:p>
    <w:p w14:paraId="5AB9388B" w14:textId="77777777" w:rsidR="00721C98" w:rsidRDefault="00AE7B71">
      <w:r>
        <w:rPr>
          <w:u w:val="single"/>
        </w:rPr>
        <w:t>Scope</w:t>
      </w:r>
      <w:r>
        <w:t xml:space="preserve">: </w:t>
      </w:r>
      <w:r>
        <w:rPr>
          <w:color w:val="000000"/>
        </w:rPr>
        <w:t>While the EU is making progress on its open access objectives, recent reports show that there is still significant room for improvement. There is variable progress across Member States and Associated Countries, and less growth in open access through repositories compared to open access publishing.</w:t>
      </w:r>
    </w:p>
    <w:p w14:paraId="0EBB0836" w14:textId="77777777" w:rsidR="00721C98" w:rsidRDefault="00AE7B71">
      <w:r>
        <w:rPr>
          <w:color w:val="000000"/>
        </w:rPr>
        <w:t>Rights retention</w:t>
      </w:r>
      <w:r>
        <w:rPr>
          <w:vertAlign w:val="superscript"/>
        </w:rPr>
        <w:footnoteReference w:id="96"/>
      </w:r>
      <w:r>
        <w:rPr>
          <w:color w:val="000000"/>
        </w:rPr>
        <w:t xml:space="preserve"> strategies, embedded in institutional or funder policies and requirements, have been identified as non-legislative measures with very good potential to support the uptake of open access. At the same time, such strategies empower researchers and institutions to safeguard their rights. The </w:t>
      </w:r>
      <w:hyperlink r:id="rId20">
        <w:r w:rsidR="00721C98">
          <w:rPr>
            <w:szCs w:val="24"/>
            <w:u w:val="single"/>
          </w:rPr>
          <w:t>cOAlition S</w:t>
        </w:r>
      </w:hyperlink>
      <w:r>
        <w:rPr>
          <w:color w:val="000000"/>
        </w:rPr>
        <w:t xml:space="preserve"> of research funders has supported the implementation of relevant policies among funding organisations to enable open access, while research institutions in some EU and Associated Countries have started to implement rights retention strategies and policies with increasing success.</w:t>
      </w:r>
    </w:p>
    <w:p w14:paraId="3836BFAF" w14:textId="77777777" w:rsidR="00721C98" w:rsidRDefault="00AE7B71">
      <w:r>
        <w:rPr>
          <w:color w:val="000000"/>
        </w:rPr>
        <w:t xml:space="preserve">This topic aims to support RPOs across the EU to work strategically on rights retention policies to boost open access and reuse of scientific information. Proposals should enable RPOs to adopt and/or expand their policies on open access and rights retention tailored to specific national legal and policy contexts. They should also consider related issues such as </w:t>
      </w:r>
      <w:r>
        <w:rPr>
          <w:color w:val="000000"/>
        </w:rPr>
        <w:lastRenderedPageBreak/>
        <w:t>research assessment and its reform, the costs of providing open access, and different disciplinary practices and needs, among others.</w:t>
      </w:r>
    </w:p>
    <w:p w14:paraId="27645BAA" w14:textId="77777777" w:rsidR="00721C98" w:rsidRDefault="00AE7B71">
      <w:r>
        <w:rPr>
          <w:color w:val="000000"/>
        </w:rPr>
        <w:t>Consortia may comprise RPOs, libraries, policy-makers, funders, and others.</w:t>
      </w:r>
    </w:p>
    <w:p w14:paraId="501D6059" w14:textId="77777777" w:rsidR="00721C98" w:rsidRDefault="00AE7B71">
      <w:r>
        <w:rPr>
          <w:color w:val="000000"/>
        </w:rPr>
        <w:t>To achieve the expected outcomes, proposals should address at least the activities outlined below and propose any additional, complementary activities:</w:t>
      </w:r>
    </w:p>
    <w:p w14:paraId="12061D23" w14:textId="77777777" w:rsidR="00721C98" w:rsidRDefault="00AE7B71" w:rsidP="00AE7B71">
      <w:pPr>
        <w:pStyle w:val="ListParagraph"/>
        <w:numPr>
          <w:ilvl w:val="0"/>
          <w:numId w:val="76"/>
        </w:numPr>
      </w:pPr>
      <w:r>
        <w:rPr>
          <w:color w:val="000000"/>
        </w:rPr>
        <w:t>Develop networks of research institutions working towards aligned institutional policies to enable open access through rights retention;</w:t>
      </w:r>
    </w:p>
    <w:p w14:paraId="0F988349" w14:textId="77777777" w:rsidR="00721C98" w:rsidRDefault="00AE7B71" w:rsidP="00AE7B71">
      <w:pPr>
        <w:pStyle w:val="ListParagraph"/>
        <w:numPr>
          <w:ilvl w:val="0"/>
          <w:numId w:val="76"/>
        </w:numPr>
      </w:pPr>
      <w:r>
        <w:rPr>
          <w:color w:val="000000"/>
        </w:rPr>
        <w:t>Produce comprehensive guidance, tools and training materials, and document lessons learnt and best practice to support RPOs to adopt and expand policies on rights retention;</w:t>
      </w:r>
    </w:p>
    <w:p w14:paraId="68F14A81" w14:textId="77777777" w:rsidR="00721C98" w:rsidRDefault="00AE7B71" w:rsidP="00AE7B71">
      <w:pPr>
        <w:pStyle w:val="ListParagraph"/>
        <w:numPr>
          <w:ilvl w:val="0"/>
          <w:numId w:val="76"/>
        </w:numPr>
      </w:pPr>
      <w:r>
        <w:rPr>
          <w:color w:val="000000"/>
        </w:rPr>
        <w:t>Design strategies to maximise approval and adoption of rights retention and open access policies by researchers.</w:t>
      </w:r>
    </w:p>
    <w:p w14:paraId="0BC41F8B" w14:textId="77777777" w:rsidR="00721C98" w:rsidRDefault="00AE7B71">
      <w:pPr>
        <w:pStyle w:val="HeadingThree"/>
      </w:pPr>
      <w:r>
        <w:t>HORIZON-WIDERA-2027-05-ERA-02: Pillar II: Talent ecosystems for attractive early research careers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7F703756" w14:textId="77777777" w:rsidTr="00DB4111">
        <w:tc>
          <w:tcPr>
            <w:tcW w:w="0" w:type="auto"/>
            <w:gridSpan w:val="2"/>
          </w:tcPr>
          <w:p w14:paraId="7DFAC174" w14:textId="77777777" w:rsidR="00721C98" w:rsidRDefault="00AE7B71">
            <w:pPr>
              <w:pStyle w:val="CellTextValue"/>
            </w:pPr>
            <w:r>
              <w:rPr>
                <w:b/>
              </w:rPr>
              <w:t>Call: Enhancing the European R&amp;I system</w:t>
            </w:r>
          </w:p>
        </w:tc>
      </w:tr>
      <w:tr w:rsidR="00DB4111" w14:paraId="726D9859" w14:textId="77777777" w:rsidTr="00DB4111">
        <w:tc>
          <w:tcPr>
            <w:tcW w:w="0" w:type="auto"/>
            <w:gridSpan w:val="2"/>
          </w:tcPr>
          <w:p w14:paraId="0F07D096" w14:textId="77777777" w:rsidR="00721C98" w:rsidRDefault="00AE7B71">
            <w:pPr>
              <w:pStyle w:val="CellTextValue"/>
            </w:pPr>
            <w:r>
              <w:rPr>
                <w:b/>
              </w:rPr>
              <w:t>Specific conditions</w:t>
            </w:r>
          </w:p>
        </w:tc>
      </w:tr>
      <w:tr w:rsidR="00721C98" w14:paraId="6DDAD189" w14:textId="77777777">
        <w:tc>
          <w:tcPr>
            <w:tcW w:w="0" w:type="auto"/>
          </w:tcPr>
          <w:p w14:paraId="717A8218" w14:textId="77777777" w:rsidR="00721C98" w:rsidRDefault="00AE7B71">
            <w:pPr>
              <w:pStyle w:val="CellTextValue"/>
              <w:jc w:val="left"/>
            </w:pPr>
            <w:r>
              <w:rPr>
                <w:i/>
              </w:rPr>
              <w:t>Expected EU contribution per project</w:t>
            </w:r>
          </w:p>
        </w:tc>
        <w:tc>
          <w:tcPr>
            <w:tcW w:w="0" w:type="auto"/>
          </w:tcPr>
          <w:p w14:paraId="03DDC4FD" w14:textId="77777777" w:rsidR="00721C98" w:rsidRDefault="00AE7B71">
            <w:pPr>
              <w:pStyle w:val="CellTextValue"/>
            </w:pPr>
            <w:r>
              <w:t>The Commission estimates that an EU contribution of around EUR 2.00 million would allow these outcomes to be addressed appropriately. Nonetheless, this does not preclude submission and selection of a proposal requesting different amounts.</w:t>
            </w:r>
          </w:p>
        </w:tc>
      </w:tr>
      <w:tr w:rsidR="00721C98" w14:paraId="2E3A4B04" w14:textId="77777777">
        <w:tc>
          <w:tcPr>
            <w:tcW w:w="0" w:type="auto"/>
          </w:tcPr>
          <w:p w14:paraId="7EA55460" w14:textId="77777777" w:rsidR="00721C98" w:rsidRDefault="00AE7B71">
            <w:pPr>
              <w:pStyle w:val="CellTextValue"/>
              <w:jc w:val="left"/>
            </w:pPr>
            <w:r>
              <w:rPr>
                <w:i/>
              </w:rPr>
              <w:t>Indicative budget</w:t>
            </w:r>
          </w:p>
        </w:tc>
        <w:tc>
          <w:tcPr>
            <w:tcW w:w="0" w:type="auto"/>
          </w:tcPr>
          <w:p w14:paraId="27A2DE63" w14:textId="77777777" w:rsidR="00721C98" w:rsidRDefault="00AE7B71">
            <w:pPr>
              <w:pStyle w:val="CellTextValue"/>
            </w:pPr>
            <w:r>
              <w:t>The total indicative budget for the topic is EUR 29.00 million.</w:t>
            </w:r>
          </w:p>
        </w:tc>
      </w:tr>
      <w:tr w:rsidR="00721C98" w14:paraId="5636BB6D" w14:textId="77777777">
        <w:tc>
          <w:tcPr>
            <w:tcW w:w="0" w:type="auto"/>
          </w:tcPr>
          <w:p w14:paraId="0D5CA422" w14:textId="77777777" w:rsidR="00721C98" w:rsidRDefault="00AE7B71">
            <w:pPr>
              <w:pStyle w:val="CellTextValue"/>
              <w:jc w:val="left"/>
            </w:pPr>
            <w:r>
              <w:rPr>
                <w:i/>
              </w:rPr>
              <w:t>Type of Action</w:t>
            </w:r>
          </w:p>
        </w:tc>
        <w:tc>
          <w:tcPr>
            <w:tcW w:w="0" w:type="auto"/>
          </w:tcPr>
          <w:p w14:paraId="3611715D" w14:textId="77777777" w:rsidR="00721C98" w:rsidRDefault="00AE7B71">
            <w:pPr>
              <w:pStyle w:val="CellTextValue"/>
            </w:pPr>
            <w:r>
              <w:rPr>
                <w:color w:val="000000"/>
              </w:rPr>
              <w:t>Coordination and Support Actions</w:t>
            </w:r>
          </w:p>
        </w:tc>
      </w:tr>
      <w:tr w:rsidR="00721C98" w14:paraId="51628460" w14:textId="77777777">
        <w:tc>
          <w:tcPr>
            <w:tcW w:w="0" w:type="auto"/>
          </w:tcPr>
          <w:p w14:paraId="0CC118BF" w14:textId="77777777" w:rsidR="00721C98" w:rsidRDefault="00AE7B71">
            <w:pPr>
              <w:pStyle w:val="CellTextValue"/>
              <w:jc w:val="left"/>
            </w:pPr>
            <w:r>
              <w:rPr>
                <w:i/>
              </w:rPr>
              <w:t>Eligibility conditions</w:t>
            </w:r>
          </w:p>
        </w:tc>
        <w:tc>
          <w:tcPr>
            <w:tcW w:w="0" w:type="auto"/>
          </w:tcPr>
          <w:p w14:paraId="66DF0A30" w14:textId="77777777" w:rsidR="00721C98" w:rsidRDefault="00AE7B71">
            <w:pPr>
              <w:pStyle w:val="CellTextValue"/>
            </w:pPr>
            <w:r>
              <w:rPr>
                <w:color w:val="000000"/>
              </w:rPr>
              <w:t>The conditions are described in General Annex B. The following exceptions apply:</w:t>
            </w:r>
          </w:p>
          <w:p w14:paraId="1596B320"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5D84E670" w14:textId="77777777">
        <w:tc>
          <w:tcPr>
            <w:tcW w:w="0" w:type="auto"/>
          </w:tcPr>
          <w:p w14:paraId="4B7D4817" w14:textId="77777777" w:rsidR="00721C98" w:rsidRDefault="00AE7B71">
            <w:pPr>
              <w:pStyle w:val="CellTextValue"/>
              <w:jc w:val="left"/>
            </w:pPr>
            <w:r>
              <w:rPr>
                <w:i/>
              </w:rPr>
              <w:t>Procedure</w:t>
            </w:r>
          </w:p>
        </w:tc>
        <w:tc>
          <w:tcPr>
            <w:tcW w:w="0" w:type="auto"/>
          </w:tcPr>
          <w:p w14:paraId="204385CE" w14:textId="77777777" w:rsidR="00721C98" w:rsidRDefault="00AE7B71">
            <w:pPr>
              <w:pStyle w:val="CellTextValue"/>
            </w:pPr>
            <w:r>
              <w:rPr>
                <w:color w:val="000000"/>
              </w:rPr>
              <w:t>The procedure is described in General Annex F. The following exceptions apply:</w:t>
            </w:r>
          </w:p>
          <w:p w14:paraId="5970F571" w14:textId="77777777" w:rsidR="00721C98" w:rsidRDefault="00AE7B71">
            <w:pPr>
              <w:pStyle w:val="CellTextValue"/>
            </w:pPr>
            <w:r>
              <w:rPr>
                <w:color w:val="000000"/>
              </w:rPr>
              <w:t>To ensure a balanced portfolio covering different thematic areas, as outlined in the scope, grants will be awarded to proposals not only in order of ranking, but at least also to proposals that are the highest ranked within each thematic area, provided that proposals pass all thresholds.</w:t>
            </w:r>
          </w:p>
        </w:tc>
      </w:tr>
      <w:tr w:rsidR="00721C98" w14:paraId="52D8656D" w14:textId="77777777">
        <w:tc>
          <w:tcPr>
            <w:tcW w:w="0" w:type="auto"/>
          </w:tcPr>
          <w:p w14:paraId="4E89303A" w14:textId="77777777" w:rsidR="00721C98" w:rsidRDefault="00AE7B71">
            <w:pPr>
              <w:pStyle w:val="CellTextValue"/>
              <w:jc w:val="left"/>
            </w:pPr>
            <w:r>
              <w:rPr>
                <w:i/>
              </w:rPr>
              <w:lastRenderedPageBreak/>
              <w:t>Legal and financial set-up of the Grant Agreements</w:t>
            </w:r>
          </w:p>
        </w:tc>
        <w:tc>
          <w:tcPr>
            <w:tcW w:w="0" w:type="auto"/>
          </w:tcPr>
          <w:p w14:paraId="000BFD3D" w14:textId="77777777" w:rsidR="00721C98" w:rsidRDefault="00AE7B71">
            <w:pPr>
              <w:pStyle w:val="CellTextValue"/>
            </w:pPr>
            <w:r>
              <w:rPr>
                <w:color w:val="000000"/>
              </w:rPr>
              <w:t>The rules are described in General Annex G. The following exceptions apply:</w:t>
            </w:r>
          </w:p>
          <w:p w14:paraId="66FEAA4E"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7"/>
            </w:r>
            <w:r>
              <w:rPr>
                <w:color w:val="000000"/>
              </w:rPr>
              <w:t>.</w:t>
            </w:r>
          </w:p>
        </w:tc>
      </w:tr>
    </w:tbl>
    <w:p w14:paraId="52B7EE13" w14:textId="77777777" w:rsidR="00721C98" w:rsidRDefault="00721C98">
      <w:pPr>
        <w:spacing w:after="0" w:line="150" w:lineRule="auto"/>
      </w:pPr>
    </w:p>
    <w:p w14:paraId="753522D2" w14:textId="77777777" w:rsidR="00721C98" w:rsidRDefault="00AE7B71">
      <w:r>
        <w:rPr>
          <w:u w:val="single"/>
        </w:rPr>
        <w:t>Expected Outcome</w:t>
      </w:r>
      <w:r>
        <w:t xml:space="preserve">: </w:t>
      </w:r>
      <w:r>
        <w:rPr>
          <w:color w:val="000000"/>
        </w:rPr>
        <w:t>Proposals will deliver on the impact of “Improved research careers and mobility, based on the European framework for research careers, fostering knowledge flows and career interoperability across sectors and countries”</w:t>
      </w:r>
      <w:r>
        <w:rPr>
          <w:vertAlign w:val="superscript"/>
        </w:rPr>
        <w:footnoteReference w:id="98"/>
      </w:r>
      <w:r>
        <w:rPr>
          <w:color w:val="000000"/>
        </w:rPr>
        <w:t>, contributing to the ERA Structural Policy “Making research careers more attractive and sustainable, and support mobility”. Project results are expected to contribute to the following outcomes:</w:t>
      </w:r>
    </w:p>
    <w:p w14:paraId="1285BCEA" w14:textId="77777777" w:rsidR="00721C98" w:rsidRDefault="00AE7B71" w:rsidP="00AE7B71">
      <w:pPr>
        <w:pStyle w:val="ListParagraph"/>
        <w:numPr>
          <w:ilvl w:val="0"/>
          <w:numId w:val="77"/>
        </w:numPr>
      </w:pPr>
      <w:r>
        <w:rPr>
          <w:color w:val="000000"/>
        </w:rPr>
        <w:t>Creation of talent ecosystems</w:t>
      </w:r>
      <w:r>
        <w:rPr>
          <w:vertAlign w:val="superscript"/>
        </w:rPr>
        <w:footnoteReference w:id="99"/>
      </w:r>
      <w:r>
        <w:rPr>
          <w:color w:val="000000"/>
        </w:rPr>
        <w:t>, as integrated networks where research performing public (including higher education institutions) and private organisations, in particular industrial actors and research-intensive businesses, have established close and coordinated cooperation, fostering among others the employability, skills, career development, mobility, career interoperability, and well-being of researchers and other R&amp;I staff;</w:t>
      </w:r>
    </w:p>
    <w:p w14:paraId="2FAD22C4" w14:textId="77777777" w:rsidR="00721C98" w:rsidRDefault="00AE7B71" w:rsidP="00AE7B71">
      <w:pPr>
        <w:pStyle w:val="ListParagraph"/>
        <w:numPr>
          <w:ilvl w:val="0"/>
          <w:numId w:val="77"/>
        </w:numPr>
      </w:pPr>
      <w:r>
        <w:rPr>
          <w:color w:val="000000"/>
        </w:rPr>
        <w:t>Implementation of organisational changes by participating organisations to mainstream the principles of the European framework for research careers and of the European Charter for Researchers, resulting in researchers benefitting from attractive working and employment conditions and diversified career development opportunities, with spillover effects on other R&amp;I staff;</w:t>
      </w:r>
    </w:p>
    <w:p w14:paraId="201B972A" w14:textId="77777777" w:rsidR="00721C98" w:rsidRDefault="00AE7B71" w:rsidP="00AE7B71">
      <w:pPr>
        <w:pStyle w:val="ListParagraph"/>
        <w:numPr>
          <w:ilvl w:val="0"/>
          <w:numId w:val="77"/>
        </w:numPr>
      </w:pPr>
      <w:r>
        <w:rPr>
          <w:color w:val="000000"/>
        </w:rPr>
        <w:t>Well-connected talent ecosystems through regular cooperation between different projects established under this topic and other ongoing actions</w:t>
      </w:r>
      <w:r>
        <w:rPr>
          <w:vertAlign w:val="superscript"/>
        </w:rPr>
        <w:footnoteReference w:id="100"/>
      </w:r>
      <w:r>
        <w:rPr>
          <w:color w:val="000000"/>
        </w:rPr>
        <w:t>;</w:t>
      </w:r>
    </w:p>
    <w:p w14:paraId="5D82F78E" w14:textId="77777777" w:rsidR="00721C98" w:rsidRDefault="00AE7B71" w:rsidP="00AE7B71">
      <w:pPr>
        <w:pStyle w:val="ListParagraph"/>
        <w:numPr>
          <w:ilvl w:val="0"/>
          <w:numId w:val="77"/>
        </w:numPr>
      </w:pPr>
      <w:r>
        <w:rPr>
          <w:color w:val="000000"/>
        </w:rPr>
        <w:t>Enhanced talent ecosystems, enabling a substantial number of researchers and other R&amp;I staff to develop attractive careers and attracting international talents and European diaspora scientists.</w:t>
      </w:r>
    </w:p>
    <w:p w14:paraId="045FDF80" w14:textId="77777777" w:rsidR="00721C98" w:rsidRDefault="00AE7B71">
      <w:r>
        <w:rPr>
          <w:u w:val="single"/>
        </w:rPr>
        <w:lastRenderedPageBreak/>
        <w:t>Scope</w:t>
      </w:r>
      <w:r>
        <w:t xml:space="preserve">: </w:t>
      </w:r>
      <w:r>
        <w:rPr>
          <w:color w:val="000000"/>
        </w:rPr>
        <w:t xml:space="preserve">The topic supports consortia in creating ‘talent ecosystems’, cohesive and interdependent systems, where a balanced composition of both education and training providers and employers of researchers, especially from the non-academic sector, cooperate closely to promote attractive and sustainable careers for researchers, in particular for early-career researchers, tailored to the needs of the research labour market. To facilitate the formation of a balanced consortium, the inclusion of associated partners is </w:t>
      </w:r>
      <w:r>
        <w:rPr>
          <w:color w:val="000000"/>
        </w:rPr>
        <w:t>encouraged .</w:t>
      </w:r>
    </w:p>
    <w:p w14:paraId="6D0DEDF7" w14:textId="77777777" w:rsidR="00721C98" w:rsidRDefault="00AE7B71">
      <w:r>
        <w:rPr>
          <w:color w:val="000000"/>
        </w:rPr>
        <w:t>The consortium is also encouraged to extend the scope of the talent ecosystem by cooperating with additional organisations outside the consortium during the course of the action.</w:t>
      </w:r>
    </w:p>
    <w:p w14:paraId="4A6F0CF9" w14:textId="77777777" w:rsidR="00721C98" w:rsidRDefault="00AE7B71">
      <w:r>
        <w:rPr>
          <w:color w:val="000000"/>
        </w:rPr>
        <w:t>Applicants should in their proposal, clearly identify the thematic area they plan to address, choosing from the ones outlined below and specify the precise thematic scope within the selected area:</w:t>
      </w:r>
    </w:p>
    <w:p w14:paraId="21518A32" w14:textId="77777777" w:rsidR="00721C98" w:rsidRDefault="00AE7B71" w:rsidP="00AE7B71">
      <w:pPr>
        <w:pStyle w:val="ListParagraph"/>
        <w:numPr>
          <w:ilvl w:val="0"/>
          <w:numId w:val="78"/>
        </w:numPr>
      </w:pPr>
      <w:r>
        <w:rPr>
          <w:color w:val="000000"/>
        </w:rPr>
        <w:t>Area 1. Clean Transition: Energy and transport</w:t>
      </w:r>
    </w:p>
    <w:p w14:paraId="502F5C8E" w14:textId="77777777" w:rsidR="00721C98" w:rsidRDefault="00AE7B71" w:rsidP="00AE7B71">
      <w:pPr>
        <w:pStyle w:val="ListParagraph"/>
        <w:numPr>
          <w:ilvl w:val="0"/>
          <w:numId w:val="78"/>
        </w:numPr>
      </w:pPr>
      <w:r>
        <w:rPr>
          <w:color w:val="000000"/>
        </w:rPr>
        <w:t>Area 2. Health</w:t>
      </w:r>
    </w:p>
    <w:p w14:paraId="43FE9CDC" w14:textId="77777777" w:rsidR="00721C98" w:rsidRDefault="00AE7B71" w:rsidP="00AE7B71">
      <w:pPr>
        <w:pStyle w:val="ListParagraph"/>
        <w:numPr>
          <w:ilvl w:val="0"/>
          <w:numId w:val="78"/>
        </w:numPr>
      </w:pPr>
      <w:r>
        <w:rPr>
          <w:color w:val="000000"/>
        </w:rPr>
        <w:t>Area 3. Biotech, agriculture and bioeconomy</w:t>
      </w:r>
    </w:p>
    <w:p w14:paraId="19D485A2" w14:textId="77777777" w:rsidR="00721C98" w:rsidRDefault="00AE7B71" w:rsidP="00AE7B71">
      <w:pPr>
        <w:pStyle w:val="ListParagraph"/>
        <w:numPr>
          <w:ilvl w:val="0"/>
          <w:numId w:val="78"/>
        </w:numPr>
      </w:pPr>
      <w:r>
        <w:rPr>
          <w:color w:val="000000"/>
        </w:rPr>
        <w:t>Area 4. Digital and AI technologies</w:t>
      </w:r>
    </w:p>
    <w:p w14:paraId="091745F0" w14:textId="77777777" w:rsidR="00721C98" w:rsidRDefault="00AE7B71" w:rsidP="00AE7B71">
      <w:pPr>
        <w:pStyle w:val="ListParagraph"/>
        <w:numPr>
          <w:ilvl w:val="0"/>
          <w:numId w:val="78"/>
        </w:numPr>
      </w:pPr>
      <w:r>
        <w:rPr>
          <w:color w:val="000000"/>
        </w:rPr>
        <w:t>Area 5. Space</w:t>
      </w:r>
    </w:p>
    <w:p w14:paraId="5CE2B07F" w14:textId="77777777" w:rsidR="00721C98" w:rsidRDefault="00AE7B71">
      <w:r>
        <w:rPr>
          <w:color w:val="000000"/>
        </w:rPr>
        <w:t>Researchers at organisational level and other R&amp;I staff should be trained according to the needs of businesses, industry, and, more generally, to the needs of the labour market, while also ensuring that latest research findings are included in the curricula of early-career researchers. This should help close existing gaps between R&amp;I talents and the labour market, ensuring that businesses and industry benefit from a substantial and highly skilled workforce, especially in emerging sectors with high demand fo</w:t>
      </w:r>
      <w:r>
        <w:rPr>
          <w:color w:val="000000"/>
        </w:rPr>
        <w:t>r talent or specific R&amp;I skills.</w:t>
      </w:r>
    </w:p>
    <w:p w14:paraId="7F99EDB2" w14:textId="77777777" w:rsidR="00721C98" w:rsidRDefault="00AE7B71">
      <w:r>
        <w:rPr>
          <w:color w:val="000000"/>
        </w:rPr>
        <w:t>Cooperation should create conditions for interoperable careers for researchers and for continuous and multidirectional talent circulation between the various sectors within the ecosystem.</w:t>
      </w:r>
    </w:p>
    <w:p w14:paraId="4F40C5A4" w14:textId="77777777" w:rsidR="00721C98" w:rsidRDefault="00AE7B71">
      <w:r>
        <w:rPr>
          <w:color w:val="000000"/>
        </w:rPr>
        <w:t>The talent ecosystems and the cooperation among participants are expected to be designed to last beyond the duration of the project and benefit researchers and other R&amp;I staff both within the consortium and beyond. Participating organisations are expected to have received the HR Excellence in Research Award</w:t>
      </w:r>
      <w:r>
        <w:rPr>
          <w:vertAlign w:val="superscript"/>
        </w:rPr>
        <w:footnoteReference w:id="101"/>
      </w:r>
      <w:r>
        <w:rPr>
          <w:color w:val="000000"/>
        </w:rPr>
        <w:t xml:space="preserve"> or commit to applying the new Charter for Researchers and commit to its implementation (i.e., start the process towards the Award) within the grant duration, as far as relevant for their operations related to the employment of researchers</w:t>
      </w:r>
      <w:r>
        <w:rPr>
          <w:vertAlign w:val="superscript"/>
        </w:rPr>
        <w:footnoteReference w:id="102"/>
      </w:r>
      <w:r>
        <w:rPr>
          <w:color w:val="000000"/>
        </w:rPr>
        <w:t xml:space="preserve">. </w:t>
      </w:r>
      <w:r>
        <w:rPr>
          <w:color w:val="000000"/>
        </w:rPr>
        <w:lastRenderedPageBreak/>
        <w:t>This action does not support salaries and mobility of individual researchers or teams of researchers.</w:t>
      </w:r>
    </w:p>
    <w:p w14:paraId="02EB07B6" w14:textId="77777777" w:rsidR="00721C98" w:rsidRDefault="00AE7B71">
      <w:r>
        <w:rPr>
          <w:color w:val="000000"/>
        </w:rPr>
        <w:t xml:space="preserve">Activities may include (non-exhaustive list) mapping challenges, developing action plans to bring the organisations in line with the Charter for Researchers, upskilling (including on the basis of </w:t>
      </w:r>
      <w:hyperlink r:id="rId21">
        <w:r w:rsidR="00721C98">
          <w:rPr>
            <w:szCs w:val="24"/>
            <w:u w:val="single"/>
          </w:rPr>
          <w:t>ResearchComp</w:t>
        </w:r>
      </w:hyperlink>
      <w:r>
        <w:rPr>
          <w:color w:val="000000"/>
        </w:rPr>
        <w:t xml:space="preserve"> and </w:t>
      </w:r>
      <w:hyperlink r:id="rId22">
        <w:r w:rsidR="00721C98">
          <w:rPr>
            <w:szCs w:val="24"/>
            <w:u w:val="single"/>
          </w:rPr>
          <w:t>RM Comp</w:t>
        </w:r>
      </w:hyperlink>
      <w:r>
        <w:rPr>
          <w:color w:val="000000"/>
        </w:rPr>
        <w:t>), involving the non-academic sector in the design and implementation of training programmes for researchers and other R&amp;I staff, establishing career development and mentoring services, developing services for the well-being of researchers and other R&amp;I staff, creating conditions for interoperable careers between countries and sectors, supporting incoming mobile researchers, networking and relationship-building to connect talent ecosystem partners, and outreach activities to attract international researcher</w:t>
      </w:r>
      <w:r>
        <w:rPr>
          <w:color w:val="000000"/>
        </w:rPr>
        <w:t>s to the ecosystem.</w:t>
      </w:r>
    </w:p>
    <w:p w14:paraId="0D939083" w14:textId="77777777" w:rsidR="00721C98" w:rsidRDefault="00AE7B71">
      <w:r>
        <w:rPr>
          <w:color w:val="000000"/>
        </w:rPr>
        <w:t xml:space="preserve">Activities should demonstrate how actions will build on, connect to, make use of, promote and, where appropriate, help improve relevant ERA Talent Platform initiatives, including, EURAXESS, RESAVER, ReICO, </w:t>
      </w:r>
      <w:hyperlink r:id="rId23">
        <w:r w:rsidR="00721C98">
          <w:rPr>
            <w:szCs w:val="24"/>
            <w:u w:val="single"/>
          </w:rPr>
          <w:t>ResearchComp</w:t>
        </w:r>
      </w:hyperlink>
      <w:r>
        <w:rPr>
          <w:color w:val="000000"/>
        </w:rPr>
        <w:t xml:space="preserve"> and </w:t>
      </w:r>
      <w:hyperlink r:id="rId24">
        <w:r w:rsidR="00721C98">
          <w:rPr>
            <w:szCs w:val="24"/>
            <w:u w:val="single"/>
          </w:rPr>
          <w:t>RM Comp</w:t>
        </w:r>
      </w:hyperlink>
      <w:r>
        <w:rPr>
          <w:color w:val="000000"/>
        </w:rPr>
        <w:t>, and setting out practical measures to ensure complementarity, interoperability, user signposting and coherent communication. This should ensure that activities reinforce rather than duplicate existing European-level support. This also entails structured cooperation with the already existing pilot projects funded under HORIZON-WIDERA-2024-ERA-02-03 and this projects that will be funded under this call.</w:t>
      </w:r>
    </w:p>
    <w:p w14:paraId="711B9854" w14:textId="77777777" w:rsidR="00721C98" w:rsidRDefault="00AE7B71">
      <w:r>
        <w:rPr>
          <w:color w:val="000000"/>
        </w:rPr>
        <w:t>Expected project duration is up to 3 years without prejudice to a longer duration if justified.</w:t>
      </w:r>
    </w:p>
    <w:p w14:paraId="4AAFBBD6" w14:textId="77777777" w:rsidR="00721C98" w:rsidRDefault="00AE7B71">
      <w:pPr>
        <w:pStyle w:val="HeadingThree"/>
      </w:pPr>
      <w:r>
        <w:t>HORIZON-WIDERA-2027-05-ERA-03: Pillar III: Science comes to town 2029</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9"/>
        <w:gridCol w:w="7193"/>
      </w:tblGrid>
      <w:tr w:rsidR="00DB4111" w14:paraId="55EB7BFD" w14:textId="77777777" w:rsidTr="00DB4111">
        <w:tc>
          <w:tcPr>
            <w:tcW w:w="0" w:type="auto"/>
            <w:gridSpan w:val="2"/>
          </w:tcPr>
          <w:p w14:paraId="52C5DB2E" w14:textId="77777777" w:rsidR="00721C98" w:rsidRDefault="00AE7B71">
            <w:pPr>
              <w:pStyle w:val="CellTextValue"/>
            </w:pPr>
            <w:r>
              <w:rPr>
                <w:b/>
              </w:rPr>
              <w:t>Call: Enhancing the European R&amp;I system</w:t>
            </w:r>
          </w:p>
        </w:tc>
      </w:tr>
      <w:tr w:rsidR="00DB4111" w14:paraId="7484D432" w14:textId="77777777" w:rsidTr="00DB4111">
        <w:tc>
          <w:tcPr>
            <w:tcW w:w="0" w:type="auto"/>
            <w:gridSpan w:val="2"/>
          </w:tcPr>
          <w:p w14:paraId="46006A22" w14:textId="77777777" w:rsidR="00721C98" w:rsidRDefault="00AE7B71">
            <w:pPr>
              <w:pStyle w:val="CellTextValue"/>
            </w:pPr>
            <w:r>
              <w:rPr>
                <w:b/>
              </w:rPr>
              <w:t>Specific conditions</w:t>
            </w:r>
          </w:p>
        </w:tc>
      </w:tr>
      <w:tr w:rsidR="00721C98" w14:paraId="389E0263" w14:textId="77777777">
        <w:tc>
          <w:tcPr>
            <w:tcW w:w="0" w:type="auto"/>
          </w:tcPr>
          <w:p w14:paraId="26CD7209" w14:textId="77777777" w:rsidR="00721C98" w:rsidRDefault="00AE7B71">
            <w:pPr>
              <w:pStyle w:val="CellTextValue"/>
              <w:jc w:val="left"/>
            </w:pPr>
            <w:r>
              <w:rPr>
                <w:i/>
              </w:rPr>
              <w:t>Expected EU contribution per project</w:t>
            </w:r>
          </w:p>
        </w:tc>
        <w:tc>
          <w:tcPr>
            <w:tcW w:w="0" w:type="auto"/>
          </w:tcPr>
          <w:p w14:paraId="329C7E17" w14:textId="77777777" w:rsidR="00721C98" w:rsidRDefault="00AE7B71">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721C98" w14:paraId="0ECA8BCC" w14:textId="77777777">
        <w:tc>
          <w:tcPr>
            <w:tcW w:w="0" w:type="auto"/>
          </w:tcPr>
          <w:p w14:paraId="20CE5520" w14:textId="77777777" w:rsidR="00721C98" w:rsidRDefault="00AE7B71">
            <w:pPr>
              <w:pStyle w:val="CellTextValue"/>
              <w:jc w:val="left"/>
            </w:pPr>
            <w:r>
              <w:rPr>
                <w:i/>
              </w:rPr>
              <w:t>Indicative budget</w:t>
            </w:r>
          </w:p>
        </w:tc>
        <w:tc>
          <w:tcPr>
            <w:tcW w:w="0" w:type="auto"/>
          </w:tcPr>
          <w:p w14:paraId="26A47934" w14:textId="77777777" w:rsidR="00721C98" w:rsidRDefault="00AE7B71">
            <w:pPr>
              <w:pStyle w:val="CellTextValue"/>
            </w:pPr>
            <w:r>
              <w:t>The total indicative budget for the topic is EUR 6.00 million.</w:t>
            </w:r>
          </w:p>
        </w:tc>
      </w:tr>
      <w:tr w:rsidR="00721C98" w14:paraId="7BEB0E89" w14:textId="77777777">
        <w:tc>
          <w:tcPr>
            <w:tcW w:w="0" w:type="auto"/>
          </w:tcPr>
          <w:p w14:paraId="0B61C4AA" w14:textId="77777777" w:rsidR="00721C98" w:rsidRDefault="00AE7B71">
            <w:pPr>
              <w:pStyle w:val="CellTextValue"/>
              <w:jc w:val="left"/>
            </w:pPr>
            <w:r>
              <w:rPr>
                <w:i/>
              </w:rPr>
              <w:t>Type of Action</w:t>
            </w:r>
          </w:p>
        </w:tc>
        <w:tc>
          <w:tcPr>
            <w:tcW w:w="0" w:type="auto"/>
          </w:tcPr>
          <w:p w14:paraId="40C26009" w14:textId="77777777" w:rsidR="00721C98" w:rsidRDefault="00AE7B71">
            <w:pPr>
              <w:pStyle w:val="CellTextValue"/>
            </w:pPr>
            <w:r>
              <w:rPr>
                <w:color w:val="000000"/>
              </w:rPr>
              <w:t>Coordination and Support Actions</w:t>
            </w:r>
          </w:p>
        </w:tc>
      </w:tr>
      <w:tr w:rsidR="00721C98" w14:paraId="13FB94D7" w14:textId="77777777">
        <w:tc>
          <w:tcPr>
            <w:tcW w:w="0" w:type="auto"/>
          </w:tcPr>
          <w:p w14:paraId="039992BD" w14:textId="77777777" w:rsidR="00721C98" w:rsidRDefault="00AE7B71">
            <w:pPr>
              <w:pStyle w:val="CellTextValue"/>
              <w:jc w:val="left"/>
            </w:pPr>
            <w:r>
              <w:rPr>
                <w:i/>
              </w:rPr>
              <w:t>Eligibility conditions</w:t>
            </w:r>
          </w:p>
        </w:tc>
        <w:tc>
          <w:tcPr>
            <w:tcW w:w="0" w:type="auto"/>
          </w:tcPr>
          <w:p w14:paraId="359EFE9B" w14:textId="77777777" w:rsidR="00721C98" w:rsidRDefault="00AE7B71">
            <w:pPr>
              <w:pStyle w:val="CellTextValue"/>
            </w:pPr>
            <w:r>
              <w:rPr>
                <w:color w:val="000000"/>
              </w:rPr>
              <w:t>The conditions are described in General Annex B. The following exceptions apply:</w:t>
            </w:r>
          </w:p>
          <w:p w14:paraId="2F9A3EA6" w14:textId="77777777" w:rsidR="00721C98" w:rsidRDefault="00AE7B71">
            <w:pPr>
              <w:pStyle w:val="CellTextValue"/>
            </w:pPr>
            <w:r>
              <w:rPr>
                <w:color w:val="000000"/>
              </w:rPr>
              <w:t>The participating city that the proposal designates as host for EUCYS 2029 must provide as part of the proposal the commitment from its respective National EUCYS Organiser to run the 2029 competition as part of the project (EUCYS National Organiser must either participate as a beneficiary or associated partner, or provide a commitment letter).</w:t>
            </w:r>
          </w:p>
          <w:p w14:paraId="4B6244F0" w14:textId="77777777" w:rsidR="00721C98" w:rsidRDefault="00AE7B71">
            <w:pPr>
              <w:pStyle w:val="CellTextValue"/>
            </w:pPr>
            <w:r>
              <w:rPr>
                <w:color w:val="000000"/>
              </w:rPr>
              <w:lastRenderedPageBreak/>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70F5459D" w14:textId="77777777">
        <w:tc>
          <w:tcPr>
            <w:tcW w:w="0" w:type="auto"/>
          </w:tcPr>
          <w:p w14:paraId="3589B3EE" w14:textId="77777777" w:rsidR="00721C98" w:rsidRDefault="00AE7B71">
            <w:pPr>
              <w:pStyle w:val="CellTextValue"/>
              <w:jc w:val="left"/>
            </w:pPr>
            <w:r>
              <w:rPr>
                <w:i/>
              </w:rPr>
              <w:lastRenderedPageBreak/>
              <w:t>Legal and financial set-up of the Grant Agreements</w:t>
            </w:r>
          </w:p>
        </w:tc>
        <w:tc>
          <w:tcPr>
            <w:tcW w:w="0" w:type="auto"/>
          </w:tcPr>
          <w:p w14:paraId="7EC8714C" w14:textId="77777777" w:rsidR="00721C98" w:rsidRDefault="00AE7B71">
            <w:pPr>
              <w:pStyle w:val="CellTextValue"/>
            </w:pPr>
            <w:r>
              <w:rPr>
                <w:color w:val="000000"/>
              </w:rPr>
              <w:t>The rules are described in General Annex G. The following exceptions apply:</w:t>
            </w:r>
          </w:p>
          <w:p w14:paraId="6AAF6785" w14:textId="77777777" w:rsidR="00721C98" w:rsidRDefault="00AE7B71">
            <w:pPr>
              <w:pStyle w:val="CellTextValue"/>
            </w:pPr>
            <w:r>
              <w:rPr>
                <w:color w:val="000000"/>
              </w:rPr>
              <w:t>Subcontracting is not restricted to a limited part of the action.</w:t>
            </w:r>
          </w:p>
          <w:p w14:paraId="66233D58" w14:textId="77777777" w:rsidR="00721C98" w:rsidRDefault="00AE7B71">
            <w:pPr>
              <w:pStyle w:val="CellTextValue"/>
            </w:pPr>
            <w:r>
              <w:rPr>
                <w:color w:val="000000"/>
              </w:rPr>
              <w:t>Beneficiaries may provide financial support to third parties. The financial support to third parties can only be provided in the form of prizes. The maximum amount to be granted to each third party is EUR 60 000.</w:t>
            </w:r>
          </w:p>
        </w:tc>
      </w:tr>
    </w:tbl>
    <w:p w14:paraId="0C7C806A" w14:textId="77777777" w:rsidR="00721C98" w:rsidRDefault="00721C98">
      <w:pPr>
        <w:spacing w:after="0" w:line="150" w:lineRule="auto"/>
      </w:pPr>
    </w:p>
    <w:p w14:paraId="1F571709" w14:textId="77777777" w:rsidR="00721C98" w:rsidRDefault="00AE7B71">
      <w:r>
        <w:rPr>
          <w:u w:val="single"/>
        </w:rPr>
        <w:t>Expected Outcome</w:t>
      </w:r>
      <w:r>
        <w:t xml:space="preserve">: </w:t>
      </w:r>
      <w:r>
        <w:rPr>
          <w:color w:val="000000"/>
        </w:rPr>
        <w:t>The successful proposal will deliver on the impact “Increased alignment of research with society’s needs, expectations and values”. Project results are expected to contribute to all of the following expected outcomes:</w:t>
      </w:r>
    </w:p>
    <w:p w14:paraId="6B1B7468" w14:textId="77777777" w:rsidR="00721C98" w:rsidRDefault="00AE7B71" w:rsidP="00AE7B71">
      <w:pPr>
        <w:pStyle w:val="ListParagraph"/>
        <w:numPr>
          <w:ilvl w:val="0"/>
          <w:numId w:val="79"/>
        </w:numPr>
      </w:pPr>
      <w:r>
        <w:rPr>
          <w:color w:val="000000"/>
        </w:rPr>
        <w:t>Strengthened capacity, networks and involvement of the participating cities in science communication and citizen engagement in science;</w:t>
      </w:r>
    </w:p>
    <w:p w14:paraId="174DA635" w14:textId="77777777" w:rsidR="00721C98" w:rsidRDefault="00AE7B71" w:rsidP="00AE7B71">
      <w:pPr>
        <w:pStyle w:val="ListParagraph"/>
        <w:numPr>
          <w:ilvl w:val="0"/>
          <w:numId w:val="79"/>
        </w:numPr>
      </w:pPr>
      <w:r>
        <w:rPr>
          <w:color w:val="000000"/>
        </w:rPr>
        <w:t>More informed, evidence-based policymaking and increased public engagement through inclusive and participatory discussions and debates on science and R&amp;I policy;</w:t>
      </w:r>
    </w:p>
    <w:p w14:paraId="18EDEC70" w14:textId="77777777" w:rsidR="00721C98" w:rsidRDefault="00AE7B71" w:rsidP="00AE7B71">
      <w:pPr>
        <w:pStyle w:val="ListParagraph"/>
        <w:numPr>
          <w:ilvl w:val="0"/>
          <w:numId w:val="79"/>
        </w:numPr>
      </w:pPr>
      <w:r>
        <w:rPr>
          <w:color w:val="000000"/>
        </w:rPr>
        <w:t>Improved attractiveness of diverse careers in R&amp;I for younger generations.</w:t>
      </w:r>
    </w:p>
    <w:p w14:paraId="7A944C77" w14:textId="77777777" w:rsidR="00721C98" w:rsidRDefault="00AE7B71">
      <w:r>
        <w:rPr>
          <w:u w:val="single"/>
        </w:rPr>
        <w:t>Scope</w:t>
      </w:r>
      <w:r>
        <w:t xml:space="preserve">: </w:t>
      </w:r>
      <w:r>
        <w:rPr>
          <w:color w:val="000000"/>
        </w:rPr>
        <w:t>This topic supports a small group of cities in organising and hosting a joint 1-year programme “Science comes to town 2029”. The programme should have a robust concept and brand focusing on connecting citizens and science while involving all relevant stakeholders (e.g., researchers, research funders, policymakers, publishers, citizens, civil society organisations, and business community).</w:t>
      </w:r>
    </w:p>
    <w:p w14:paraId="264671E2" w14:textId="77777777" w:rsidR="00721C98" w:rsidRDefault="00AE7B71">
      <w:r>
        <w:rPr>
          <w:color w:val="000000"/>
        </w:rPr>
        <w:t>Various events and activities should be organised, highlighting the latest R&amp;I developments and their contribution to society (including projects supported by national/regional/EU funds). Applicants should experiment with novel formats that are inclusive and participatory and engage diverse age and social groups at local, regional, and European levels. In project activities, particular attention should be paid to promoting inclusive gender equality and addressing gender-specific challenges. Special emphasis</w:t>
      </w:r>
      <w:r>
        <w:rPr>
          <w:color w:val="000000"/>
        </w:rPr>
        <w:t xml:space="preserve"> should be placed on exploring and supporting citizen science to promote both science education and multiple forms of public engagement with science.</w:t>
      </w:r>
    </w:p>
    <w:p w14:paraId="778BC04B" w14:textId="77777777" w:rsidR="00721C98" w:rsidRDefault="00AE7B71">
      <w:r>
        <w:rPr>
          <w:color w:val="000000"/>
        </w:rPr>
        <w:t>In addition, the programme of activities should include the following two components:</w:t>
      </w:r>
    </w:p>
    <w:p w14:paraId="475CEB3E" w14:textId="77777777" w:rsidR="00721C98" w:rsidRDefault="00AE7B71" w:rsidP="00AE7B71">
      <w:pPr>
        <w:pStyle w:val="ListParagraph"/>
        <w:numPr>
          <w:ilvl w:val="0"/>
          <w:numId w:val="80"/>
        </w:numPr>
      </w:pPr>
      <w:r>
        <w:rPr>
          <w:color w:val="000000"/>
        </w:rPr>
        <w:t>EUCYS (European Union Contest for Young Scientists): science competition, awarding prizes and awards, for 14- to 20-year-olds who are first prize winners of national science contests for school science projects.</w:t>
      </w:r>
    </w:p>
    <w:p w14:paraId="52B975E0" w14:textId="77777777" w:rsidR="00721C98" w:rsidRDefault="00AE7B71" w:rsidP="00AE7B71">
      <w:pPr>
        <w:pStyle w:val="ListParagraph"/>
        <w:numPr>
          <w:ilvl w:val="0"/>
          <w:numId w:val="80"/>
        </w:numPr>
      </w:pPr>
      <w:r>
        <w:rPr>
          <w:color w:val="000000"/>
        </w:rPr>
        <w:lastRenderedPageBreak/>
        <w:t>EU TalentOn (European Union Contest for Early Career Researchers): science competition, awarding prizes and awards, bringing together at least 100 early-career researchers, 21-35 of age, to work on scientific solutions to societal challenges.</w:t>
      </w:r>
    </w:p>
    <w:p w14:paraId="2FEBEFBD" w14:textId="77777777" w:rsidR="00721C98" w:rsidRDefault="00AE7B71">
      <w:r>
        <w:rPr>
          <w:color w:val="000000"/>
        </w:rPr>
        <w:t>The 2029 editions of EUCYS and EU TalentOn will take place in the third quarter of 2029, customarily in September</w:t>
      </w:r>
      <w:r>
        <w:rPr>
          <w:vertAlign w:val="superscript"/>
        </w:rPr>
        <w:footnoteReference w:id="103"/>
      </w:r>
      <w:r>
        <w:rPr>
          <w:color w:val="000000"/>
        </w:rPr>
        <w:t>.</w:t>
      </w:r>
    </w:p>
    <w:p w14:paraId="0958E594" w14:textId="77777777" w:rsidR="00721C98" w:rsidRDefault="00AE7B71">
      <w:r>
        <w:rPr>
          <w:color w:val="000000"/>
        </w:rPr>
        <w:t>Applicants are encouraged to establish synergies with the European Researchers’ Night and the Researchers at School initiative, funded by Marie Skłodowska-Curie Actions</w:t>
      </w:r>
      <w:r>
        <w:rPr>
          <w:vertAlign w:val="superscript"/>
        </w:rPr>
        <w:footnoteReference w:id="104"/>
      </w:r>
      <w:r>
        <w:rPr>
          <w:color w:val="000000"/>
        </w:rPr>
        <w:t>. Programmed activities should create a link with the preceding</w:t>
      </w:r>
      <w:r>
        <w:rPr>
          <w:vertAlign w:val="superscript"/>
        </w:rPr>
        <w:footnoteReference w:id="105"/>
      </w:r>
      <w:r>
        <w:rPr>
          <w:color w:val="000000"/>
        </w:rPr>
        <w:t xml:space="preserve"> and subsequent edition of “Science comes to town”, fostering cohesion and growth of the initiative.</w:t>
      </w:r>
    </w:p>
    <w:p w14:paraId="326C0FEB" w14:textId="77777777" w:rsidR="00721C98" w:rsidRDefault="00AE7B71">
      <w:r>
        <w:rPr>
          <w:color w:val="000000"/>
        </w:rPr>
        <w:t>The programme should take place in a minimum of 3 and maximum of 6 cities located in at least 3 different Members States and/or Associated Countries, with the majority located in Member States. The consortium can include organisations that can represent the host cities and/or join them in designing and implementing the project activities. Local partners that provide a connection to R&amp;I should be included.</w:t>
      </w:r>
    </w:p>
    <w:p w14:paraId="76AB8A34" w14:textId="77777777" w:rsidR="00721C98" w:rsidRDefault="00AE7B71">
      <w:r>
        <w:rPr>
          <w:color w:val="000000"/>
        </w:rPr>
        <w:t>Applicants should provide commitment letters from the public authorities of each participating city, signed by the highest authorities (such as the mayor or equivalent city governance representative), demonstrating strong commitment for the activities included in the proposal. The proposal should clearly explain how the city will contribute to the initiative and outline its specific roles, resources, and support.</w:t>
      </w:r>
    </w:p>
    <w:p w14:paraId="2DE1D2F2" w14:textId="77777777" w:rsidR="00721C98" w:rsidRDefault="00AE7B71">
      <w:r>
        <w:rPr>
          <w:color w:val="000000"/>
        </w:rPr>
        <w:t>Proposals should demonstrate the consortium’s ability to mobilise substantial resources beyond the Union contribution, including monetary or in-kind sponsorships, to support and expand the planned activities. Applicants may choose to further increase the impact and added value by incorporating additional events and activities, financed by other resources, by engaging ‘satellite’ cities to reach more communities. The consortium will report on the implementation of the planned activities and events not covere</w:t>
      </w:r>
      <w:r>
        <w:rPr>
          <w:color w:val="000000"/>
        </w:rPr>
        <w:t>d by the grant but will not report or declare the related costs, in order to limit administrative effort.</w:t>
      </w:r>
    </w:p>
    <w:p w14:paraId="4B6650AD" w14:textId="77777777" w:rsidR="00721C98" w:rsidRDefault="00AE7B71">
      <w:r>
        <w:rPr>
          <w:color w:val="000000"/>
        </w:rPr>
        <w:t>Proposals should include the overall concept for the programmed activities, detailing the focus and scope of activities, the outreach strategy, and the contribution to the long-term vision for the cities, while specifying clearly:</w:t>
      </w:r>
    </w:p>
    <w:p w14:paraId="2F31D09E" w14:textId="77777777" w:rsidR="00721C98" w:rsidRDefault="00AE7B71">
      <w:r>
        <w:rPr>
          <w:color w:val="000000"/>
        </w:rPr>
        <w:t>a) events (including EUCYS and EU TalentOn) and activities (e.g., overall coordination and communication activities) that will be funded partially or fully by the Union contribution;</w:t>
      </w:r>
    </w:p>
    <w:p w14:paraId="251D1A16" w14:textId="77777777" w:rsidR="00721C98" w:rsidRDefault="00AE7B71">
      <w:r>
        <w:rPr>
          <w:color w:val="000000"/>
        </w:rPr>
        <w:t>b) activities and events that will be financed by the participating cities, ‘satellite’ cities, sponsorship and other resources (i.e., activities not funded by the Union contribution).</w:t>
      </w:r>
    </w:p>
    <w:p w14:paraId="687E8BEA" w14:textId="77777777" w:rsidR="00721C98" w:rsidRDefault="00AE7B71">
      <w:r>
        <w:rPr>
          <w:color w:val="000000"/>
        </w:rPr>
        <w:lastRenderedPageBreak/>
        <w:t>Proposals should present a breakdown of all additional resources. Annexes should be used only for commitment letters, not for extra budget related details.</w:t>
      </w:r>
    </w:p>
    <w:p w14:paraId="59CA8C9D" w14:textId="77777777" w:rsidR="00721C98" w:rsidRDefault="00AE7B71">
      <w:r>
        <w:rPr>
          <w:color w:val="000000"/>
        </w:rPr>
        <w:t>The consortium will submit a detailed draft programme of activities for approval by the granting authority, no later than three months prior to the official programme launch.</w:t>
      </w:r>
    </w:p>
    <w:p w14:paraId="4A813F7F" w14:textId="77777777" w:rsidR="00721C98" w:rsidRDefault="00AE7B71">
      <w:r>
        <w:rPr>
          <w:color w:val="000000"/>
        </w:rPr>
        <w:t>The financial support to third parties can only be provided in the form of prizes to the total amount of €70 000 for EUCYS and €100 000 for EU TalentOn.</w:t>
      </w:r>
    </w:p>
    <w:p w14:paraId="5B6DCA85" w14:textId="77777777" w:rsidR="00721C98" w:rsidRDefault="00AE7B71">
      <w:r>
        <w:rPr>
          <w:color w:val="000000"/>
        </w:rPr>
        <w:t>The expected duration of the project is between 24 and 30 months.</w:t>
      </w:r>
    </w:p>
    <w:p w14:paraId="1DFF32ED" w14:textId="77777777" w:rsidR="00721C98" w:rsidRDefault="00AE7B71">
      <w:pPr>
        <w:pStyle w:val="HeadingThree"/>
      </w:pPr>
      <w:r>
        <w:t>HORIZON-WIDERA-2027-05-ERA-04: Pillar III: Promoting public engagement in R&amp;I and scientific literacy</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65F0F61A" w14:textId="77777777" w:rsidTr="00DB4111">
        <w:tc>
          <w:tcPr>
            <w:tcW w:w="0" w:type="auto"/>
            <w:gridSpan w:val="2"/>
          </w:tcPr>
          <w:p w14:paraId="62516312" w14:textId="77777777" w:rsidR="00721C98" w:rsidRDefault="00AE7B71">
            <w:pPr>
              <w:pStyle w:val="CellTextValue"/>
            </w:pPr>
            <w:r>
              <w:rPr>
                <w:b/>
              </w:rPr>
              <w:t>Call: Enhancing the European R&amp;I system</w:t>
            </w:r>
          </w:p>
        </w:tc>
      </w:tr>
      <w:tr w:rsidR="00DB4111" w14:paraId="73427838" w14:textId="77777777" w:rsidTr="00DB4111">
        <w:tc>
          <w:tcPr>
            <w:tcW w:w="0" w:type="auto"/>
            <w:gridSpan w:val="2"/>
          </w:tcPr>
          <w:p w14:paraId="681E3F86" w14:textId="77777777" w:rsidR="00721C98" w:rsidRDefault="00AE7B71">
            <w:pPr>
              <w:pStyle w:val="CellTextValue"/>
            </w:pPr>
            <w:r>
              <w:rPr>
                <w:b/>
              </w:rPr>
              <w:t>Specific conditions</w:t>
            </w:r>
          </w:p>
        </w:tc>
      </w:tr>
      <w:tr w:rsidR="00721C98" w14:paraId="6A79D17B" w14:textId="77777777">
        <w:tc>
          <w:tcPr>
            <w:tcW w:w="0" w:type="auto"/>
          </w:tcPr>
          <w:p w14:paraId="580B02D7" w14:textId="77777777" w:rsidR="00721C98" w:rsidRDefault="00AE7B71">
            <w:pPr>
              <w:pStyle w:val="CellTextValue"/>
              <w:jc w:val="left"/>
            </w:pPr>
            <w:r>
              <w:rPr>
                <w:i/>
              </w:rPr>
              <w:t>Expected EU contribution per project</w:t>
            </w:r>
          </w:p>
        </w:tc>
        <w:tc>
          <w:tcPr>
            <w:tcW w:w="0" w:type="auto"/>
          </w:tcPr>
          <w:p w14:paraId="3978CDBE" w14:textId="77777777" w:rsidR="00721C98" w:rsidRDefault="00AE7B71">
            <w:pPr>
              <w:pStyle w:val="CellTextValue"/>
            </w:pPr>
            <w:r>
              <w:t>The Commission estimates that an EU contribution of around EUR 1.00 million would allow these outcomes to be addressed appropriately. Nonetheless, this does not preclude submission and selection of a proposal requesting different amounts.</w:t>
            </w:r>
          </w:p>
        </w:tc>
      </w:tr>
      <w:tr w:rsidR="00721C98" w14:paraId="6C555E1F" w14:textId="77777777">
        <w:tc>
          <w:tcPr>
            <w:tcW w:w="0" w:type="auto"/>
          </w:tcPr>
          <w:p w14:paraId="5E664542" w14:textId="77777777" w:rsidR="00721C98" w:rsidRDefault="00AE7B71">
            <w:pPr>
              <w:pStyle w:val="CellTextValue"/>
              <w:jc w:val="left"/>
            </w:pPr>
            <w:r>
              <w:rPr>
                <w:i/>
              </w:rPr>
              <w:t>Indicative budget</w:t>
            </w:r>
          </w:p>
        </w:tc>
        <w:tc>
          <w:tcPr>
            <w:tcW w:w="0" w:type="auto"/>
          </w:tcPr>
          <w:p w14:paraId="147BCC32" w14:textId="77777777" w:rsidR="00721C98" w:rsidRDefault="00AE7B71">
            <w:pPr>
              <w:pStyle w:val="CellTextValue"/>
            </w:pPr>
            <w:r>
              <w:t>The total indicative budget for the topic is EUR 2.00 million.</w:t>
            </w:r>
          </w:p>
        </w:tc>
      </w:tr>
      <w:tr w:rsidR="00721C98" w14:paraId="1C468C28" w14:textId="77777777">
        <w:tc>
          <w:tcPr>
            <w:tcW w:w="0" w:type="auto"/>
          </w:tcPr>
          <w:p w14:paraId="2208C1CD" w14:textId="77777777" w:rsidR="00721C98" w:rsidRDefault="00AE7B71">
            <w:pPr>
              <w:pStyle w:val="CellTextValue"/>
              <w:jc w:val="left"/>
            </w:pPr>
            <w:r>
              <w:rPr>
                <w:i/>
              </w:rPr>
              <w:t>Type of Action</w:t>
            </w:r>
          </w:p>
        </w:tc>
        <w:tc>
          <w:tcPr>
            <w:tcW w:w="0" w:type="auto"/>
          </w:tcPr>
          <w:p w14:paraId="44FF96BC" w14:textId="77777777" w:rsidR="00721C98" w:rsidRDefault="00AE7B71">
            <w:pPr>
              <w:pStyle w:val="CellTextValue"/>
            </w:pPr>
            <w:r>
              <w:rPr>
                <w:color w:val="000000"/>
              </w:rPr>
              <w:t>Coordination and Support Actions</w:t>
            </w:r>
          </w:p>
        </w:tc>
      </w:tr>
      <w:tr w:rsidR="00721C98" w14:paraId="382A48D5" w14:textId="77777777">
        <w:tc>
          <w:tcPr>
            <w:tcW w:w="0" w:type="auto"/>
          </w:tcPr>
          <w:p w14:paraId="597B968C" w14:textId="77777777" w:rsidR="00721C98" w:rsidRDefault="00AE7B71">
            <w:pPr>
              <w:pStyle w:val="CellTextValue"/>
              <w:jc w:val="left"/>
            </w:pPr>
            <w:r>
              <w:rPr>
                <w:i/>
              </w:rPr>
              <w:t>Eligibility conditions</w:t>
            </w:r>
          </w:p>
        </w:tc>
        <w:tc>
          <w:tcPr>
            <w:tcW w:w="0" w:type="auto"/>
          </w:tcPr>
          <w:p w14:paraId="754B65A7" w14:textId="77777777" w:rsidR="00721C98" w:rsidRDefault="00AE7B71">
            <w:pPr>
              <w:pStyle w:val="CellTextValue"/>
            </w:pPr>
            <w:r>
              <w:rPr>
                <w:color w:val="000000"/>
              </w:rPr>
              <w:t>The conditions are described in General Annex B. The following exceptions apply:</w:t>
            </w:r>
          </w:p>
          <w:p w14:paraId="6887ADFA" w14:textId="77777777" w:rsidR="00721C98" w:rsidRDefault="00AE7B71">
            <w:pPr>
              <w:pStyle w:val="CellTextValue"/>
            </w:pPr>
            <w:r>
              <w:rPr>
                <w:color w:val="000000"/>
              </w:rPr>
              <w:t>Applications must be submitted by a consortium including participation, as beneficiaries, of at least three independent legal entities: Each established in a different Member State or Associated Country; and two of which are established in a Member State.</w:t>
            </w:r>
          </w:p>
        </w:tc>
      </w:tr>
      <w:tr w:rsidR="00721C98" w14:paraId="18814A2D" w14:textId="77777777">
        <w:tc>
          <w:tcPr>
            <w:tcW w:w="0" w:type="auto"/>
          </w:tcPr>
          <w:p w14:paraId="4938D444" w14:textId="77777777" w:rsidR="00721C98" w:rsidRDefault="00AE7B71">
            <w:pPr>
              <w:pStyle w:val="CellTextValue"/>
              <w:jc w:val="left"/>
            </w:pPr>
            <w:r>
              <w:rPr>
                <w:i/>
              </w:rPr>
              <w:t>Procedure</w:t>
            </w:r>
          </w:p>
        </w:tc>
        <w:tc>
          <w:tcPr>
            <w:tcW w:w="0" w:type="auto"/>
          </w:tcPr>
          <w:p w14:paraId="24341A15" w14:textId="77777777" w:rsidR="00721C98" w:rsidRDefault="00AE7B71">
            <w:pPr>
              <w:pStyle w:val="CellTextValue"/>
            </w:pPr>
            <w:r>
              <w:rPr>
                <w:color w:val="000000"/>
              </w:rPr>
              <w:t>The procedure is described in General Annex F. The following exceptions apply:</w:t>
            </w:r>
          </w:p>
          <w:p w14:paraId="7DD96840" w14:textId="77777777" w:rsidR="00721C98" w:rsidRDefault="00AE7B71">
            <w:pPr>
              <w:pStyle w:val="CellTextValue"/>
            </w:pPr>
            <w:r>
              <w:rPr>
                <w:color w:val="000000"/>
              </w:rPr>
              <w:t>To ensure a balanced portfolio covering different ERA policy areas, as outlined in the expected outcomes and scope, grants will be awarded to proposals not only in order of ranking, but at least also to proposals that are the highest ranked within each area, provided that proposals pass all thresholds.</w:t>
            </w:r>
          </w:p>
        </w:tc>
      </w:tr>
      <w:tr w:rsidR="00721C98" w14:paraId="60B84BCF" w14:textId="77777777">
        <w:tc>
          <w:tcPr>
            <w:tcW w:w="0" w:type="auto"/>
          </w:tcPr>
          <w:p w14:paraId="33075B9E" w14:textId="77777777" w:rsidR="00721C98" w:rsidRDefault="00AE7B71">
            <w:pPr>
              <w:pStyle w:val="CellTextValue"/>
              <w:jc w:val="left"/>
            </w:pPr>
            <w:r>
              <w:rPr>
                <w:i/>
              </w:rPr>
              <w:t>Legal and financial set-up of the Grant Agreements</w:t>
            </w:r>
          </w:p>
        </w:tc>
        <w:tc>
          <w:tcPr>
            <w:tcW w:w="0" w:type="auto"/>
          </w:tcPr>
          <w:p w14:paraId="3C5289E0" w14:textId="77777777" w:rsidR="00721C98" w:rsidRDefault="00AE7B71">
            <w:pPr>
              <w:pStyle w:val="CellTextValue"/>
            </w:pPr>
            <w:r>
              <w:rPr>
                <w:color w:val="000000"/>
              </w:rPr>
              <w:t>The rules are described in General Annex G. The following exceptions apply:</w:t>
            </w:r>
          </w:p>
          <w:p w14:paraId="4580292C"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w:t>
            </w:r>
            <w:r>
              <w:rPr>
                <w:color w:val="000000"/>
              </w:rPr>
              <w:lastRenderedPageBreak/>
              <w:t xml:space="preserve">Research and Innovation (2021-2027) – and in actions under the Research and Training Programme of the European Atomic Energy Community (2021-2025) </w:t>
            </w:r>
            <w:r>
              <w:rPr>
                <w:vertAlign w:val="superscript"/>
              </w:rPr>
              <w:footnoteReference w:id="106"/>
            </w:r>
            <w:r>
              <w:rPr>
                <w:color w:val="000000"/>
              </w:rPr>
              <w:t>.</w:t>
            </w:r>
          </w:p>
        </w:tc>
      </w:tr>
    </w:tbl>
    <w:p w14:paraId="19412156" w14:textId="77777777" w:rsidR="00721C98" w:rsidRDefault="00721C98">
      <w:pPr>
        <w:spacing w:after="0" w:line="150" w:lineRule="auto"/>
      </w:pPr>
    </w:p>
    <w:p w14:paraId="72A8B19D" w14:textId="77777777" w:rsidR="00721C98" w:rsidRDefault="00AE7B71">
      <w:r>
        <w:rPr>
          <w:u w:val="single"/>
        </w:rPr>
        <w:t>Scope</w:t>
      </w:r>
      <w:r>
        <w:t xml:space="preserve">: </w:t>
      </w:r>
      <w:r>
        <w:rPr>
          <w:color w:val="000000"/>
        </w:rPr>
        <w:t>This topic aims to promote the adoption of ERA policies and practices delivering innovative approaches for enhancing science-society links and promoting scientific literacy. Proposals should contribute to the impact “Increasing trust in science and alignment of R&amp;I with society’s needs, expectations and values”, thereby enhancing the democratic character and impact of science in the ERA.</w:t>
      </w:r>
    </w:p>
    <w:p w14:paraId="4CB2B7EA" w14:textId="77777777" w:rsidR="00721C98" w:rsidRDefault="00AE7B71">
      <w:r>
        <w:rPr>
          <w:color w:val="000000"/>
        </w:rPr>
        <w:t xml:space="preserve">Applicants should select and clearly identify </w:t>
      </w:r>
      <w:r>
        <w:rPr>
          <w:color w:val="000000"/>
          <w:u w:val="single"/>
        </w:rPr>
        <w:t>one</w:t>
      </w:r>
      <w:r>
        <w:rPr>
          <w:color w:val="000000"/>
        </w:rPr>
        <w:t xml:space="preserve"> area being addressed, choosing from the two areas outlined below. Both areas are designed to contribute towards the implementation of the ERA Structural Policy “Enhancing Trust in Science through Citizen Participation, Engagement and Science Communication”. Proposals should develop the activities outlined for the selected area and propose additional activities that contribute to achieving the expected outcomes.</w:t>
      </w:r>
    </w:p>
    <w:p w14:paraId="7F466ACA" w14:textId="77777777" w:rsidR="00721C98" w:rsidRDefault="00AE7B71">
      <w:r>
        <w:rPr>
          <w:color w:val="000000"/>
        </w:rPr>
        <w:t>Project activities should reach large communities of stakeholders ensuring a wide geographical coverage, inclusivity, broad participation, and accessibility over the course of the project. Including stakeholders outside academia may be considered, for example, through citizen science. Proposals should describe their target group in terms of its scope and size.</w:t>
      </w:r>
    </w:p>
    <w:p w14:paraId="4B7BBEF8" w14:textId="77777777" w:rsidR="00721C98" w:rsidRDefault="00AE7B71">
      <w:r>
        <w:rPr>
          <w:color w:val="000000"/>
        </w:rPr>
        <w:t>In project activities, particular attention should be paid to promoting inclusive gender equality and addressing gender-specific challenges where relevant.</w:t>
      </w:r>
    </w:p>
    <w:p w14:paraId="655A0609" w14:textId="77777777" w:rsidR="00721C98" w:rsidRDefault="00AE7B71">
      <w:r>
        <w:rPr>
          <w:color w:val="000000"/>
        </w:rPr>
        <w:t>Expected project duration is up to 3 years without prejudice to a longer duration if justified.</w:t>
      </w:r>
    </w:p>
    <w:p w14:paraId="49A66E39" w14:textId="77777777" w:rsidR="00721C98" w:rsidRDefault="00AE7B71">
      <w:r>
        <w:rPr>
          <w:b/>
          <w:color w:val="000000"/>
        </w:rPr>
        <w:t>Area 1: Youth, science and democracy</w:t>
      </w:r>
    </w:p>
    <w:p w14:paraId="10DF4A37" w14:textId="77777777" w:rsidR="00721C98" w:rsidRDefault="00AE7B71">
      <w:r>
        <w:rPr>
          <w:color w:val="000000"/>
          <w:u w:val="single"/>
        </w:rPr>
        <w:t>Expected outcome:</w:t>
      </w:r>
      <w:r>
        <w:rPr>
          <w:color w:val="000000"/>
        </w:rPr>
        <w:t xml:space="preserve"> Project results are expected to contribute to all of the following expected outcomes:</w:t>
      </w:r>
    </w:p>
    <w:p w14:paraId="612EDAB9" w14:textId="77777777" w:rsidR="00721C98" w:rsidRDefault="00AE7B71" w:rsidP="00AE7B71">
      <w:pPr>
        <w:pStyle w:val="ListParagraph"/>
        <w:numPr>
          <w:ilvl w:val="0"/>
          <w:numId w:val="81"/>
        </w:numPr>
      </w:pPr>
      <w:r>
        <w:rPr>
          <w:color w:val="000000"/>
        </w:rPr>
        <w:t>Innovative ways for engaging young people in science and promoting scientific literacy;</w:t>
      </w:r>
    </w:p>
    <w:p w14:paraId="5D89D4A1" w14:textId="77777777" w:rsidR="00721C98" w:rsidRDefault="00AE7B71" w:rsidP="00AE7B71">
      <w:pPr>
        <w:pStyle w:val="ListParagraph"/>
        <w:numPr>
          <w:ilvl w:val="0"/>
          <w:numId w:val="81"/>
        </w:numPr>
      </w:pPr>
      <w:r>
        <w:rPr>
          <w:color w:val="000000"/>
        </w:rPr>
        <w:t>Common ERA approaches in engaging and communicating with young people in relation to R&amp;I.</w:t>
      </w:r>
    </w:p>
    <w:p w14:paraId="0BAF1423" w14:textId="77777777" w:rsidR="00721C98" w:rsidRDefault="00AE7B71">
      <w:r>
        <w:rPr>
          <w:color w:val="000000"/>
          <w:u w:val="single"/>
        </w:rPr>
        <w:t>Scope:</w:t>
      </w:r>
      <w:r>
        <w:rPr>
          <w:color w:val="000000"/>
        </w:rPr>
        <w:t xml:space="preserve"> Society increasingly faces complex problems that require citizens to have the capacity to participate in processes incorporating scientific analysis with deliberation about societal goals. In particular, involving young people in participatory scientific activities aimed at tackling social challenges fosters their scientific skills and scientific literacy. At the same time, it allows them to develop their civic and democratic skills, as civic engagement and </w:t>
      </w:r>
      <w:r>
        <w:rPr>
          <w:color w:val="000000"/>
        </w:rPr>
        <w:lastRenderedPageBreak/>
        <w:t>scientific practice share characteristics like understanding systems, considering alternative explanations, and debating critically within a community.</w:t>
      </w:r>
    </w:p>
    <w:p w14:paraId="56A4288D" w14:textId="77777777" w:rsidR="00721C98" w:rsidRDefault="00AE7B71">
      <w:r>
        <w:rPr>
          <w:color w:val="000000"/>
        </w:rPr>
        <w:t>Area 1 promotes innovative ways to effectively and inclusively engage and involve young people in R&amp;I. Additionally, it invites public engagement and science communication practitioners to build on best practices in the field and develop handbooks and guidelines, co-creating with relevant stakeholders, considering also previous EU-funded activities</w:t>
      </w:r>
      <w:r>
        <w:rPr>
          <w:vertAlign w:val="superscript"/>
        </w:rPr>
        <w:footnoteReference w:id="107"/>
      </w:r>
      <w:r>
        <w:rPr>
          <w:color w:val="000000"/>
        </w:rPr>
        <w:t>.</w:t>
      </w:r>
    </w:p>
    <w:p w14:paraId="72B49F02" w14:textId="77777777" w:rsidR="00721C98" w:rsidRDefault="00AE7B71">
      <w:r>
        <w:rPr>
          <w:color w:val="000000"/>
        </w:rPr>
        <w:t>Project activities should target actors such as research performing organisations, universities, researchers and innovators, civil society organisations working with youth, science communicators, and policymakers. To achieve the expected outcomes, proposals should address the activities outlined below and propose any additional, complementary activities:</w:t>
      </w:r>
    </w:p>
    <w:p w14:paraId="1644FE40" w14:textId="77777777" w:rsidR="00721C98" w:rsidRDefault="00AE7B71" w:rsidP="00AE7B71">
      <w:pPr>
        <w:pStyle w:val="ListParagraph"/>
        <w:numPr>
          <w:ilvl w:val="0"/>
          <w:numId w:val="82"/>
        </w:numPr>
      </w:pPr>
      <w:r>
        <w:rPr>
          <w:color w:val="000000"/>
        </w:rPr>
        <w:t>Engage young people, in different national settings, in participatory science activities that tackle complex social issues (e.g., climate change, biodiversity loss, digital skills inequalities, economic effects of AI transitions, energy poverty, social inclusion), ensuring the inclusion of those not habitually involved in science;</w:t>
      </w:r>
    </w:p>
    <w:p w14:paraId="6FDA8DBA" w14:textId="77777777" w:rsidR="00721C98" w:rsidRDefault="00AE7B71" w:rsidP="00AE7B71">
      <w:pPr>
        <w:pStyle w:val="ListParagraph"/>
        <w:numPr>
          <w:ilvl w:val="0"/>
          <w:numId w:val="82"/>
        </w:numPr>
      </w:pPr>
      <w:r>
        <w:rPr>
          <w:color w:val="000000"/>
        </w:rPr>
        <w:t>Create communities of practice that include public engagement experts, science communicators, citizen scientists, youth organisations, researchers and innovators, and policymakers with a view to co-developing handbooks and guidelines on engaging youth in science;</w:t>
      </w:r>
    </w:p>
    <w:p w14:paraId="2E7C066B" w14:textId="77777777" w:rsidR="00721C98" w:rsidRDefault="00AE7B71" w:rsidP="00AE7B71">
      <w:pPr>
        <w:pStyle w:val="ListParagraph"/>
        <w:numPr>
          <w:ilvl w:val="0"/>
          <w:numId w:val="82"/>
        </w:numPr>
      </w:pPr>
      <w:r>
        <w:rPr>
          <w:color w:val="000000"/>
        </w:rPr>
        <w:t>Provide recommendations for developing common ERA approaches to engage and communicate with young people regarding R&amp;I.</w:t>
      </w:r>
    </w:p>
    <w:p w14:paraId="670EF56F" w14:textId="77777777" w:rsidR="00721C98" w:rsidRDefault="00AE7B71">
      <w:r>
        <w:rPr>
          <w:b/>
          <w:color w:val="000000"/>
        </w:rPr>
        <w:t>Area 2: Scaling up science engagement at EU level</w:t>
      </w:r>
    </w:p>
    <w:p w14:paraId="43EA96DD" w14:textId="77777777" w:rsidR="00721C98" w:rsidRDefault="00AE7B71">
      <w:r>
        <w:rPr>
          <w:color w:val="000000"/>
          <w:u w:val="single"/>
        </w:rPr>
        <w:t>Expected outcome:</w:t>
      </w:r>
      <w:r>
        <w:rPr>
          <w:color w:val="000000"/>
        </w:rPr>
        <w:t xml:space="preserve"> Project results are expected to contribute to all of the following outcomes:</w:t>
      </w:r>
    </w:p>
    <w:p w14:paraId="19AA7993" w14:textId="77777777" w:rsidR="00721C98" w:rsidRDefault="00AE7B71" w:rsidP="00AE7B71">
      <w:pPr>
        <w:pStyle w:val="ListParagraph"/>
        <w:numPr>
          <w:ilvl w:val="0"/>
          <w:numId w:val="83"/>
        </w:numPr>
      </w:pPr>
      <w:r>
        <w:rPr>
          <w:color w:val="000000"/>
        </w:rPr>
        <w:t>Scaling-up national initiatives on public engagement in R&amp;I to ERA level taking into consideration different audiences, languages and contexts;</w:t>
      </w:r>
    </w:p>
    <w:p w14:paraId="3C06B559" w14:textId="77777777" w:rsidR="00721C98" w:rsidRDefault="00AE7B71" w:rsidP="00AE7B71">
      <w:pPr>
        <w:pStyle w:val="ListParagraph"/>
        <w:numPr>
          <w:ilvl w:val="0"/>
          <w:numId w:val="83"/>
        </w:numPr>
      </w:pPr>
      <w:r>
        <w:rPr>
          <w:color w:val="000000"/>
        </w:rPr>
        <w:t>Improved engagement and cooperation of researchers and innovators, science communicators, and public engagement experts with civil society;</w:t>
      </w:r>
    </w:p>
    <w:p w14:paraId="6867F2F8" w14:textId="77777777" w:rsidR="00721C98" w:rsidRDefault="00AE7B71" w:rsidP="00AE7B71">
      <w:pPr>
        <w:pStyle w:val="ListParagraph"/>
        <w:numPr>
          <w:ilvl w:val="0"/>
          <w:numId w:val="83"/>
        </w:numPr>
      </w:pPr>
      <w:r>
        <w:rPr>
          <w:color w:val="000000"/>
        </w:rPr>
        <w:t>Increased understanding of the value of scientific processes by society and the importance of public needs and values in addressing societal challenges through R&amp;I.</w:t>
      </w:r>
    </w:p>
    <w:p w14:paraId="76E0F38D" w14:textId="77777777" w:rsidR="00721C98" w:rsidRDefault="00AE7B71">
      <w:r>
        <w:rPr>
          <w:color w:val="000000"/>
          <w:u w:val="single"/>
        </w:rPr>
        <w:t>Scope:</w:t>
      </w:r>
      <w:r>
        <w:rPr>
          <w:color w:val="000000"/>
        </w:rPr>
        <w:t xml:space="preserve"> Area 2 promotes scientific literacy and dialogue and constructive interactions between scientists and the wider public. To achieve this, it supports visits by researchers, for example, to civil society organisations, workplaces or community youth centres, enabling dialogue and collaboration between researchers and civil society and fostering mutual understanding. Event participants can thus enhance their knowledge of different scientific fields and research focuses, gain insights on the conduct of research</w:t>
      </w:r>
      <w:r>
        <w:rPr>
          <w:color w:val="000000"/>
        </w:rPr>
        <w:t xml:space="preserve"> and different research career pathways. </w:t>
      </w:r>
      <w:r>
        <w:rPr>
          <w:color w:val="000000"/>
        </w:rPr>
        <w:lastRenderedPageBreak/>
        <w:t>Through these interactions, researchers can enhance their understanding of audiences and incorporate their knowledge and values into their work and communication.</w:t>
      </w:r>
    </w:p>
    <w:p w14:paraId="2EEC51CC" w14:textId="77777777" w:rsidR="00721C98" w:rsidRDefault="00AE7B71">
      <w:r>
        <w:rPr>
          <w:color w:val="000000"/>
        </w:rPr>
        <w:t>To achieve the expected outcomes, proposals should include the following activities outlined below and propose any additional, complementary activities:</w:t>
      </w:r>
    </w:p>
    <w:p w14:paraId="3B0AD667" w14:textId="77777777" w:rsidR="00721C98" w:rsidRDefault="00AE7B71" w:rsidP="00AE7B71">
      <w:pPr>
        <w:pStyle w:val="ListParagraph"/>
        <w:numPr>
          <w:ilvl w:val="0"/>
          <w:numId w:val="84"/>
        </w:numPr>
      </w:pPr>
      <w:r>
        <w:rPr>
          <w:color w:val="000000"/>
        </w:rPr>
        <w:t>Develop online dialogue platforms, in different national (language) settings, containing profiles of researchers and innovators, their availability for public visits, and the scientific issues to be discussed; the platforms should also facilitate the arrangement of meetings between the researchers and interested organisations or institutions;</w:t>
      </w:r>
    </w:p>
    <w:p w14:paraId="29CFF859" w14:textId="77777777" w:rsidR="00721C98" w:rsidRDefault="00AE7B71" w:rsidP="00AE7B71">
      <w:pPr>
        <w:pStyle w:val="ListParagraph"/>
        <w:numPr>
          <w:ilvl w:val="0"/>
          <w:numId w:val="84"/>
        </w:numPr>
      </w:pPr>
      <w:r>
        <w:rPr>
          <w:color w:val="000000"/>
        </w:rPr>
        <w:t>Implement the meetings while taking care to reach out to and include members of the public not habitually involved in science, and adapting the science communication and public engagement for different audiences, languages and contexts;</w:t>
      </w:r>
    </w:p>
    <w:p w14:paraId="2A773A63" w14:textId="77777777" w:rsidR="00721C98" w:rsidRDefault="00AE7B71" w:rsidP="00AE7B71">
      <w:pPr>
        <w:pStyle w:val="ListParagraph"/>
        <w:numPr>
          <w:ilvl w:val="0"/>
          <w:numId w:val="84"/>
        </w:numPr>
      </w:pPr>
      <w:r>
        <w:rPr>
          <w:color w:val="000000"/>
        </w:rPr>
        <w:t>Take stock of all visits and provide lessons learned and recommendations for the future development of similar activities.</w:t>
      </w:r>
    </w:p>
    <w:p w14:paraId="3B07A974" w14:textId="77777777" w:rsidR="00721C98" w:rsidRDefault="00AE7B71">
      <w:pPr>
        <w:pStyle w:val="HeadingThree"/>
      </w:pPr>
      <w:r>
        <w:t>HORIZON-WIDERA-2027-05-ERA-05: Pillar IV: Upgrading the EU’s independent knowledge on China's Science, Technology and Innovation system</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DB4111" w14:paraId="41A522BA" w14:textId="77777777" w:rsidTr="00DB4111">
        <w:tc>
          <w:tcPr>
            <w:tcW w:w="0" w:type="auto"/>
            <w:gridSpan w:val="2"/>
          </w:tcPr>
          <w:p w14:paraId="2FFC978A" w14:textId="77777777" w:rsidR="00721C98" w:rsidRDefault="00AE7B71">
            <w:pPr>
              <w:pStyle w:val="CellTextValue"/>
            </w:pPr>
            <w:r>
              <w:rPr>
                <w:b/>
              </w:rPr>
              <w:t>Call: Enhancing the European R&amp;I system</w:t>
            </w:r>
          </w:p>
        </w:tc>
      </w:tr>
      <w:tr w:rsidR="00DB4111" w14:paraId="53BA633D" w14:textId="77777777" w:rsidTr="00DB4111">
        <w:tc>
          <w:tcPr>
            <w:tcW w:w="0" w:type="auto"/>
            <w:gridSpan w:val="2"/>
          </w:tcPr>
          <w:p w14:paraId="7731FEF3" w14:textId="77777777" w:rsidR="00721C98" w:rsidRDefault="00AE7B71">
            <w:pPr>
              <w:pStyle w:val="CellTextValue"/>
            </w:pPr>
            <w:r>
              <w:rPr>
                <w:b/>
              </w:rPr>
              <w:t>Specific conditions</w:t>
            </w:r>
          </w:p>
        </w:tc>
      </w:tr>
      <w:tr w:rsidR="00721C98" w14:paraId="2595FFF5" w14:textId="77777777">
        <w:tc>
          <w:tcPr>
            <w:tcW w:w="0" w:type="auto"/>
          </w:tcPr>
          <w:p w14:paraId="307DFD2B" w14:textId="77777777" w:rsidR="00721C98" w:rsidRDefault="00AE7B71">
            <w:pPr>
              <w:pStyle w:val="CellTextValue"/>
              <w:jc w:val="left"/>
            </w:pPr>
            <w:r>
              <w:rPr>
                <w:i/>
              </w:rPr>
              <w:t>Expected EU contribution per project</w:t>
            </w:r>
          </w:p>
        </w:tc>
        <w:tc>
          <w:tcPr>
            <w:tcW w:w="0" w:type="auto"/>
          </w:tcPr>
          <w:p w14:paraId="6C662493" w14:textId="77777777" w:rsidR="00721C98" w:rsidRDefault="00AE7B71">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721C98" w14:paraId="77FB1696" w14:textId="77777777">
        <w:tc>
          <w:tcPr>
            <w:tcW w:w="0" w:type="auto"/>
          </w:tcPr>
          <w:p w14:paraId="06892ADB" w14:textId="77777777" w:rsidR="00721C98" w:rsidRDefault="00AE7B71">
            <w:pPr>
              <w:pStyle w:val="CellTextValue"/>
              <w:jc w:val="left"/>
            </w:pPr>
            <w:r>
              <w:rPr>
                <w:i/>
              </w:rPr>
              <w:t>Indicative budget</w:t>
            </w:r>
          </w:p>
        </w:tc>
        <w:tc>
          <w:tcPr>
            <w:tcW w:w="0" w:type="auto"/>
          </w:tcPr>
          <w:p w14:paraId="573DC6A9" w14:textId="77777777" w:rsidR="00721C98" w:rsidRDefault="00AE7B71">
            <w:pPr>
              <w:pStyle w:val="CellTextValue"/>
            </w:pPr>
            <w:r>
              <w:t>The total indicative budget for the topic is EUR 3.00 million.</w:t>
            </w:r>
          </w:p>
        </w:tc>
      </w:tr>
      <w:tr w:rsidR="00721C98" w14:paraId="51543746" w14:textId="77777777">
        <w:tc>
          <w:tcPr>
            <w:tcW w:w="0" w:type="auto"/>
          </w:tcPr>
          <w:p w14:paraId="769E667C" w14:textId="77777777" w:rsidR="00721C98" w:rsidRDefault="00AE7B71">
            <w:pPr>
              <w:pStyle w:val="CellTextValue"/>
              <w:jc w:val="left"/>
            </w:pPr>
            <w:r>
              <w:rPr>
                <w:i/>
              </w:rPr>
              <w:t>Type of Action</w:t>
            </w:r>
          </w:p>
        </w:tc>
        <w:tc>
          <w:tcPr>
            <w:tcW w:w="0" w:type="auto"/>
          </w:tcPr>
          <w:p w14:paraId="35CE95C3" w14:textId="77777777" w:rsidR="00721C98" w:rsidRDefault="00AE7B71">
            <w:pPr>
              <w:pStyle w:val="CellTextValue"/>
            </w:pPr>
            <w:r>
              <w:rPr>
                <w:color w:val="000000"/>
              </w:rPr>
              <w:t>Research and Innovation Actions</w:t>
            </w:r>
          </w:p>
        </w:tc>
      </w:tr>
      <w:tr w:rsidR="00721C98" w14:paraId="41C5E377" w14:textId="77777777">
        <w:tc>
          <w:tcPr>
            <w:tcW w:w="0" w:type="auto"/>
          </w:tcPr>
          <w:p w14:paraId="26D965AD" w14:textId="77777777" w:rsidR="00721C98" w:rsidRDefault="00AE7B71">
            <w:pPr>
              <w:pStyle w:val="CellTextValue"/>
              <w:jc w:val="left"/>
            </w:pPr>
            <w:r>
              <w:rPr>
                <w:i/>
              </w:rPr>
              <w:t>Eligibility conditions</w:t>
            </w:r>
          </w:p>
        </w:tc>
        <w:tc>
          <w:tcPr>
            <w:tcW w:w="0" w:type="auto"/>
          </w:tcPr>
          <w:p w14:paraId="7D1E713D" w14:textId="77777777" w:rsidR="00721C98" w:rsidRDefault="00AE7B71">
            <w:pPr>
              <w:pStyle w:val="CellTextValue"/>
            </w:pPr>
            <w:r>
              <w:rPr>
                <w:color w:val="000000"/>
              </w:rPr>
              <w:t>The conditions are described in General Annex B. The following exceptions apply:</w:t>
            </w:r>
          </w:p>
          <w:p w14:paraId="13EB37BC" w14:textId="77777777" w:rsidR="00721C98" w:rsidRDefault="00AE7B71">
            <w:pPr>
              <w:pStyle w:val="CellTextValue"/>
            </w:pPr>
            <w:r>
              <w:rPr>
                <w:color w:val="000000"/>
              </w:rPr>
              <w:t xml:space="preserve">The following additional eligibility criteria apply: In order to achieve the expected outcomes and safeguard the Union’s strategic assets, interests, autonomy, or security, namely to strengthen the European capacity to create and to foster the production of independent European knowledge on contemporary China, participation is limited to legal entities established in Member States and the following Associated Countries: Norway and Iceland. Entities established in an eligible country, but which are directly </w:t>
            </w:r>
            <w:r>
              <w:rPr>
                <w:color w:val="000000"/>
              </w:rPr>
              <w:t>or indirectly controlled by a non-eligible country or by an entity based in a non-eligible country, may not participate in the action.</w:t>
            </w:r>
          </w:p>
        </w:tc>
      </w:tr>
      <w:tr w:rsidR="00721C98" w14:paraId="3A832B27" w14:textId="77777777">
        <w:tc>
          <w:tcPr>
            <w:tcW w:w="0" w:type="auto"/>
          </w:tcPr>
          <w:p w14:paraId="5FB42099" w14:textId="77777777" w:rsidR="00721C98" w:rsidRDefault="00AE7B71">
            <w:pPr>
              <w:pStyle w:val="CellTextValue"/>
              <w:jc w:val="left"/>
            </w:pPr>
            <w:r>
              <w:rPr>
                <w:i/>
              </w:rPr>
              <w:lastRenderedPageBreak/>
              <w:t>Legal and financial set-up of the Grant Agreements</w:t>
            </w:r>
          </w:p>
        </w:tc>
        <w:tc>
          <w:tcPr>
            <w:tcW w:w="0" w:type="auto"/>
          </w:tcPr>
          <w:p w14:paraId="1C537BA7" w14:textId="77777777" w:rsidR="00721C98" w:rsidRDefault="00AE7B71">
            <w:pPr>
              <w:pStyle w:val="CellTextValue"/>
            </w:pPr>
            <w:r>
              <w:rPr>
                <w:color w:val="000000"/>
              </w:rPr>
              <w:t>The rules are described in General Annex G. The following exceptions apply:</w:t>
            </w:r>
          </w:p>
          <w:p w14:paraId="49BB88FD" w14:textId="77777777" w:rsidR="00721C98" w:rsidRDefault="00AE7B71">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8"/>
            </w:r>
            <w:r>
              <w:rPr>
                <w:color w:val="000000"/>
              </w:rPr>
              <w:t>.</w:t>
            </w:r>
          </w:p>
        </w:tc>
      </w:tr>
    </w:tbl>
    <w:p w14:paraId="551B3775" w14:textId="77777777" w:rsidR="00721C98" w:rsidRDefault="00721C98">
      <w:pPr>
        <w:spacing w:after="0" w:line="150" w:lineRule="auto"/>
      </w:pPr>
    </w:p>
    <w:p w14:paraId="102B5780" w14:textId="77777777" w:rsidR="00721C98" w:rsidRDefault="00AE7B71">
      <w:r>
        <w:rPr>
          <w:u w:val="single"/>
        </w:rPr>
        <w:t>Expected Outcome</w:t>
      </w:r>
      <w:r>
        <w:t xml:space="preserve">: </w:t>
      </w:r>
      <w:r>
        <w:rPr>
          <w:color w:val="000000"/>
        </w:rPr>
        <w:t>Proposals will deliver on the impact of ‘A more strategic, coherent, and evidence-based approach towards cooperation with China in the area of science, technology, and innovation (STI)’. It contributes toward the ERA Structural Policy “Implementing the Global Approach to R&amp;I cooperation”, while taking into account the ERA Action on “Enhancing research security”.</w:t>
      </w:r>
    </w:p>
    <w:p w14:paraId="69C894BA" w14:textId="77777777" w:rsidR="00721C98" w:rsidRDefault="00AE7B71">
      <w:r>
        <w:rPr>
          <w:color w:val="000000"/>
        </w:rPr>
        <w:t>Project results are expected to contribute to all of the following outcomes:</w:t>
      </w:r>
    </w:p>
    <w:p w14:paraId="4EFE8B7F" w14:textId="77777777" w:rsidR="00721C98" w:rsidRDefault="00AE7B71" w:rsidP="00AE7B71">
      <w:pPr>
        <w:pStyle w:val="ListParagraph"/>
        <w:numPr>
          <w:ilvl w:val="0"/>
          <w:numId w:val="85"/>
        </w:numPr>
      </w:pPr>
      <w:r>
        <w:rPr>
          <w:color w:val="000000"/>
        </w:rPr>
        <w:t>Improved understanding and monitoring of China's STI system to support the development of strategic foresight and evidence-based policies, and further bolster the EU’s ecosystem for independent knowledge on contemporary China;</w:t>
      </w:r>
    </w:p>
    <w:p w14:paraId="163A5E82" w14:textId="77777777" w:rsidR="00721C98" w:rsidRDefault="00AE7B71" w:rsidP="00AE7B71">
      <w:pPr>
        <w:pStyle w:val="ListParagraph"/>
        <w:numPr>
          <w:ilvl w:val="0"/>
          <w:numId w:val="85"/>
        </w:numPr>
      </w:pPr>
      <w:r>
        <w:rPr>
          <w:color w:val="000000"/>
        </w:rPr>
        <w:t>Innovative interdisciplinary approaches and methodologies are made available to R&amp;I practitioners and policymakers, allowing for improved assessment of critical technology areas where China has achieved or is expected to achieve breakthroughs, and areas where challenges persist;</w:t>
      </w:r>
    </w:p>
    <w:p w14:paraId="58484CC2" w14:textId="77777777" w:rsidR="00721C98" w:rsidRDefault="00AE7B71" w:rsidP="00AE7B71">
      <w:pPr>
        <w:pStyle w:val="ListParagraph"/>
        <w:numPr>
          <w:ilvl w:val="0"/>
          <w:numId w:val="85"/>
        </w:numPr>
      </w:pPr>
      <w:r>
        <w:rPr>
          <w:color w:val="000000"/>
        </w:rPr>
        <w:t>A well-connected network of experts on China's STI ecosystem that increase attractiveness for EU researchers, especially young researchers, to pursue research careers on contemporary China.</w:t>
      </w:r>
    </w:p>
    <w:p w14:paraId="68B59CC5" w14:textId="77777777" w:rsidR="00721C98" w:rsidRDefault="00AE7B71">
      <w:r>
        <w:rPr>
          <w:u w:val="single"/>
        </w:rPr>
        <w:t>Scope</w:t>
      </w:r>
      <w:r>
        <w:t xml:space="preserve">: </w:t>
      </w:r>
      <w:r>
        <w:rPr>
          <w:color w:val="000000"/>
        </w:rPr>
        <w:t>This topic aims to support the creation of new knowledge and strengthen expertise and networks in the EU on China’s science, technology, and innovation (STI) system. It seeks to bolster the EU’s ongoing endeavour to upgrade independent knowledge on contemporary China in Europe</w:t>
      </w:r>
      <w:r>
        <w:rPr>
          <w:vertAlign w:val="superscript"/>
        </w:rPr>
        <w:footnoteReference w:id="109"/>
      </w:r>
      <w:r>
        <w:rPr>
          <w:color w:val="000000"/>
        </w:rPr>
        <w:t>, which addresses the need for the EU to understand China on its own terms: not through the lens of external sources, but from its own perspective based on independent EU’s analysis.</w:t>
      </w:r>
    </w:p>
    <w:p w14:paraId="1A4C19CB" w14:textId="77777777" w:rsidR="00721C98" w:rsidRDefault="00AE7B71">
      <w:r>
        <w:rPr>
          <w:color w:val="000000"/>
        </w:rPr>
        <w:lastRenderedPageBreak/>
        <w:t>This action should bring together think-tanks, universities, research organisations, and expert networks based in eligible countries. Proposals should build on the activities and results of relevant past or ongoing initiatives and projects at European and/or national level</w:t>
      </w:r>
      <w:r>
        <w:rPr>
          <w:vertAlign w:val="superscript"/>
        </w:rPr>
        <w:footnoteReference w:id="110"/>
      </w:r>
      <w:r>
        <w:rPr>
          <w:color w:val="000000"/>
        </w:rPr>
        <w:t>. The selected project is expected to closely coordinate with the European Commission during implementation,</w:t>
      </w:r>
    </w:p>
    <w:p w14:paraId="74864D9F" w14:textId="77777777" w:rsidR="00721C98" w:rsidRDefault="00AE7B71">
      <w:r>
        <w:rPr>
          <w:color w:val="000000"/>
        </w:rPr>
        <w:t>To achieve the expected outcomes, proposals should address the activities outlined below and propose any additional, complementary activities:</w:t>
      </w:r>
    </w:p>
    <w:p w14:paraId="5F5CB489" w14:textId="77777777" w:rsidR="00721C98" w:rsidRDefault="00AE7B71" w:rsidP="00AE7B71">
      <w:pPr>
        <w:pStyle w:val="ListParagraph"/>
        <w:numPr>
          <w:ilvl w:val="0"/>
          <w:numId w:val="86"/>
        </w:numPr>
      </w:pPr>
      <w:r>
        <w:rPr>
          <w:color w:val="000000"/>
        </w:rPr>
        <w:t>Build a comprehensive framework that facilitates the creation and sharing of knowledge and monitoring of China's STI system. This includes generating new and compiling existing knowledge, tools, and resources on developments in China’s STI policies, legal framework, government structures, narratives, and strategies for international collaborations.</w:t>
      </w:r>
    </w:p>
    <w:p w14:paraId="0286DBA4" w14:textId="77777777" w:rsidR="00721C98" w:rsidRDefault="00AE7B71" w:rsidP="00AE7B71">
      <w:pPr>
        <w:pStyle w:val="ListParagraph"/>
        <w:numPr>
          <w:ilvl w:val="0"/>
          <w:numId w:val="86"/>
        </w:numPr>
      </w:pPr>
      <w:r>
        <w:rPr>
          <w:color w:val="000000"/>
        </w:rPr>
        <w:t>Develop and test innovative interdisciplinary approaches and methodologies for assessing China’s advancements in critical technology areas (e.g., artificial intelligence, advanced semiconductors, quantum, biotechnologies)</w:t>
      </w:r>
      <w:r>
        <w:rPr>
          <w:vertAlign w:val="superscript"/>
        </w:rPr>
        <w:footnoteReference w:id="111"/>
      </w:r>
      <w:r>
        <w:rPr>
          <w:color w:val="000000"/>
        </w:rPr>
        <w:t xml:space="preserve"> and for evaluating their impact on the European economic security, strategic autonomy, and on the EU’s ability to achieve the objectives of the Competitiveness Compass</w:t>
      </w:r>
      <w:r>
        <w:rPr>
          <w:vertAlign w:val="superscript"/>
        </w:rPr>
        <w:footnoteReference w:id="112"/>
      </w:r>
      <w:r>
        <w:rPr>
          <w:color w:val="000000"/>
        </w:rPr>
        <w:t>. Applicants are encouraged to propose foresight exercises to identify new disruptive, emerging technologies beyond those mentioned above.</w:t>
      </w:r>
    </w:p>
    <w:p w14:paraId="0AA4DD53" w14:textId="77777777" w:rsidR="00721C98" w:rsidRDefault="00AE7B71" w:rsidP="00AE7B71">
      <w:pPr>
        <w:pStyle w:val="ListParagraph"/>
        <w:numPr>
          <w:ilvl w:val="0"/>
          <w:numId w:val="86"/>
        </w:numPr>
      </w:pPr>
      <w:r>
        <w:rPr>
          <w:color w:val="000000"/>
        </w:rPr>
        <w:t>Ensure collaboration between EU experts on China and technical experts (e.g., engineers, technology experts, economists, legal experts). Particular attention should be paid to actively involving young EU researchers in project activities.</w:t>
      </w:r>
    </w:p>
    <w:p w14:paraId="71CB7C36" w14:textId="77777777" w:rsidR="00721C98" w:rsidRDefault="00AE7B71">
      <w:r>
        <w:rPr>
          <w:color w:val="000000"/>
        </w:rPr>
        <w:t>Expected project duration is up to 3 years without prejudice to a longer duration if justified.</w:t>
      </w:r>
    </w:p>
    <w:p w14:paraId="26692A41" w14:textId="77777777" w:rsidR="00721C98" w:rsidRDefault="00AE7B71">
      <w:pPr>
        <w:pStyle w:val="HeadingOne"/>
        <w:pageBreakBefore/>
      </w:pPr>
      <w:r>
        <w:lastRenderedPageBreak/>
        <w:t>PRIZES</w:t>
      </w:r>
    </w:p>
    <w:p w14:paraId="2B86D9E7" w14:textId="77777777" w:rsidR="00721C98" w:rsidRDefault="00AE7B71">
      <w:pPr>
        <w:pStyle w:val="HeadingThree"/>
      </w:pPr>
      <w:r>
        <w:t>1. EU Award for Gender Equality Champions 2026</w:t>
      </w:r>
    </w:p>
    <w:p w14:paraId="6F624809" w14:textId="77777777" w:rsidR="00721C98" w:rsidRDefault="00AE7B71">
      <w:r>
        <w:rPr>
          <w:color w:val="000000"/>
        </w:rPr>
        <w:t>The “EU Award for Gender Equality Champions” is a recognition prize scheme designed as a booster and a complement to the Gender Equality Plans (GEP) eligibility criterion in Horizon Europe</w:t>
      </w:r>
      <w:r>
        <w:rPr>
          <w:vertAlign w:val="superscript"/>
        </w:rPr>
        <w:footnoteReference w:id="113"/>
      </w:r>
      <w:r>
        <w:rPr>
          <w:color w:val="000000"/>
        </w:rPr>
        <w:t>, and as a tool for advancing inclusive GEPs and policies within the framework of the ERA Policy Agenda.</w:t>
      </w:r>
    </w:p>
    <w:p w14:paraId="2872684C" w14:textId="77777777" w:rsidR="00721C98" w:rsidRDefault="00AE7B71">
      <w:r>
        <w:rPr>
          <w:color w:val="000000"/>
          <w:u w:val="single"/>
        </w:rPr>
        <w:t>Expected Outcomes</w:t>
      </w:r>
      <w:r>
        <w:rPr>
          <w:color w:val="000000"/>
        </w:rPr>
        <w:t>:</w:t>
      </w:r>
    </w:p>
    <w:p w14:paraId="4817FC28" w14:textId="77777777" w:rsidR="00721C98" w:rsidRDefault="00AE7B71" w:rsidP="00AE7B71">
      <w:pPr>
        <w:pStyle w:val="ListParagraph"/>
        <w:numPr>
          <w:ilvl w:val="0"/>
          <w:numId w:val="87"/>
        </w:numPr>
      </w:pPr>
      <w:r>
        <w:rPr>
          <w:color w:val="000000"/>
        </w:rPr>
        <w:t>Recognition of organisations with the most significant impact resulting from the implementation of their GEP, serving as role models for others;</w:t>
      </w:r>
    </w:p>
    <w:p w14:paraId="5B316E7C" w14:textId="77777777" w:rsidR="00721C98" w:rsidRDefault="00AE7B71" w:rsidP="00AE7B71">
      <w:pPr>
        <w:pStyle w:val="ListParagraph"/>
        <w:numPr>
          <w:ilvl w:val="0"/>
          <w:numId w:val="87"/>
        </w:numPr>
      </w:pPr>
      <w:r>
        <w:rPr>
          <w:color w:val="000000"/>
        </w:rPr>
        <w:t>Strengthened gender equality and inclusiveness in the European Research Area.</w:t>
      </w:r>
    </w:p>
    <w:p w14:paraId="126870BA" w14:textId="77777777" w:rsidR="00721C98" w:rsidRDefault="00AE7B71">
      <w:r>
        <w:rPr>
          <w:color w:val="000000"/>
        </w:rPr>
        <w:t xml:space="preserve">The Prize will be awarded to four organisations, and contestants can apply to </w:t>
      </w:r>
      <w:r>
        <w:rPr>
          <w:color w:val="000000"/>
          <w:u w:val="single"/>
        </w:rPr>
        <w:t>one</w:t>
      </w:r>
      <w:r>
        <w:rPr>
          <w:color w:val="000000"/>
        </w:rPr>
        <w:t xml:space="preserve"> of the following three prize categories:</w:t>
      </w:r>
    </w:p>
    <w:p w14:paraId="4BB955B4" w14:textId="77777777" w:rsidR="00721C98" w:rsidRDefault="00AE7B71" w:rsidP="00AE7B71">
      <w:pPr>
        <w:pStyle w:val="ListParagraph"/>
        <w:numPr>
          <w:ilvl w:val="0"/>
          <w:numId w:val="88"/>
        </w:numPr>
      </w:pPr>
      <w:r>
        <w:rPr>
          <w:color w:val="000000"/>
          <w:u w:val="single"/>
        </w:rPr>
        <w:t>Sustainable Gender Equality Champions:</w:t>
      </w:r>
      <w:r>
        <w:rPr>
          <w:color w:val="000000"/>
        </w:rPr>
        <w:t xml:space="preserve"> Organisations that can demonstrate a significant and sustained record of activity and a high level of achievement through the implementation of their GEP(s);</w:t>
      </w:r>
    </w:p>
    <w:p w14:paraId="2019B4D5" w14:textId="77777777" w:rsidR="00721C98" w:rsidRDefault="00AE7B71" w:rsidP="00AE7B71">
      <w:pPr>
        <w:pStyle w:val="ListParagraph"/>
        <w:numPr>
          <w:ilvl w:val="0"/>
          <w:numId w:val="88"/>
        </w:numPr>
      </w:pPr>
      <w:r>
        <w:rPr>
          <w:color w:val="000000"/>
          <w:u w:val="single"/>
        </w:rPr>
        <w:t>Newcomer Gender Equality Champions:</w:t>
      </w:r>
      <w:r>
        <w:rPr>
          <w:color w:val="000000"/>
        </w:rPr>
        <w:t xml:space="preserve"> Organisations without a sustained record of activity in gender equality that have recently completed the implementation of their first GEP and can demonstrate the most progress achieved through its implementation;</w:t>
      </w:r>
    </w:p>
    <w:p w14:paraId="153B0C13" w14:textId="77777777" w:rsidR="00721C98" w:rsidRDefault="00AE7B71" w:rsidP="00AE7B71">
      <w:pPr>
        <w:pStyle w:val="ListParagraph"/>
        <w:numPr>
          <w:ilvl w:val="0"/>
          <w:numId w:val="88"/>
        </w:numPr>
      </w:pPr>
      <w:r>
        <w:rPr>
          <w:color w:val="000000"/>
          <w:u w:val="single"/>
        </w:rPr>
        <w:t>Inclusive Gender Equality Champions:</w:t>
      </w:r>
      <w:r>
        <w:rPr>
          <w:color w:val="000000"/>
        </w:rPr>
        <w:t xml:space="preserve"> Organisations that have developed the most innovative inclusive GEP – namely a GEP addressing intersectionality, meaning links between gender and at least two other social categories, including for example racial or ethnic origin, social origin, sexual orientation and gender identity (LGBTIQ) or disability – and can demonstrate concrete results obtained through its implementation.</w:t>
      </w:r>
    </w:p>
    <w:p w14:paraId="154AED54" w14:textId="77777777" w:rsidR="00721C98" w:rsidRDefault="00AE7B71">
      <w:r>
        <w:rPr>
          <w:color w:val="000000"/>
        </w:rPr>
        <w:t>In addition to the complete application, contestants may be asked at a later stage to provide further documents (for legal entity validation, bank account validation, ethics review, declaration of honour, etc.) or to submit a short video message on their achievements in the chosen Prize category. This video will be used for communication purposes only.</w:t>
      </w:r>
    </w:p>
    <w:p w14:paraId="767F5A5F" w14:textId="77777777" w:rsidR="00721C98" w:rsidRDefault="00AE7B71">
      <w:r>
        <w:rPr>
          <w:color w:val="000000"/>
          <w:u w:val="single"/>
        </w:rPr>
        <w:t>Essential award criteria</w:t>
      </w:r>
      <w:r>
        <w:rPr>
          <w:color w:val="000000"/>
        </w:rPr>
        <w:t>: Eligible applications will be evaluated in each category by a jury consisting of a group of independent experts.</w:t>
      </w:r>
    </w:p>
    <w:p w14:paraId="0EBAEAD2" w14:textId="77777777" w:rsidR="00721C98" w:rsidRDefault="00AE7B71">
      <w:r>
        <w:rPr>
          <w:color w:val="000000"/>
        </w:rPr>
        <w:t>The prize will be awarded, after closure of the contest, to the contestants who in the opinion of the jury best address the following cumulative award criteria:</w:t>
      </w:r>
    </w:p>
    <w:p w14:paraId="33CF3AF4" w14:textId="77777777" w:rsidR="00721C98" w:rsidRDefault="00AE7B71" w:rsidP="00AE7B71">
      <w:pPr>
        <w:pStyle w:val="ListParagraph"/>
        <w:numPr>
          <w:ilvl w:val="0"/>
          <w:numId w:val="89"/>
        </w:numPr>
      </w:pPr>
      <w:r>
        <w:rPr>
          <w:color w:val="000000"/>
          <w:u w:val="single"/>
        </w:rPr>
        <w:lastRenderedPageBreak/>
        <w:t>Sustainable Gender Equality Champions</w:t>
      </w:r>
      <w:r>
        <w:rPr>
          <w:color w:val="000000"/>
        </w:rPr>
        <w:t>: Criterion 1: Sustainable Impact; Criterion 2: Inspirational Model;</w:t>
      </w:r>
    </w:p>
    <w:p w14:paraId="3015731D" w14:textId="77777777" w:rsidR="00721C98" w:rsidRDefault="00AE7B71" w:rsidP="00AE7B71">
      <w:pPr>
        <w:pStyle w:val="ListParagraph"/>
        <w:numPr>
          <w:ilvl w:val="0"/>
          <w:numId w:val="89"/>
        </w:numPr>
      </w:pPr>
      <w:r>
        <w:rPr>
          <w:color w:val="000000"/>
          <w:u w:val="single"/>
        </w:rPr>
        <w:t>Newcomer Gender Equality Champions</w:t>
      </w:r>
      <w:r>
        <w:rPr>
          <w:color w:val="000000"/>
        </w:rPr>
        <w:t>: Criterion 1: Progress Achieved; Criterion 2: Stakeholder Engagement;</w:t>
      </w:r>
    </w:p>
    <w:p w14:paraId="41EDFC85" w14:textId="77777777" w:rsidR="00721C98" w:rsidRDefault="00AE7B71" w:rsidP="00AE7B71">
      <w:pPr>
        <w:pStyle w:val="ListParagraph"/>
        <w:numPr>
          <w:ilvl w:val="0"/>
          <w:numId w:val="89"/>
        </w:numPr>
      </w:pPr>
      <w:r>
        <w:rPr>
          <w:color w:val="000000"/>
          <w:u w:val="single"/>
        </w:rPr>
        <w:t>Inclusive Gender Equality Champions</w:t>
      </w:r>
      <w:r>
        <w:rPr>
          <w:color w:val="000000"/>
        </w:rPr>
        <w:t>: Criterion 1: Progress achieved; Criterion 2: Innovative Inclusiveness.</w:t>
      </w:r>
    </w:p>
    <w:p w14:paraId="61FD641D" w14:textId="77777777" w:rsidR="00721C98" w:rsidRDefault="00AE7B71">
      <w:r>
        <w:rPr>
          <w:color w:val="000000"/>
          <w:u w:val="single"/>
        </w:rPr>
        <w:t>Eligibility criteria</w:t>
      </w:r>
      <w:r>
        <w:rPr>
          <w:color w:val="000000"/>
        </w:rPr>
        <w:t>: Contestant must be private entities, public bodies, non-profit or for-profit organisations, including research organisations and higher education establishments, located in a Member State, an Associated Country, or a candidate country for the accession to the EU</w:t>
      </w:r>
      <w:r>
        <w:rPr>
          <w:vertAlign w:val="superscript"/>
        </w:rPr>
        <w:footnoteReference w:id="114"/>
      </w:r>
      <w:r>
        <w:rPr>
          <w:color w:val="000000"/>
        </w:rPr>
        <w:t>, and must have a current GEP, as well as the GEP on which the application is based (if these are different) that comply with minimum process-related requirements set for GEPs in Horizon Europe General Annexes.</w:t>
      </w:r>
    </w:p>
    <w:p w14:paraId="50F698A8" w14:textId="77777777" w:rsidR="00721C98" w:rsidRDefault="00AE7B71">
      <w:r>
        <w:rPr>
          <w:color w:val="000000"/>
        </w:rPr>
        <w:t>Applicants that have already received an EU or Euratom prize cannot receive a second prize for the same activities.</w:t>
      </w:r>
    </w:p>
    <w:p w14:paraId="1F4B42FE" w14:textId="77777777" w:rsidR="00721C98" w:rsidRDefault="00AE7B71">
      <w:r>
        <w:rPr>
          <w:color w:val="000000"/>
        </w:rPr>
        <w:t xml:space="preserve">The specific rules of the contest will be published by the European Commission (on the </w:t>
      </w:r>
      <w:hyperlink r:id="rId25">
        <w:r w:rsidR="00721C98">
          <w:rPr>
            <w:szCs w:val="24"/>
            <w:u w:val="single"/>
          </w:rPr>
          <w:t>Funding &amp; Tenders</w:t>
        </w:r>
      </w:hyperlink>
      <w:r>
        <w:rPr>
          <w:color w:val="000000"/>
          <w:u w:val="single"/>
        </w:rPr>
        <w:t xml:space="preserve"> </w:t>
      </w:r>
      <w:hyperlink r:id="rId26">
        <w:r w:rsidR="00721C98">
          <w:rPr>
            <w:szCs w:val="24"/>
            <w:u w:val="single"/>
          </w:rPr>
          <w:t>Portal</w:t>
        </w:r>
      </w:hyperlink>
      <w:r>
        <w:rPr>
          <w:color w:val="000000"/>
        </w:rPr>
        <w:t xml:space="preserve"> but also actively publicised elsewhere to maximise participation), which will directly launch and manage the contest and award the prize based on the judgement of independent experts.</w:t>
      </w:r>
    </w:p>
    <w:p w14:paraId="2555DB93" w14:textId="77777777" w:rsidR="00721C98" w:rsidRDefault="00AE7B71">
      <w:r>
        <w:rPr>
          <w:u w:val="single"/>
        </w:rPr>
        <w:t>Form of Funding</w:t>
      </w:r>
      <w:r>
        <w:t>: Prizes</w:t>
      </w:r>
    </w:p>
    <w:p w14:paraId="69D54CF3" w14:textId="77777777" w:rsidR="00721C98" w:rsidRDefault="00AE7B71">
      <w:r>
        <w:rPr>
          <w:u w:val="single"/>
        </w:rPr>
        <w:t>Type of Action</w:t>
      </w:r>
      <w:r>
        <w:t>: Recognition Prize</w:t>
      </w:r>
    </w:p>
    <w:p w14:paraId="36F5E91C" w14:textId="77777777" w:rsidR="00721C98" w:rsidRDefault="00AE7B71">
      <w:r>
        <w:rPr>
          <w:u w:val="single"/>
        </w:rPr>
        <w:t>Indicative timetable</w:t>
      </w:r>
      <w:r>
        <w:t>: Q2 2026</w:t>
      </w:r>
    </w:p>
    <w:p w14:paraId="12FCA10E" w14:textId="77777777" w:rsidR="00721C98" w:rsidRDefault="00AE7B71">
      <w:r>
        <w:rPr>
          <w:u w:val="single"/>
        </w:rPr>
        <w:t>Indicative budget</w:t>
      </w:r>
      <w:r>
        <w:t>: EUR 0.40 million from the 2026 budget</w:t>
      </w:r>
    </w:p>
    <w:p w14:paraId="00BB4D50" w14:textId="77777777" w:rsidR="00721C98" w:rsidRDefault="00AE7B71">
      <w:pPr>
        <w:pStyle w:val="HeadingThree"/>
      </w:pPr>
      <w:r>
        <w:t>2. EU Award for Gender Equality Champions 2027</w:t>
      </w:r>
    </w:p>
    <w:p w14:paraId="2C91A485" w14:textId="77777777" w:rsidR="00721C98" w:rsidRDefault="00AE7B71">
      <w:r>
        <w:rPr>
          <w:color w:val="000000"/>
        </w:rPr>
        <w:t>The “EU Award for Gender Equality Champions” is a recognition prize scheme designed as a booster and a complement to the Gender Equality Plans (GEP) eligibility criterion in Horizon Europe</w:t>
      </w:r>
      <w:r>
        <w:rPr>
          <w:vertAlign w:val="superscript"/>
        </w:rPr>
        <w:footnoteReference w:id="115"/>
      </w:r>
      <w:r>
        <w:rPr>
          <w:color w:val="000000"/>
        </w:rPr>
        <w:t>, and as a tool for advancing inclusive GEPs and policies within the framework of the ERA Policy Agenda.</w:t>
      </w:r>
    </w:p>
    <w:p w14:paraId="6A614D78" w14:textId="77777777" w:rsidR="00721C98" w:rsidRDefault="00AE7B71">
      <w:r>
        <w:rPr>
          <w:color w:val="000000"/>
          <w:u w:val="single"/>
        </w:rPr>
        <w:t>Expected Outcomes</w:t>
      </w:r>
      <w:r>
        <w:rPr>
          <w:color w:val="000000"/>
        </w:rPr>
        <w:t>:</w:t>
      </w:r>
    </w:p>
    <w:p w14:paraId="31E5E10E" w14:textId="77777777" w:rsidR="00721C98" w:rsidRDefault="00AE7B71" w:rsidP="00AE7B71">
      <w:pPr>
        <w:pStyle w:val="ListParagraph"/>
        <w:numPr>
          <w:ilvl w:val="0"/>
          <w:numId w:val="90"/>
        </w:numPr>
      </w:pPr>
      <w:r>
        <w:rPr>
          <w:color w:val="000000"/>
        </w:rPr>
        <w:t>Recognition of organisations with the most significant impact resulting from the implementation of their GEP, serving as role models for others;</w:t>
      </w:r>
    </w:p>
    <w:p w14:paraId="5AF799D2" w14:textId="77777777" w:rsidR="00721C98" w:rsidRDefault="00AE7B71" w:rsidP="00AE7B71">
      <w:pPr>
        <w:pStyle w:val="ListParagraph"/>
        <w:numPr>
          <w:ilvl w:val="0"/>
          <w:numId w:val="90"/>
        </w:numPr>
      </w:pPr>
      <w:r>
        <w:rPr>
          <w:color w:val="000000"/>
        </w:rPr>
        <w:t>Strengthened gender equality and inclusiveness in the European Research Area.</w:t>
      </w:r>
    </w:p>
    <w:p w14:paraId="67D4EEEB" w14:textId="77777777" w:rsidR="00721C98" w:rsidRDefault="00AE7B71">
      <w:r>
        <w:rPr>
          <w:color w:val="000000"/>
        </w:rPr>
        <w:lastRenderedPageBreak/>
        <w:t xml:space="preserve">The Prize will be awarded to four organisations, and contestants can apply to </w:t>
      </w:r>
      <w:r>
        <w:rPr>
          <w:color w:val="000000"/>
          <w:u w:val="single"/>
        </w:rPr>
        <w:t>one</w:t>
      </w:r>
      <w:r>
        <w:rPr>
          <w:color w:val="000000"/>
        </w:rPr>
        <w:t xml:space="preserve"> of the following three prize categories:</w:t>
      </w:r>
    </w:p>
    <w:p w14:paraId="6EDEA135" w14:textId="77777777" w:rsidR="00721C98" w:rsidRDefault="00AE7B71" w:rsidP="00AE7B71">
      <w:pPr>
        <w:pStyle w:val="ListParagraph"/>
        <w:numPr>
          <w:ilvl w:val="0"/>
          <w:numId w:val="91"/>
        </w:numPr>
      </w:pPr>
      <w:r>
        <w:rPr>
          <w:color w:val="000000"/>
          <w:u w:val="single"/>
        </w:rPr>
        <w:t>Sustainable Gender Equality Champions:</w:t>
      </w:r>
      <w:r>
        <w:rPr>
          <w:color w:val="000000"/>
        </w:rPr>
        <w:t xml:space="preserve"> Organisations that can demonstrate a significant and sustained record of activity and a high level of achievement through the implementation of their GEP(s);</w:t>
      </w:r>
    </w:p>
    <w:p w14:paraId="6DDB6769" w14:textId="77777777" w:rsidR="00721C98" w:rsidRDefault="00AE7B71" w:rsidP="00AE7B71">
      <w:pPr>
        <w:pStyle w:val="ListParagraph"/>
        <w:numPr>
          <w:ilvl w:val="0"/>
          <w:numId w:val="91"/>
        </w:numPr>
      </w:pPr>
      <w:r>
        <w:rPr>
          <w:color w:val="000000"/>
          <w:u w:val="single"/>
        </w:rPr>
        <w:t>Newcomer Gender Equality Champions:</w:t>
      </w:r>
      <w:r>
        <w:rPr>
          <w:color w:val="000000"/>
        </w:rPr>
        <w:t xml:space="preserve"> Organisations without a sustained record of activity in gender equality that have recently completed the implementation of their first GEP and can demonstrate the most progress achieved through its implementation;</w:t>
      </w:r>
    </w:p>
    <w:p w14:paraId="151B1C69" w14:textId="77777777" w:rsidR="00721C98" w:rsidRDefault="00AE7B71" w:rsidP="00AE7B71">
      <w:pPr>
        <w:pStyle w:val="ListParagraph"/>
        <w:numPr>
          <w:ilvl w:val="0"/>
          <w:numId w:val="91"/>
        </w:numPr>
      </w:pPr>
      <w:r>
        <w:rPr>
          <w:color w:val="000000"/>
          <w:u w:val="single"/>
        </w:rPr>
        <w:t>Inclusive Gender Equality Champions:</w:t>
      </w:r>
      <w:r>
        <w:rPr>
          <w:color w:val="000000"/>
        </w:rPr>
        <w:t xml:space="preserve"> Organisations that have developed the most innovative inclusive GEP – namely a GEP addressing intersectionality, meaning links between gender and at least two other social categories, including for example racial or ethnic origin, social origin, sexual orientation and gender identity (LGBTIQ) or disability – and can demonstrate concrete results obtained through its implementation.</w:t>
      </w:r>
    </w:p>
    <w:p w14:paraId="4C1DA5F6" w14:textId="77777777" w:rsidR="00721C98" w:rsidRDefault="00AE7B71">
      <w:r>
        <w:rPr>
          <w:color w:val="000000"/>
        </w:rPr>
        <w:t>In addition to the complete application, contestants may be asked at a later stage to provide further documents (for legal entity validation, bank account validation, ethics review, declaration of honour, etc.) or to submit a short video message on their achievements in the chosen Prize category. This video will be used for communication purposes only.</w:t>
      </w:r>
    </w:p>
    <w:p w14:paraId="2874A297" w14:textId="77777777" w:rsidR="00721C98" w:rsidRDefault="00AE7B71">
      <w:r>
        <w:rPr>
          <w:color w:val="000000"/>
          <w:u w:val="single"/>
        </w:rPr>
        <w:t>Essential award criteria</w:t>
      </w:r>
      <w:r>
        <w:rPr>
          <w:color w:val="000000"/>
        </w:rPr>
        <w:t>: Eligible applications will be evaluated in each category by a jury consisting of a group of independent experts.</w:t>
      </w:r>
    </w:p>
    <w:p w14:paraId="1D8E34A1" w14:textId="77777777" w:rsidR="00721C98" w:rsidRDefault="00AE7B71">
      <w:r>
        <w:rPr>
          <w:color w:val="000000"/>
        </w:rPr>
        <w:t>The prize will be awarded, after closure of the contest, to the contestants who in the opinion of the jury best address the following cumulative award criteria:</w:t>
      </w:r>
    </w:p>
    <w:p w14:paraId="7385B9AF" w14:textId="77777777" w:rsidR="00721C98" w:rsidRDefault="00AE7B71" w:rsidP="00AE7B71">
      <w:pPr>
        <w:pStyle w:val="ListParagraph"/>
        <w:numPr>
          <w:ilvl w:val="0"/>
          <w:numId w:val="92"/>
        </w:numPr>
      </w:pPr>
      <w:r>
        <w:rPr>
          <w:color w:val="000000"/>
          <w:u w:val="single"/>
        </w:rPr>
        <w:t>Sustainable Gender Equality Champions</w:t>
      </w:r>
      <w:r>
        <w:rPr>
          <w:color w:val="000000"/>
        </w:rPr>
        <w:t>: Criterion 1: Sustainable Impact; Criterion 2: Inspirational Model;</w:t>
      </w:r>
    </w:p>
    <w:p w14:paraId="6C316D6D" w14:textId="77777777" w:rsidR="00721C98" w:rsidRDefault="00AE7B71" w:rsidP="00AE7B71">
      <w:pPr>
        <w:pStyle w:val="ListParagraph"/>
        <w:numPr>
          <w:ilvl w:val="0"/>
          <w:numId w:val="92"/>
        </w:numPr>
      </w:pPr>
      <w:r>
        <w:rPr>
          <w:color w:val="000000"/>
          <w:u w:val="single"/>
        </w:rPr>
        <w:t>Newcomer Gender Equality Champions</w:t>
      </w:r>
      <w:r>
        <w:rPr>
          <w:color w:val="000000"/>
        </w:rPr>
        <w:t>: Criterion 1: Progress Achieved; Criterion 2: Stakeholder Engagement;</w:t>
      </w:r>
    </w:p>
    <w:p w14:paraId="3F3FDC5E" w14:textId="77777777" w:rsidR="00721C98" w:rsidRDefault="00AE7B71" w:rsidP="00AE7B71">
      <w:pPr>
        <w:pStyle w:val="ListParagraph"/>
        <w:numPr>
          <w:ilvl w:val="0"/>
          <w:numId w:val="92"/>
        </w:numPr>
      </w:pPr>
      <w:r>
        <w:rPr>
          <w:color w:val="000000"/>
          <w:u w:val="single"/>
        </w:rPr>
        <w:t>Inclusive Gender Equality Champions</w:t>
      </w:r>
      <w:r>
        <w:rPr>
          <w:color w:val="000000"/>
        </w:rPr>
        <w:t>: Criterion 1: Progress achieved; Criterion 2: Innovative Inclusiveness.</w:t>
      </w:r>
    </w:p>
    <w:p w14:paraId="0FF5E009" w14:textId="77777777" w:rsidR="00721C98" w:rsidRDefault="00AE7B71">
      <w:r>
        <w:rPr>
          <w:color w:val="000000"/>
          <w:u w:val="single"/>
        </w:rPr>
        <w:t>Eligibility criteria</w:t>
      </w:r>
      <w:r>
        <w:rPr>
          <w:color w:val="000000"/>
        </w:rPr>
        <w:t>: Contestant must be private entities, public bodies, non-profit or for-profit organisations, including research organisations and higher education establishments, located in a Member State, an Associated Country, or a candidate country for the accession to the EU</w:t>
      </w:r>
      <w:r>
        <w:rPr>
          <w:vertAlign w:val="superscript"/>
        </w:rPr>
        <w:footnoteReference w:id="116"/>
      </w:r>
      <w:r>
        <w:rPr>
          <w:color w:val="000000"/>
        </w:rPr>
        <w:t>, and must have a current GEP, as well as the GEP on which the application is based (if these are different) that comply with minimum process-related requirements set for GEPs in Horizon Europe General Annexes.</w:t>
      </w:r>
    </w:p>
    <w:p w14:paraId="66A08399" w14:textId="77777777" w:rsidR="00721C98" w:rsidRDefault="00AE7B71">
      <w:r>
        <w:rPr>
          <w:color w:val="000000"/>
        </w:rPr>
        <w:t>Applicants that have already received an EU or Euratom prize cannot receive a second prize for the same activities.</w:t>
      </w:r>
    </w:p>
    <w:p w14:paraId="36E5659D" w14:textId="77777777" w:rsidR="00721C98" w:rsidRDefault="00AE7B71">
      <w:r>
        <w:rPr>
          <w:color w:val="000000"/>
        </w:rPr>
        <w:lastRenderedPageBreak/>
        <w:t xml:space="preserve">The specific rules of the contest will be published by the European Commission (on the </w:t>
      </w:r>
      <w:hyperlink r:id="rId27">
        <w:r w:rsidR="00721C98">
          <w:rPr>
            <w:szCs w:val="24"/>
            <w:u w:val="single"/>
          </w:rPr>
          <w:t>Funding &amp; Tenders</w:t>
        </w:r>
      </w:hyperlink>
      <w:r>
        <w:rPr>
          <w:color w:val="000000"/>
          <w:u w:val="single"/>
        </w:rPr>
        <w:t xml:space="preserve"> </w:t>
      </w:r>
      <w:hyperlink r:id="rId28">
        <w:r w:rsidR="00721C98">
          <w:rPr>
            <w:szCs w:val="24"/>
            <w:u w:val="single"/>
          </w:rPr>
          <w:t>Portal</w:t>
        </w:r>
      </w:hyperlink>
      <w:r>
        <w:rPr>
          <w:color w:val="000000"/>
        </w:rPr>
        <w:t xml:space="preserve"> but also actively publicised elsewhere to maximise participation), which will directly launch and manage the contest and award the prize based on the judgement of independent experts.</w:t>
      </w:r>
    </w:p>
    <w:p w14:paraId="19781A7E" w14:textId="77777777" w:rsidR="00721C98" w:rsidRDefault="00AE7B71">
      <w:r>
        <w:rPr>
          <w:u w:val="single"/>
        </w:rPr>
        <w:t>Form of Funding</w:t>
      </w:r>
      <w:r>
        <w:t>: Prizes</w:t>
      </w:r>
    </w:p>
    <w:p w14:paraId="2F9D212D" w14:textId="77777777" w:rsidR="00721C98" w:rsidRDefault="00AE7B71">
      <w:r>
        <w:rPr>
          <w:u w:val="single"/>
        </w:rPr>
        <w:t>Type of Action</w:t>
      </w:r>
      <w:r>
        <w:t>: Recognition Prize</w:t>
      </w:r>
    </w:p>
    <w:p w14:paraId="3A0E872D" w14:textId="77777777" w:rsidR="00721C98" w:rsidRDefault="00AE7B71">
      <w:r>
        <w:rPr>
          <w:u w:val="single"/>
        </w:rPr>
        <w:t>Indicative timetable</w:t>
      </w:r>
      <w:r>
        <w:t>: Q2 2027</w:t>
      </w:r>
    </w:p>
    <w:p w14:paraId="5A649C4B" w14:textId="77777777" w:rsidR="00721C98" w:rsidRDefault="00AE7B71">
      <w:r>
        <w:rPr>
          <w:u w:val="single"/>
        </w:rPr>
        <w:t>Indicative budget</w:t>
      </w:r>
      <w:r>
        <w:t>: EUR 0.40 million from the 2027 budget</w:t>
      </w:r>
    </w:p>
    <w:p w14:paraId="60CCC601" w14:textId="77777777" w:rsidR="00721C98" w:rsidRDefault="00AE7B71">
      <w:pPr>
        <w:pStyle w:val="HeadingOne"/>
        <w:pageBreakBefore/>
      </w:pPr>
      <w:r>
        <w:lastRenderedPageBreak/>
        <w:t>GRANTS TO IDENTIFIED BENEFICIARIES</w:t>
      </w:r>
    </w:p>
    <w:p w14:paraId="2AD50F9F" w14:textId="77777777" w:rsidR="00721C98" w:rsidRDefault="00AE7B71">
      <w:pPr>
        <w:pStyle w:val="HeadingThree"/>
      </w:pPr>
      <w:r>
        <w:t>1. Presidency conferences with a European regional dimension - WIRE 2028</w:t>
      </w:r>
    </w:p>
    <w:p w14:paraId="4AC518E2" w14:textId="77777777" w:rsidR="00721C98" w:rsidRDefault="00AE7B71">
      <w:r>
        <w:rPr>
          <w:color w:val="000000"/>
          <w:u w:val="single"/>
        </w:rPr>
        <w:t>Expected Outcome</w:t>
      </w:r>
      <w:r>
        <w:rPr>
          <w:color w:val="000000"/>
        </w:rPr>
        <w:t>: Organisation of a two-day conference (WIRE) in 2028, under one of the Presidencies of the Council of the EU. WIRE - The Week of Innovative Regions in Europe is the main European policy forum for innovation and regional development. The event will gather actors active in the innovation and education ecosystem with the aim of improving science-based competitiveness.</w:t>
      </w:r>
    </w:p>
    <w:p w14:paraId="065872F1" w14:textId="77777777" w:rsidR="00721C98" w:rsidRDefault="00AE7B71">
      <w:r>
        <w:rPr>
          <w:color w:val="000000"/>
          <w:u w:val="single"/>
        </w:rPr>
        <w:t>Expected Impact:</w:t>
      </w:r>
      <w:r>
        <w:rPr>
          <w:color w:val="000000"/>
        </w:rPr>
        <w:t xml:space="preserve"> By bringing together diverse stakeholders, including education and research organizations, startups, clusters, and policymakers, the conference will debate knowledge-based regional development and will offer potential solutions of streamlining resources aimed for this. The collaborative discussions are expected to advance regional development and improve the overall effectiveness of innovation across users and society at large.</w:t>
      </w:r>
    </w:p>
    <w:p w14:paraId="0A3E3D0E" w14:textId="77777777" w:rsidR="00721C98" w:rsidRDefault="00AE7B71">
      <w:r>
        <w:rPr>
          <w:color w:val="000000"/>
          <w:u w:val="single"/>
        </w:rPr>
        <w:t>Scope</w:t>
      </w:r>
      <w:r>
        <w:rPr>
          <w:color w:val="000000"/>
        </w:rPr>
        <w:t>: The event will focus on innovation and regional development, exploring trends, best practices, and future visions. It will serve as a key European policy forum for stakeholders involved in the R&amp;I ecosystem.</w:t>
      </w:r>
    </w:p>
    <w:p w14:paraId="10B8E9BA" w14:textId="77777777" w:rsidR="00721C98" w:rsidRDefault="00AE7B71">
      <w:r>
        <w:rPr>
          <w:color w:val="000000"/>
        </w:rPr>
        <w:t>The evaluation committee will be composed fully by representatives of EU institutions.</w:t>
      </w:r>
    </w:p>
    <w:p w14:paraId="20EB3B6C" w14:textId="77777777" w:rsidR="00721C98" w:rsidRDefault="00AE7B71">
      <w:r>
        <w:rPr>
          <w:color w:val="000000"/>
        </w:rPr>
        <w:t>This grant will be awarded without a call for proposals according to Article 198(e) of the Financial Regulation and Article 24(3)(b) of the Horizon Europe Regulation.</w:t>
      </w:r>
    </w:p>
    <w:p w14:paraId="7B535035" w14:textId="77777777" w:rsidR="00721C98" w:rsidRDefault="00AE7B71">
      <w:r>
        <w:rPr>
          <w:u w:val="single"/>
        </w:rPr>
        <w:t>Legal entities</w:t>
      </w:r>
      <w:r>
        <w:t xml:space="preserve">: </w:t>
      </w:r>
    </w:p>
    <w:p w14:paraId="46390760" w14:textId="77777777" w:rsidR="00721C98" w:rsidRDefault="00AE7B71">
      <w:r>
        <w:t>Responsible government department or ministry, or a government-owned legal entity of the incumbent Presidency of the Council, or a legal entity designated by the responsible government department.</w:t>
      </w:r>
    </w:p>
    <w:p w14:paraId="14DCCD1D" w14:textId="77777777" w:rsidR="00721C98" w:rsidRDefault="00AE7B71">
      <w:r>
        <w:rPr>
          <w:u w:val="single"/>
        </w:rPr>
        <w:t>Form of Funding</w:t>
      </w:r>
      <w:r>
        <w:t>: Grants not subject to calls for proposals</w:t>
      </w:r>
    </w:p>
    <w:p w14:paraId="75B57FD7" w14:textId="77777777" w:rsidR="00721C98" w:rsidRDefault="00AE7B71">
      <w:r>
        <w:rPr>
          <w:u w:val="single"/>
        </w:rPr>
        <w:t>Type of Action</w:t>
      </w:r>
      <w:r>
        <w:t>: Grant to identified beneficiary according to Financial Regulation Article 198(e) - Coordination and support action</w:t>
      </w:r>
    </w:p>
    <w:p w14:paraId="4EF63EAF" w14:textId="77777777" w:rsidR="00721C98" w:rsidRDefault="00AE7B71">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57CFA8D9" w14:textId="77777777" w:rsidR="00721C98" w:rsidRDefault="00AE7B71">
      <w:r>
        <w:rPr>
          <w:u w:val="single"/>
        </w:rPr>
        <w:t>Indicative timetable</w:t>
      </w:r>
      <w:r>
        <w:t>: Q4 2027</w:t>
      </w:r>
    </w:p>
    <w:p w14:paraId="548D6E8A" w14:textId="77777777" w:rsidR="00721C98" w:rsidRDefault="00AE7B71">
      <w:r>
        <w:rPr>
          <w:u w:val="single"/>
        </w:rPr>
        <w:t>Indicative budget</w:t>
      </w:r>
      <w:r>
        <w:t>: EUR 0.25 million from the 2027 budget</w:t>
      </w:r>
    </w:p>
    <w:p w14:paraId="50D67894" w14:textId="77777777" w:rsidR="00721C98" w:rsidRDefault="00AE7B71">
      <w:pPr>
        <w:pStyle w:val="HeadingThree"/>
      </w:pPr>
      <w:r>
        <w:lastRenderedPageBreak/>
        <w:t>2. Futures Hubs for the R&amp;I foresight community</w:t>
      </w:r>
    </w:p>
    <w:p w14:paraId="4EDC9471" w14:textId="77777777" w:rsidR="00721C98" w:rsidRDefault="00AE7B71">
      <w:r>
        <w:rPr>
          <w:color w:val="000000"/>
        </w:rPr>
        <w:t>This action takes place within the broader context of the Pact for R&amp;I in Europe, particularly the priority given to anticipatory policy-making. It supports the continued operation of the Futures4Europe platform and the further development of the EU-wide foresight community, inter alia by expanding its scope and adding dedicated thematic hubs. Stronger thematic and capacity-building elements will be included and delivery methods and media formats will be updated. Thematic “Futures Hubs” will be set up, i.e.</w:t>
      </w:r>
      <w:r>
        <w:rPr>
          <w:color w:val="000000"/>
        </w:rPr>
        <w:t>, online platforms to facilitate the interaction between the European R&amp;I foresight practitioners, policymakers, the scientific community, as well as citizens. Audiovisual and multi-media formats for foresight literacy and dissemination will be pioneered in these Futures Hubs to connect the foresight community with wider segments of society, especially young generations. By financing this additional capacity building in the R&amp;I foresight landscape, this action is expected to generate sufficient achievements</w:t>
      </w:r>
      <w:r>
        <w:rPr>
          <w:color w:val="000000"/>
        </w:rPr>
        <w:t xml:space="preserve"> and momentum for Member States and Associated Countries to increasingly support the resulting network and infrastructure.</w:t>
      </w:r>
    </w:p>
    <w:p w14:paraId="7F37823F" w14:textId="77777777" w:rsidR="00721C98" w:rsidRDefault="00AE7B71">
      <w:r>
        <w:rPr>
          <w:color w:val="000000"/>
        </w:rPr>
        <w:t>The action will deliver on the impact: “More resilient and future-proof R&amp;I policies and long-term strategies with effectively integrated strategic intelligence and strengthened foresight communities”. Project results are expected to contribute to the following expected outcomes:</w:t>
      </w:r>
    </w:p>
    <w:p w14:paraId="0F8CAADE" w14:textId="77777777" w:rsidR="00721C98" w:rsidRDefault="00AE7B71" w:rsidP="00AE7B71">
      <w:pPr>
        <w:pStyle w:val="ListParagraph"/>
        <w:numPr>
          <w:ilvl w:val="0"/>
          <w:numId w:val="93"/>
        </w:numPr>
      </w:pPr>
      <w:r>
        <w:rPr>
          <w:color w:val="000000"/>
        </w:rPr>
        <w:t>Strengthened cooperation, networking, capacities, and co-creation within the European foresight community (including through roadshows and virtual "Futures Hubs");</w:t>
      </w:r>
    </w:p>
    <w:p w14:paraId="2283C36B" w14:textId="77777777" w:rsidR="00721C98" w:rsidRDefault="00AE7B71" w:rsidP="00AE7B71">
      <w:pPr>
        <w:pStyle w:val="ListParagraph"/>
        <w:numPr>
          <w:ilvl w:val="0"/>
          <w:numId w:val="93"/>
        </w:numPr>
      </w:pPr>
      <w:r>
        <w:rPr>
          <w:color w:val="000000"/>
        </w:rPr>
        <w:t>Improved foresight literacy among policymakers, researchers, and citizens;</w:t>
      </w:r>
    </w:p>
    <w:p w14:paraId="33EC9F43" w14:textId="77777777" w:rsidR="00721C98" w:rsidRDefault="00AE7B71" w:rsidP="00AE7B71">
      <w:pPr>
        <w:pStyle w:val="ListParagraph"/>
        <w:numPr>
          <w:ilvl w:val="0"/>
          <w:numId w:val="93"/>
        </w:numPr>
      </w:pPr>
      <w:r>
        <w:rPr>
          <w:color w:val="000000"/>
        </w:rPr>
        <w:t>Increased awareness of foresight as a tool for education, policy, and careers, and increased engagement of younger generations;</w:t>
      </w:r>
    </w:p>
    <w:p w14:paraId="17A69A72" w14:textId="77777777" w:rsidR="00721C98" w:rsidRDefault="00AE7B71">
      <w:r>
        <w:rPr>
          <w:color w:val="000000"/>
        </w:rPr>
        <w:t>The applicant must demonstrate in their proposal a viable plan for achieving self-sustainability after the end of the grant agreement, with a clear description of a minimum set of activities that will be maintained by the consortium with own or other resources.</w:t>
      </w:r>
    </w:p>
    <w:p w14:paraId="6D7FB75E" w14:textId="77777777" w:rsidR="00721C98" w:rsidRDefault="00AE7B71">
      <w:r>
        <w:rPr>
          <w:color w:val="000000"/>
        </w:rPr>
        <w:t>The consortium, coordinated by the Executive Agency for Higher Education, Research, Development and Innovation Funding (UEFISCDI), has already the necessary technical and organisational capacity to ensure the required continuity of the foresight platform and network. It demonstrated its ability to deliver outcomes effectively and efficiently while collaborating closely with the European Commission</w:t>
      </w:r>
      <w:r>
        <w:rPr>
          <w:vertAlign w:val="superscript"/>
        </w:rPr>
        <w:footnoteReference w:id="117"/>
      </w:r>
      <w:r>
        <w:rPr>
          <w:color w:val="000000"/>
        </w:rPr>
        <w:t>.</w:t>
      </w:r>
    </w:p>
    <w:p w14:paraId="57AA7494" w14:textId="77777777" w:rsidR="00721C98" w:rsidRDefault="00AE7B71">
      <w:r>
        <w:rPr>
          <w:color w:val="000000"/>
        </w:rPr>
        <w:t>The Joint Research Centre may participate as an associated partner, providing feedback on the platform upgrade specifications, promoting the platform among various stakeholders, and participating in the Mutual Learning Events related to R&amp;I foresight.</w:t>
      </w:r>
    </w:p>
    <w:p w14:paraId="41472D1A" w14:textId="77777777" w:rsidR="00721C98" w:rsidRDefault="00AE7B71">
      <w:r>
        <w:rPr>
          <w:color w:val="000000"/>
        </w:rPr>
        <w:t>The evaluation committee will be composed fully by representatives of EU institutions.</w:t>
      </w:r>
    </w:p>
    <w:p w14:paraId="629A2864" w14:textId="77777777" w:rsidR="00721C98" w:rsidRDefault="00AE7B71">
      <w:r>
        <w:rPr>
          <w:color w:val="000000"/>
        </w:rPr>
        <w:t>This grant will be awarded without a call for proposals according to Article 198(e) of the Financial Regulation and Article 24(3)(b) of the Horizon Europe Regulation.</w:t>
      </w:r>
    </w:p>
    <w:p w14:paraId="4F0C7E63" w14:textId="77777777" w:rsidR="00721C98" w:rsidRPr="00DB4111" w:rsidRDefault="00AE7B71">
      <w:pPr>
        <w:rPr>
          <w:lang w:val="it-IT"/>
        </w:rPr>
      </w:pPr>
      <w:r w:rsidRPr="00DB4111">
        <w:rPr>
          <w:u w:val="single"/>
          <w:lang w:val="it-IT"/>
        </w:rPr>
        <w:lastRenderedPageBreak/>
        <w:t xml:space="preserve">Legal </w:t>
      </w:r>
      <w:r w:rsidRPr="00DB4111">
        <w:rPr>
          <w:u w:val="single"/>
          <w:lang w:val="it-IT"/>
        </w:rPr>
        <w:t>entities</w:t>
      </w:r>
      <w:r w:rsidRPr="00DB4111">
        <w:rPr>
          <w:lang w:val="it-IT"/>
        </w:rPr>
        <w:t xml:space="preserve">: </w:t>
      </w:r>
    </w:p>
    <w:p w14:paraId="2D5971AF" w14:textId="77777777" w:rsidR="00721C98" w:rsidRPr="00DB4111" w:rsidRDefault="00AE7B71">
      <w:pPr>
        <w:rPr>
          <w:lang w:val="it-IT"/>
        </w:rPr>
      </w:pPr>
      <w:r w:rsidRPr="00DB4111">
        <w:rPr>
          <w:lang w:val="it-IT"/>
        </w:rPr>
        <w:t>Unitatea Executiva pentru Finantarea Invatamantului Superior, a Cercetarii, Dezvoltarii si Inovarii (Coordinator), Str D. I. Mendeleev 21-25, Bucuresti 010362, Romania</w:t>
      </w:r>
    </w:p>
    <w:p w14:paraId="5B6B189F" w14:textId="77777777" w:rsidR="00721C98" w:rsidRPr="00DB4111" w:rsidRDefault="00AE7B71">
      <w:pPr>
        <w:rPr>
          <w:lang w:val="it-IT"/>
        </w:rPr>
      </w:pPr>
      <w:r w:rsidRPr="00DB4111">
        <w:rPr>
          <w:lang w:val="it-IT"/>
        </w:rPr>
        <w:t>AIT Austrian Institute of Technology GmbH, Giefinggasse 4, Wien 1210, Austria</w:t>
      </w:r>
    </w:p>
    <w:p w14:paraId="369C61A1" w14:textId="77777777" w:rsidR="00721C98" w:rsidRPr="00DB4111" w:rsidRDefault="00AE7B71">
      <w:pPr>
        <w:rPr>
          <w:lang w:val="it-IT"/>
        </w:rPr>
      </w:pPr>
      <w:r w:rsidRPr="00DB4111">
        <w:rPr>
          <w:lang w:val="it-IT"/>
        </w:rPr>
        <w:t>Fraunhofer-Gesellschaft zur Förderung der angewandten Forschung EV, Hansastraße 27C, München 80686, Germany</w:t>
      </w:r>
    </w:p>
    <w:p w14:paraId="285A3D79" w14:textId="77777777" w:rsidR="00721C98" w:rsidRPr="00DB4111" w:rsidRDefault="00AE7B71">
      <w:pPr>
        <w:rPr>
          <w:lang w:val="it-IT"/>
        </w:rPr>
      </w:pPr>
      <w:r w:rsidRPr="00DB4111">
        <w:rPr>
          <w:lang w:val="it-IT"/>
        </w:rPr>
        <w:t>Turun yliopisto, Yliopistonmäki, Turku 20014, Finland</w:t>
      </w:r>
    </w:p>
    <w:p w14:paraId="28F51896" w14:textId="77777777" w:rsidR="00721C98" w:rsidRPr="00DB4111" w:rsidRDefault="00AE7B71">
      <w:pPr>
        <w:rPr>
          <w:lang w:val="it-IT"/>
        </w:rPr>
      </w:pPr>
      <w:r w:rsidRPr="00DB4111">
        <w:rPr>
          <w:lang w:val="it-IT"/>
        </w:rPr>
        <w:t>VDI/VDE Innovation + Technik GmbH, Steinplatz 1, Berlin 10623, Germany</w:t>
      </w:r>
    </w:p>
    <w:p w14:paraId="5DBCECDC" w14:textId="77777777" w:rsidR="00721C98" w:rsidRPr="00DB4111" w:rsidRDefault="00AE7B71">
      <w:pPr>
        <w:rPr>
          <w:lang w:val="it-IT"/>
        </w:rPr>
      </w:pPr>
      <w:r w:rsidRPr="00DB4111">
        <w:rPr>
          <w:lang w:val="it-IT"/>
        </w:rPr>
        <w:t xml:space="preserve">Deutsches Zentrum für </w:t>
      </w:r>
      <w:r w:rsidRPr="00DB4111">
        <w:rPr>
          <w:lang w:val="it-IT"/>
        </w:rPr>
        <w:t>Luft- und Raumfahrt EV, Linder Höhe, Köln 51147, Germany</w:t>
      </w:r>
    </w:p>
    <w:p w14:paraId="33D7A0DE" w14:textId="77777777" w:rsidR="00721C98" w:rsidRPr="00DB4111" w:rsidRDefault="00AE7B71">
      <w:pPr>
        <w:rPr>
          <w:lang w:val="it-IT"/>
        </w:rPr>
      </w:pPr>
      <w:r w:rsidRPr="00DB4111">
        <w:rPr>
          <w:lang w:val="it-IT"/>
        </w:rPr>
        <w:t>Fundação para a Ciência e a Tecnologia, Avenida D Carlos I 126, Lisboa 1249 074, Portugal</w:t>
      </w:r>
    </w:p>
    <w:p w14:paraId="72434288" w14:textId="77777777" w:rsidR="00721C98" w:rsidRPr="00DB4111" w:rsidRDefault="00AE7B71">
      <w:pPr>
        <w:rPr>
          <w:lang w:val="it-IT"/>
        </w:rPr>
      </w:pPr>
      <w:r w:rsidRPr="00DB4111">
        <w:rPr>
          <w:lang w:val="it-IT"/>
        </w:rPr>
        <w:t xml:space="preserve">Consiglio Nazionale delle Ricerche, Piazzale Aldo Moro 7, Roma 00185, Italy </w:t>
      </w:r>
    </w:p>
    <w:p w14:paraId="195C4C1A" w14:textId="77777777" w:rsidR="00721C98" w:rsidRPr="00DB4111" w:rsidRDefault="00AE7B71">
      <w:pPr>
        <w:rPr>
          <w:lang w:val="it-IT"/>
        </w:rPr>
      </w:pPr>
      <w:r w:rsidRPr="00DB4111">
        <w:rPr>
          <w:lang w:val="it-IT"/>
        </w:rPr>
        <w:t>Technologické centrum Praha z.s.p.o., Ve Struhách 1076/27, Praha 160 00, Czechia</w:t>
      </w:r>
    </w:p>
    <w:p w14:paraId="04E03C1E" w14:textId="77777777" w:rsidR="00721C98" w:rsidRPr="00DB4111" w:rsidRDefault="00AE7B71">
      <w:pPr>
        <w:rPr>
          <w:lang w:val="it-IT"/>
        </w:rPr>
      </w:pPr>
      <w:r w:rsidRPr="00DB4111">
        <w:rPr>
          <w:lang w:val="it-IT"/>
        </w:rPr>
        <w:t>Agenția Națională pentru Cercetare și Dezvoltare, 1001 OFF, 180 Ștefan cel Mare bvld, Chișinău 2004, Moldova</w:t>
      </w:r>
    </w:p>
    <w:p w14:paraId="296F06FE" w14:textId="77777777" w:rsidR="00721C98" w:rsidRPr="00DB4111" w:rsidRDefault="00AE7B71">
      <w:pPr>
        <w:rPr>
          <w:lang w:val="it-IT"/>
        </w:rPr>
      </w:pPr>
      <w:r w:rsidRPr="00DB4111">
        <w:rPr>
          <w:lang w:val="it-IT"/>
        </w:rPr>
        <w:t>Úrad vlády Slovenskej republiky, Námestie slobody 1, Bratislava 813 70, Slovakia</w:t>
      </w:r>
    </w:p>
    <w:p w14:paraId="236C0BAD" w14:textId="77777777" w:rsidR="00721C98" w:rsidRPr="00DB4111" w:rsidRDefault="00AE7B71">
      <w:pPr>
        <w:rPr>
          <w:lang w:val="es-ES"/>
        </w:rPr>
      </w:pPr>
      <w:r w:rsidRPr="00DB4111">
        <w:rPr>
          <w:lang w:val="es-ES"/>
        </w:rPr>
        <w:t>Institutul</w:t>
      </w:r>
      <w:r w:rsidRPr="00DB4111">
        <w:rPr>
          <w:lang w:val="es-ES"/>
        </w:rPr>
        <w:t xml:space="preserve"> de Prospectiva, Aleea Sălaj 6, Sector 5, București 051907, Romania</w:t>
      </w:r>
    </w:p>
    <w:p w14:paraId="0308B7AE" w14:textId="77777777" w:rsidR="00721C98" w:rsidRPr="00DB4111" w:rsidRDefault="00AE7B71">
      <w:pPr>
        <w:rPr>
          <w:lang w:val="fr-BE"/>
        </w:rPr>
      </w:pPr>
      <w:r w:rsidRPr="00DB4111">
        <w:rPr>
          <w:lang w:val="fr-BE"/>
        </w:rPr>
        <w:t>Institut national de recherche pour l’agriculture, l’alimentation et l’environnement, Rue de l'Université, Paris Cedex 07 75007, France</w:t>
      </w:r>
    </w:p>
    <w:p w14:paraId="007B3ACC" w14:textId="77777777" w:rsidR="00721C98" w:rsidRPr="00DB4111" w:rsidRDefault="00AE7B71">
      <w:pPr>
        <w:rPr>
          <w:lang w:val="it-IT"/>
        </w:rPr>
      </w:pPr>
      <w:r w:rsidRPr="00DB4111">
        <w:rPr>
          <w:lang w:val="it-IT"/>
        </w:rPr>
        <w:t>S. Mantzanakis Kai Sia O.E, Megali Sterna Agros, Cherso 61002, Greece</w:t>
      </w:r>
    </w:p>
    <w:p w14:paraId="128B5A83" w14:textId="77777777" w:rsidR="00721C98" w:rsidRPr="00DB4111" w:rsidRDefault="00AE7B71">
      <w:pPr>
        <w:rPr>
          <w:lang w:val="es-ES"/>
        </w:rPr>
      </w:pPr>
      <w:r w:rsidRPr="00DB4111">
        <w:rPr>
          <w:lang w:val="es-ES"/>
        </w:rPr>
        <w:t>Insight Foresight Institute SL, Avenida Concha Espina 8 1 Derecha, Madrid 28036, Spain</w:t>
      </w:r>
    </w:p>
    <w:p w14:paraId="071C191F" w14:textId="77777777" w:rsidR="00721C98" w:rsidRPr="00DB4111" w:rsidRDefault="00AE7B71">
      <w:pPr>
        <w:rPr>
          <w:lang w:val="fr-BE"/>
        </w:rPr>
      </w:pPr>
      <w:r w:rsidRPr="00DB4111">
        <w:rPr>
          <w:lang w:val="fr-BE"/>
        </w:rPr>
        <w:t>ARCTIK SRL, Avenue de Broqueville 12, Woluwe-Saint-Pierre 1150, Belgium</w:t>
      </w:r>
    </w:p>
    <w:p w14:paraId="5BFC7031" w14:textId="77777777" w:rsidR="00721C98" w:rsidRPr="00DB4111" w:rsidRDefault="00AE7B71">
      <w:pPr>
        <w:rPr>
          <w:lang w:val="fr-BE"/>
        </w:rPr>
      </w:pPr>
      <w:r w:rsidRPr="00DB4111">
        <w:rPr>
          <w:lang w:val="fr-BE"/>
        </w:rPr>
        <w:t>Közgazdaság- és Regionális Tudományi Kutatóközpont, Tóth Kálmán utca</w:t>
      </w:r>
      <w:r w:rsidRPr="00DB4111">
        <w:rPr>
          <w:lang w:val="fr-BE"/>
        </w:rPr>
        <w:t xml:space="preserve"> 4, Budapest 1097, Hungary</w:t>
      </w:r>
    </w:p>
    <w:p w14:paraId="7E68E118" w14:textId="77777777" w:rsidR="00721C98" w:rsidRPr="00DB4111" w:rsidRDefault="00AE7B71">
      <w:pPr>
        <w:rPr>
          <w:lang w:val="fr-BE"/>
        </w:rPr>
      </w:pPr>
      <w:r w:rsidRPr="00DB4111">
        <w:rPr>
          <w:lang w:val="fr-BE"/>
        </w:rPr>
        <w:t>Mission Publiques, 35 rue du Sentier, 75002 Paris, France</w:t>
      </w:r>
    </w:p>
    <w:p w14:paraId="18904B36" w14:textId="77777777" w:rsidR="00721C98" w:rsidRDefault="00AE7B71">
      <w:r>
        <w:t>Verket för innovationssystem (Vinnova), Mäster Samuelsgatan 56, 101 58 Stockholm, Sweden</w:t>
      </w:r>
    </w:p>
    <w:p w14:paraId="72A202E6" w14:textId="77777777" w:rsidR="00721C98" w:rsidRPr="00DB4111" w:rsidRDefault="00AE7B71">
      <w:pPr>
        <w:rPr>
          <w:lang w:val="fr-BE"/>
        </w:rPr>
      </w:pPr>
      <w:r w:rsidRPr="00DB4111">
        <w:rPr>
          <w:lang w:val="fr-BE"/>
        </w:rPr>
        <w:t>Innoviris (L’Institut Bruxellois pour la Recherche et l’Innovation), Chaussée de Charleroi 112, 1060 Brussels, Belgium</w:t>
      </w:r>
    </w:p>
    <w:p w14:paraId="4C5618CE" w14:textId="77777777" w:rsidR="00721C98" w:rsidRDefault="00AE7B71">
      <w:r>
        <w:t>Arenguseire Keskus (Foresight Centre of the Estonian Parliament), Lossi plats 1a, 15165 Tallinn, Estonia</w:t>
      </w:r>
    </w:p>
    <w:p w14:paraId="1E027C5E" w14:textId="77777777" w:rsidR="00721C98" w:rsidRDefault="00AE7B71">
      <w:r>
        <w:lastRenderedPageBreak/>
        <w:t>Copenhagen Institute for Futures Studies, BLOXHUB, Bryghuspladsen 8, 3rd floor, DK 1473 Copenhagen, Denmark</w:t>
      </w:r>
    </w:p>
    <w:p w14:paraId="6069DA58" w14:textId="77777777" w:rsidR="00721C98" w:rsidRDefault="00AE7B71">
      <w:r>
        <w:t>Rathenau Instituut , Anna van Saksenlaan 51, 2593 HW Den Haag, Netherlands</w:t>
      </w:r>
    </w:p>
    <w:p w14:paraId="57EA44A6" w14:textId="77777777" w:rsidR="00721C98" w:rsidRDefault="00AE7B71">
      <w:r>
        <w:t>4CF Sp. z o.o, Pl. Trzech Krzyży 10/14, Warsaw, Poland</w:t>
      </w:r>
    </w:p>
    <w:p w14:paraId="5158769C" w14:textId="77777777" w:rsidR="00721C98" w:rsidRPr="00DB4111" w:rsidRDefault="00AE7B71">
      <w:pPr>
        <w:rPr>
          <w:lang w:val="es-ES"/>
        </w:rPr>
      </w:pPr>
      <w:r w:rsidRPr="00DB4111">
        <w:rPr>
          <w:lang w:val="es-ES"/>
        </w:rPr>
        <w:t>Oficina Nacional de Prospectiva y Estrategia, Complejo de la Moncloa, Madrid 28071, Spain</w:t>
      </w:r>
    </w:p>
    <w:p w14:paraId="49CB2480" w14:textId="77777777" w:rsidR="00721C98" w:rsidRPr="00DB4111" w:rsidRDefault="00AE7B71">
      <w:pPr>
        <w:rPr>
          <w:lang w:val="it-IT"/>
        </w:rPr>
      </w:pPr>
      <w:r w:rsidRPr="00DB4111">
        <w:rPr>
          <w:lang w:val="it-IT"/>
        </w:rPr>
        <w:t>Istituto di studi per l’Integrazione dei Sistemi (ISINNOVA), Via Sistina 42, 00187 Rome, Italy</w:t>
      </w:r>
    </w:p>
    <w:p w14:paraId="11441693" w14:textId="77777777" w:rsidR="00721C98" w:rsidRDefault="00AE7B71">
      <w:r>
        <w:rPr>
          <w:u w:val="single"/>
        </w:rPr>
        <w:t>Form of Funding</w:t>
      </w:r>
      <w:r>
        <w:t>: Grants not subject to calls for proposals</w:t>
      </w:r>
    </w:p>
    <w:p w14:paraId="7C22B13B" w14:textId="77777777" w:rsidR="00721C98" w:rsidRDefault="00AE7B71">
      <w:r>
        <w:rPr>
          <w:u w:val="single"/>
        </w:rPr>
        <w:t>Type of Action</w:t>
      </w:r>
      <w:r>
        <w:t>: Grant to identified beneficiary according to Financial Regulation Article 198(e) - Coordination and support action</w:t>
      </w:r>
    </w:p>
    <w:p w14:paraId="59F62E9A" w14:textId="77777777" w:rsidR="00721C98" w:rsidRDefault="00AE7B71">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5466A1AF" w14:textId="77777777" w:rsidR="00721C98" w:rsidRDefault="00AE7B71">
      <w:r>
        <w:rPr>
          <w:u w:val="single"/>
        </w:rPr>
        <w:t>Indicative timetable</w:t>
      </w:r>
      <w:r>
        <w:t>: Q4 2026</w:t>
      </w:r>
    </w:p>
    <w:p w14:paraId="0055AB51" w14:textId="77777777" w:rsidR="00721C98" w:rsidRDefault="00AE7B71">
      <w:r>
        <w:rPr>
          <w:u w:val="single"/>
        </w:rPr>
        <w:t>Indicative budget</w:t>
      </w:r>
      <w:r>
        <w:t>: EUR 1.50 million from the 2026 budget</w:t>
      </w:r>
    </w:p>
    <w:p w14:paraId="7199F5C0" w14:textId="77777777" w:rsidR="00721C98" w:rsidRDefault="00AE7B71">
      <w:pPr>
        <w:pStyle w:val="HeadingThree"/>
      </w:pPr>
      <w:r>
        <w:t>3. Promotion and valorisation of the ERA Policy Agenda results and related activities</w:t>
      </w:r>
    </w:p>
    <w:p w14:paraId="3A75B0DA" w14:textId="77777777" w:rsidR="00721C98" w:rsidRDefault="00AE7B71">
      <w:r>
        <w:rPr>
          <w:color w:val="000000"/>
        </w:rPr>
        <w:t xml:space="preserve">The implementation of the activities of the ERA Policy Agendas and related ERA policies are supported with a range of actions under Horizon Europe, and in particular, the WIDERA work programme. Many of these actions will produce results that require a broad uptake by Member States, Associated Countries, and their stakeholders. In addition, the </w:t>
      </w:r>
      <w:hyperlink r:id="rId29">
        <w:r w:rsidR="00721C98">
          <w:rPr>
            <w:szCs w:val="24"/>
            <w:u w:val="single"/>
          </w:rPr>
          <w:t>ERA Forum</w:t>
        </w:r>
      </w:hyperlink>
      <w:r>
        <w:rPr>
          <w:color w:val="000000"/>
        </w:rPr>
        <w:t xml:space="preserve"> (Commission expert group) and its subgroups are supporting the implementation and coordination of ERA activities. This action will support these efforts by widely disseminating results at national and regional level, facilitating their use, tailoring them to the needs of different communities, and continuing to build a community of practitioners that supports mutual learning and exchange.</w:t>
      </w:r>
    </w:p>
    <w:p w14:paraId="500E64D9" w14:textId="77777777" w:rsidR="00721C98" w:rsidRDefault="00AE7B71">
      <w:r>
        <w:rPr>
          <w:color w:val="000000"/>
        </w:rPr>
        <w:t>The implementation and valorisation of the ERA activities will deliver on the impact of “Sustainable ecosystems established around ERA priorities by enhancing cooperation, coordination and alignment”. Project results are expected to contribute to the following expected outcomes:</w:t>
      </w:r>
    </w:p>
    <w:p w14:paraId="533FC7E0" w14:textId="77777777" w:rsidR="00721C98" w:rsidRDefault="00AE7B71" w:rsidP="00AE7B71">
      <w:pPr>
        <w:pStyle w:val="ListParagraph"/>
        <w:numPr>
          <w:ilvl w:val="0"/>
          <w:numId w:val="94"/>
        </w:numPr>
      </w:pPr>
      <w:r>
        <w:rPr>
          <w:color w:val="000000"/>
        </w:rPr>
        <w:t>An engaged and interconnected community of R&amp;I practitioners and stakeholders, in particular at national and regional level, aware of the opportunities in the ERA and the activities of the ERA policy agendas;</w:t>
      </w:r>
    </w:p>
    <w:p w14:paraId="50E3BD8E" w14:textId="77777777" w:rsidR="00721C98" w:rsidRDefault="00AE7B71" w:rsidP="00AE7B71">
      <w:pPr>
        <w:pStyle w:val="ListParagraph"/>
        <w:numPr>
          <w:ilvl w:val="0"/>
          <w:numId w:val="94"/>
        </w:numPr>
      </w:pPr>
      <w:r>
        <w:rPr>
          <w:color w:val="000000"/>
        </w:rPr>
        <w:t>Increased visibility of the ERA at national level with results of the ERA Policy Agenda activities being taken up across Member States and Associated Countries;</w:t>
      </w:r>
    </w:p>
    <w:p w14:paraId="4BEBE0FA" w14:textId="77777777" w:rsidR="00721C98" w:rsidRDefault="00AE7B71" w:rsidP="00AE7B71">
      <w:pPr>
        <w:pStyle w:val="ListParagraph"/>
        <w:numPr>
          <w:ilvl w:val="0"/>
          <w:numId w:val="94"/>
        </w:numPr>
      </w:pPr>
      <w:r>
        <w:rPr>
          <w:color w:val="000000"/>
        </w:rPr>
        <w:lastRenderedPageBreak/>
        <w:t>Effective coordination and sharing of information across Member States, Associated Countries, and stakeholders through suitable formats, such as mutual learning from their implementation of the ERA policy agenda activities;</w:t>
      </w:r>
    </w:p>
    <w:p w14:paraId="3322C258" w14:textId="77777777" w:rsidR="00721C98" w:rsidRDefault="00AE7B71" w:rsidP="00AE7B71">
      <w:pPr>
        <w:pStyle w:val="ListParagraph"/>
        <w:numPr>
          <w:ilvl w:val="0"/>
          <w:numId w:val="94"/>
        </w:numPr>
      </w:pPr>
      <w:r>
        <w:rPr>
          <w:color w:val="000000"/>
        </w:rPr>
        <w:t xml:space="preserve">A coherent approach to communication on the ERA as a recognisable and lasting concept by contributing to the </w:t>
      </w:r>
      <w:hyperlink r:id="rId30">
        <w:r w:rsidR="00721C98">
          <w:rPr>
            <w:szCs w:val="24"/>
            <w:u w:val="single"/>
          </w:rPr>
          <w:t>ERA Policy Platform</w:t>
        </w:r>
      </w:hyperlink>
      <w:r>
        <w:rPr>
          <w:color w:val="000000"/>
        </w:rPr>
        <w:t xml:space="preserve"> as the centralised access point for information and its visual identity;</w:t>
      </w:r>
    </w:p>
    <w:p w14:paraId="5786768B" w14:textId="77777777" w:rsidR="00721C98" w:rsidRDefault="00AE7B71" w:rsidP="00AE7B71">
      <w:pPr>
        <w:pStyle w:val="ListParagraph"/>
        <w:numPr>
          <w:ilvl w:val="0"/>
          <w:numId w:val="94"/>
        </w:numPr>
      </w:pPr>
      <w:r>
        <w:rPr>
          <w:color w:val="000000"/>
        </w:rPr>
        <w:t>Improved availability and access to policy feedback from the ERA community and R&amp;I practitioners on the implementation of the ERA Policy Agendas and related activities.</w:t>
      </w:r>
    </w:p>
    <w:p w14:paraId="5C7EA4C3" w14:textId="77777777" w:rsidR="00721C98" w:rsidRDefault="00AE7B71">
      <w:r>
        <w:rPr>
          <w:color w:val="000000"/>
        </w:rPr>
        <w:t>In order to support the achievement of the ERA objectives across the EU, the applicant needs to demonstrate that it covers the Member States in a geographically comprehensive way, as well as the capacity to provide or access expertise related to all relevant ERA activities.</w:t>
      </w:r>
    </w:p>
    <w:p w14:paraId="0183A6C2" w14:textId="77777777" w:rsidR="00721C98" w:rsidRDefault="00AE7B71">
      <w:r>
        <w:rPr>
          <w:color w:val="000000"/>
        </w:rPr>
        <w:t>Annual work plans should be submitted and agreed with the granting authority, at the latest in month 2 for Year 1, month 14 for Year 2, and month 26 for Year 3.</w:t>
      </w:r>
    </w:p>
    <w:p w14:paraId="32A112C1" w14:textId="77777777" w:rsidR="00721C98" w:rsidRDefault="00AE7B71">
      <w:r>
        <w:rPr>
          <w:color w:val="000000"/>
        </w:rPr>
        <w:t>The consortium, coordinated by the German Aerospace Centre, has already the necessary technical and organisational capacity to ensure the required continuity of the community of practitioners and support activities. It has demonstrated its ability to deliver outcomes effectively and efficiently while collaborating closely with the European Commission</w:t>
      </w:r>
      <w:r>
        <w:rPr>
          <w:vertAlign w:val="superscript"/>
        </w:rPr>
        <w:footnoteReference w:id="118"/>
      </w:r>
      <w:r>
        <w:rPr>
          <w:color w:val="000000"/>
        </w:rPr>
        <w:t>.</w:t>
      </w:r>
    </w:p>
    <w:p w14:paraId="68594B61" w14:textId="77777777" w:rsidR="00721C98" w:rsidRDefault="00AE7B71">
      <w:r>
        <w:rPr>
          <w:color w:val="000000"/>
        </w:rPr>
        <w:t>The evaluation committee will be composed fully by representatives of EU institutions.</w:t>
      </w:r>
    </w:p>
    <w:p w14:paraId="44ADC8B4" w14:textId="77777777" w:rsidR="00721C98" w:rsidRDefault="00AE7B71">
      <w:r>
        <w:rPr>
          <w:color w:val="000000"/>
        </w:rPr>
        <w:t>This grant will be awarded without a call for proposals according to Article 198(e) of the Financial Regulation and Article 24(3)(b) of the Horizon Europe Regulation.</w:t>
      </w:r>
    </w:p>
    <w:p w14:paraId="59F9784E" w14:textId="77777777" w:rsidR="00721C98" w:rsidRDefault="00AE7B71">
      <w:r>
        <w:rPr>
          <w:u w:val="single"/>
        </w:rPr>
        <w:t>Legal entities</w:t>
      </w:r>
      <w:r>
        <w:t xml:space="preserve">: </w:t>
      </w:r>
    </w:p>
    <w:p w14:paraId="52893D26" w14:textId="77777777" w:rsidR="00721C98" w:rsidRDefault="00AE7B71">
      <w:r>
        <w:t>Deutsches Zentrum für Luft- und Raumfahrt EV (Coordinator), Linder Höhe, Köln 51147, Germany</w:t>
      </w:r>
    </w:p>
    <w:p w14:paraId="75FBBB76" w14:textId="77777777" w:rsidR="00721C98" w:rsidRDefault="00AE7B71">
      <w:r>
        <w:t>VETENSKAP &amp; ALLMANHET, Grev Turegatan 14, Stockholm 114 46, Sweden</w:t>
      </w:r>
    </w:p>
    <w:p w14:paraId="555383D8" w14:textId="77777777" w:rsidR="00721C98" w:rsidRDefault="00AE7B71">
      <w:r>
        <w:t>Centrum vedecko-technických informácií Slovenskej republiky, Lamačská cesta 8A, Bratislava 811 04, Slovakia</w:t>
      </w:r>
    </w:p>
    <w:p w14:paraId="7FF5D78C" w14:textId="77777777" w:rsidR="00721C98" w:rsidRPr="00DB4111" w:rsidRDefault="00AE7B71">
      <w:pPr>
        <w:rPr>
          <w:lang w:val="it-IT"/>
        </w:rPr>
      </w:pPr>
      <w:r w:rsidRPr="00DB4111">
        <w:rPr>
          <w:lang w:val="it-IT"/>
        </w:rPr>
        <w:t>Narodowe Centrum Badań i Rozwoju, Ul. Chmielna 69, Warszawa</w:t>
      </w:r>
      <w:r w:rsidRPr="00DB4111">
        <w:rPr>
          <w:lang w:val="it-IT"/>
        </w:rPr>
        <w:t xml:space="preserve"> 00-801, Poland</w:t>
      </w:r>
    </w:p>
    <w:p w14:paraId="155B0D26" w14:textId="77777777" w:rsidR="00721C98" w:rsidRPr="00DB4111" w:rsidRDefault="00AE7B71">
      <w:pPr>
        <w:rPr>
          <w:lang w:val="it-IT"/>
        </w:rPr>
      </w:pPr>
      <w:r w:rsidRPr="00DB4111">
        <w:rPr>
          <w:lang w:val="it-IT"/>
        </w:rPr>
        <w:t>Österreichische Forschungsförderungsgesellschaft mbH, Sensengasse 1, Wien 1090, Austria</w:t>
      </w:r>
    </w:p>
    <w:p w14:paraId="611424DF" w14:textId="77777777" w:rsidR="00721C98" w:rsidRPr="00DB4111" w:rsidRDefault="00AE7B71">
      <w:pPr>
        <w:rPr>
          <w:lang w:val="it-IT"/>
        </w:rPr>
      </w:pPr>
      <w:r w:rsidRPr="00DB4111">
        <w:rPr>
          <w:lang w:val="it-IT"/>
        </w:rPr>
        <w:t>Lietuvos mokslo taryba, Gedimino 3, Vilnius LT-01103, Lithuania</w:t>
      </w:r>
    </w:p>
    <w:p w14:paraId="5CD77672" w14:textId="77777777" w:rsidR="00721C98" w:rsidRDefault="00AE7B71">
      <w:r>
        <w:rPr>
          <w:u w:val="single"/>
        </w:rPr>
        <w:t>Form of Funding</w:t>
      </w:r>
      <w:r>
        <w:t>: Grants not subject to calls for proposals</w:t>
      </w:r>
    </w:p>
    <w:p w14:paraId="50E7E1C8" w14:textId="77777777" w:rsidR="00721C98" w:rsidRDefault="00AE7B71">
      <w:r>
        <w:rPr>
          <w:u w:val="single"/>
        </w:rPr>
        <w:t>Type of Action</w:t>
      </w:r>
      <w:r>
        <w:t>: Grant to identified beneficiary according to Financial Regulation Article 198(e) - Coordination and support action</w:t>
      </w:r>
    </w:p>
    <w:p w14:paraId="6ACDA4D9" w14:textId="77777777" w:rsidR="00721C98" w:rsidRDefault="00AE7B71">
      <w:r>
        <w:rPr>
          <w:color w:val="000000"/>
        </w:rPr>
        <w:lastRenderedPageBreak/>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6E3A07F3" w14:textId="77777777" w:rsidR="00721C98" w:rsidRDefault="00AE7B71">
      <w:r>
        <w:rPr>
          <w:u w:val="single"/>
        </w:rPr>
        <w:t>Indicative timetable</w:t>
      </w:r>
      <w:r>
        <w:t>: Q3 2026</w:t>
      </w:r>
    </w:p>
    <w:p w14:paraId="434FDD81" w14:textId="77777777" w:rsidR="00721C98" w:rsidRDefault="00AE7B71">
      <w:r>
        <w:rPr>
          <w:u w:val="single"/>
        </w:rPr>
        <w:t>Indicative budget</w:t>
      </w:r>
      <w:r>
        <w:t>: EUR 3.00 million from the 2026 budget</w:t>
      </w:r>
    </w:p>
    <w:p w14:paraId="69F16AD0" w14:textId="77777777" w:rsidR="00721C98" w:rsidRDefault="00AE7B71">
      <w:pPr>
        <w:pStyle w:val="HeadingThree"/>
      </w:pPr>
      <w:r>
        <w:t>4. Advancing operational excellence of EURAXESS</w:t>
      </w:r>
    </w:p>
    <w:p w14:paraId="6D9B9C4E" w14:textId="77777777" w:rsidR="00721C98" w:rsidRDefault="00AE7B71">
      <w:r>
        <w:rPr>
          <w:color w:val="000000"/>
        </w:rPr>
        <w:t xml:space="preserve">This action will transform </w:t>
      </w:r>
      <w:hyperlink r:id="rId31">
        <w:r w:rsidR="00721C98">
          <w:rPr>
            <w:szCs w:val="24"/>
            <w:u w:val="single"/>
          </w:rPr>
          <w:t>EURAXESS</w:t>
        </w:r>
      </w:hyperlink>
      <w:r>
        <w:rPr>
          <w:color w:val="000000"/>
        </w:rPr>
        <w:t>, an EU initiative that provides researchers with information and services on jobs, funding, and mobility across Europe and beyond, making it more efficient, responsive, and digitally connected. By streamlining internal processes and strengthening collaboration among network members, EURAXESS will be better equipped to support research professionals and organisations.</w:t>
      </w:r>
    </w:p>
    <w:p w14:paraId="05C84803" w14:textId="77777777" w:rsidR="00721C98" w:rsidRDefault="00AE7B71">
      <w:r>
        <w:rPr>
          <w:color w:val="000000"/>
        </w:rPr>
        <w:t>At least one-third of the financial resources will be directed towards new elements, including new governance and operational models, which should be explored and implemented in close collaboration with all relevant stakeholders. Simplification will be key, including but not limited to greater digitalisation. Work should also continue on areas such as career development, talent attraction, international and intersectoral mobility and integration support, supporting research professionals at risk, and promot</w:t>
      </w:r>
      <w:r>
        <w:rPr>
          <w:color w:val="000000"/>
        </w:rPr>
        <w:t>ing inclusive gender equality. The action must foster engagement, cohesion, and exchange among network members, ensuring tangible benefits for all participants. A network-wide outreach strategy should be developed and tested to ensure that efforts across EURAXESS are coordinated and effectively increase its visibility among target audiences. Publication and dissemination channels for new content should be clearly defined to ensure maximum impact.</w:t>
      </w:r>
    </w:p>
    <w:p w14:paraId="6F7F4F50" w14:textId="77777777" w:rsidR="00721C98" w:rsidRDefault="00AE7B71">
      <w:r>
        <w:rPr>
          <w:color w:val="000000"/>
        </w:rPr>
        <w:t xml:space="preserve">While the action focuses on internal improvements, the EURAXESS Europe network must also strengthen its collaboration with EURAXESS Worldwide and other initiatives within the </w:t>
      </w:r>
      <w:hyperlink r:id="rId32">
        <w:r w:rsidR="00721C98">
          <w:rPr>
            <w:szCs w:val="24"/>
            <w:u w:val="single"/>
          </w:rPr>
          <w:t>ERA Talent Platform</w:t>
        </w:r>
      </w:hyperlink>
      <w:r>
        <w:rPr>
          <w:color w:val="000000"/>
        </w:rPr>
        <w:t>. Furthermore, EURAXESS will explore collaboration and synergies with other networks and initiatives that support research professionals and research organisations in areas beyond its expertise, such as entrepreneurship and targeted talent scouting.</w:t>
      </w:r>
    </w:p>
    <w:p w14:paraId="0212A10F" w14:textId="77777777" w:rsidR="00721C98" w:rsidRDefault="00AE7B71">
      <w:r>
        <w:rPr>
          <w:color w:val="000000"/>
        </w:rPr>
        <w:t>This grant also encompasses the organisation of the EURAXESS Biennial Conferences to be held in 2026 and 2028, in close collaboration with the European Commission. The host cities for these conferences will be designated by the European Commission. The agenda for each conference will be jointly developed by the host country, the coordinator, and the European Commission. The grant may be used to cover eligible organisational costs, including, but not limited to, venue hire, travel, accommodation, and program</w:t>
      </w:r>
      <w:r>
        <w:rPr>
          <w:color w:val="000000"/>
        </w:rPr>
        <w:t>me-related activities.</w:t>
      </w:r>
    </w:p>
    <w:p w14:paraId="1FB96CA1" w14:textId="77777777" w:rsidR="00721C98" w:rsidRDefault="00AE7B71">
      <w:r>
        <w:rPr>
          <w:color w:val="000000"/>
        </w:rPr>
        <w:t xml:space="preserve">Finally, this action will strengthen support for researchers at risk by providing tailored risk assessment tools, facilitating relocation to Europe, and offering comprehensive integration </w:t>
      </w:r>
      <w:r>
        <w:rPr>
          <w:color w:val="000000"/>
        </w:rPr>
        <w:lastRenderedPageBreak/>
        <w:t>assistance, such as mentorship, career development, and access to support services. Project results are expected to contribute to the following outcomes:</w:t>
      </w:r>
    </w:p>
    <w:p w14:paraId="27892E77" w14:textId="77777777" w:rsidR="00721C98" w:rsidRDefault="00AE7B71" w:rsidP="00AE7B71">
      <w:pPr>
        <w:pStyle w:val="ListParagraph"/>
        <w:numPr>
          <w:ilvl w:val="0"/>
          <w:numId w:val="95"/>
        </w:numPr>
      </w:pPr>
      <w:r>
        <w:rPr>
          <w:color w:val="000000"/>
        </w:rPr>
        <w:t>New governance and operational frameworks collaboratively implemented, achieved through the streamlining of processes and greater support for research professionals and organisations;</w:t>
      </w:r>
    </w:p>
    <w:p w14:paraId="54C84AC5" w14:textId="77777777" w:rsidR="00721C98" w:rsidRDefault="00AE7B71" w:rsidP="00AE7B71">
      <w:pPr>
        <w:pStyle w:val="ListParagraph"/>
        <w:numPr>
          <w:ilvl w:val="0"/>
          <w:numId w:val="95"/>
        </w:numPr>
      </w:pPr>
      <w:r>
        <w:rPr>
          <w:color w:val="000000"/>
        </w:rPr>
        <w:t>Improved career development, talent attraction practices, international and intersectoral mobility and integration support, including targeted initiatives for research professionals at risk and promoting inclusive gender equality;</w:t>
      </w:r>
    </w:p>
    <w:p w14:paraId="22E9429B" w14:textId="77777777" w:rsidR="00721C98" w:rsidRDefault="00AE7B71" w:rsidP="00AE7B71">
      <w:pPr>
        <w:pStyle w:val="ListParagraph"/>
        <w:numPr>
          <w:ilvl w:val="0"/>
          <w:numId w:val="95"/>
        </w:numPr>
      </w:pPr>
      <w:r>
        <w:rPr>
          <w:color w:val="000000"/>
        </w:rPr>
        <w:t>Increased visibility and engagement of EURAXESS with target audiences.</w:t>
      </w:r>
    </w:p>
    <w:p w14:paraId="69AD0262" w14:textId="77777777" w:rsidR="00721C98" w:rsidRDefault="00AE7B71">
      <w:r>
        <w:rPr>
          <w:color w:val="000000"/>
        </w:rPr>
        <w:t>Project results are expected to contribute to a highly efficient, inclusive and responsive EURAXESS network, delivering on the impact "Improved career opportunities and mobility for research professionals on the basis of the European framework for research careers, fostering the free flow of knowledge and expertise and the interoperability of research careers across sectors and countries”.</w:t>
      </w:r>
    </w:p>
    <w:p w14:paraId="2D414DC8" w14:textId="77777777" w:rsidR="00721C98" w:rsidRDefault="00AE7B71">
      <w:r>
        <w:rPr>
          <w:color w:val="000000"/>
        </w:rPr>
        <w:t>The proposal should contain a detailed annual work plan for Year 1. Subsequent annual work plans should be submitted and agreed with the granting authority no later than Month 11 for Year 2 and Month 23 for Year 3.</w:t>
      </w:r>
    </w:p>
    <w:p w14:paraId="3D51C5E0" w14:textId="77777777" w:rsidR="00721C98" w:rsidRDefault="00AE7B71">
      <w:r>
        <w:rPr>
          <w:color w:val="000000"/>
        </w:rPr>
        <w:t>Given the specific scope and objectives of the project, the consortium will be composed of organisations designated as EURAXESS Bridgehead Organisations, appointed by the relevant authorities in Member States and Associated Countries.</w:t>
      </w:r>
    </w:p>
    <w:p w14:paraId="05210283" w14:textId="77777777" w:rsidR="00721C98" w:rsidRDefault="00AE7B71">
      <w:r>
        <w:rPr>
          <w:color w:val="000000"/>
        </w:rPr>
        <w:t>Beneficiaries may provide financial support to third parties, such as EURAXESS Service Centres and EURAXESS Contact Points. The support to third parties can only be provided in the form of grants. The maximum amount to be granted to each third party is EUR 60 000.</w:t>
      </w:r>
    </w:p>
    <w:p w14:paraId="5E6A10CA" w14:textId="77777777" w:rsidR="00721C98" w:rsidRDefault="00AE7B71">
      <w:r>
        <w:rPr>
          <w:color w:val="000000"/>
        </w:rPr>
        <w:t>The evaluation committee will be composed fully by representatives of EU institutions.</w:t>
      </w:r>
    </w:p>
    <w:p w14:paraId="2612EDE0" w14:textId="77777777" w:rsidR="00721C98" w:rsidRDefault="00AE7B71">
      <w:r>
        <w:rPr>
          <w:color w:val="000000"/>
        </w:rPr>
        <w:t>This grant will be awarded without a call for proposals according to Article 198(e) of the Financial Regulation and Article 24(3)(b) of the Horizon Europe Regulation.</w:t>
      </w:r>
    </w:p>
    <w:p w14:paraId="3F3C71B5" w14:textId="77777777" w:rsidR="00721C98" w:rsidRPr="00DB4111" w:rsidRDefault="00AE7B71">
      <w:pPr>
        <w:rPr>
          <w:lang w:val="es-ES"/>
        </w:rPr>
      </w:pPr>
      <w:r w:rsidRPr="00DB4111">
        <w:rPr>
          <w:u w:val="single"/>
          <w:lang w:val="es-ES"/>
        </w:rPr>
        <w:t>Legal entities</w:t>
      </w:r>
      <w:r w:rsidRPr="00DB4111">
        <w:rPr>
          <w:lang w:val="es-ES"/>
        </w:rPr>
        <w:t xml:space="preserve">: </w:t>
      </w:r>
    </w:p>
    <w:p w14:paraId="0CE30399" w14:textId="77777777" w:rsidR="00721C98" w:rsidRPr="00DB4111" w:rsidRDefault="00AE7B71">
      <w:pPr>
        <w:rPr>
          <w:lang w:val="es-ES"/>
        </w:rPr>
      </w:pPr>
      <w:r w:rsidRPr="00DB4111">
        <w:rPr>
          <w:lang w:val="es-ES"/>
        </w:rPr>
        <w:t>Consortium coordinated by FUNDACION ESPANOLA PARA LA CIENCIA Y LA TECNOLOGIA, F.S.P., FECYT, Calle Pintor Murillo, 15, ALCOBENDAS/MADRID 28100, Spain, ESG82999871</w:t>
      </w:r>
    </w:p>
    <w:p w14:paraId="7C0DCC0F" w14:textId="77777777" w:rsidR="00721C98" w:rsidRDefault="00AE7B71">
      <w:r>
        <w:rPr>
          <w:u w:val="single"/>
        </w:rPr>
        <w:t>Form of Funding</w:t>
      </w:r>
      <w:r>
        <w:t>: Grants not subject to calls for proposals</w:t>
      </w:r>
    </w:p>
    <w:p w14:paraId="385A6698" w14:textId="77777777" w:rsidR="00721C98" w:rsidRDefault="00AE7B71">
      <w:r>
        <w:rPr>
          <w:u w:val="single"/>
        </w:rPr>
        <w:t>Type of Action</w:t>
      </w:r>
      <w:r>
        <w:t>: Grant to identified beneficiary according to Financial Regulation Article 198(e) - Coordination and support action</w:t>
      </w:r>
    </w:p>
    <w:p w14:paraId="7F1E9488" w14:textId="77777777" w:rsidR="00721C98" w:rsidRDefault="00AE7B71">
      <w:r>
        <w:rPr>
          <w:color w:val="000000"/>
        </w:rPr>
        <w:t xml:space="preserve">The general conditions, including admissibility conditions, eligibility conditions, award criteria, evaluation and award procedure, legal and financial set-up for grants, financial and </w:t>
      </w:r>
      <w:r>
        <w:rPr>
          <w:color w:val="000000"/>
        </w:rPr>
        <w:lastRenderedPageBreak/>
        <w:t>operational capacity and exclusion, and procedure are provided in parts A to G of the General Annexes</w:t>
      </w:r>
    </w:p>
    <w:p w14:paraId="533511E7" w14:textId="77777777" w:rsidR="00721C98" w:rsidRDefault="00AE7B71">
      <w:r>
        <w:rPr>
          <w:u w:val="single"/>
        </w:rPr>
        <w:t>Indicative timetable</w:t>
      </w:r>
      <w:r>
        <w:t>: Q1 2026</w:t>
      </w:r>
    </w:p>
    <w:p w14:paraId="35FCA55B" w14:textId="77777777" w:rsidR="00721C98" w:rsidRDefault="00AE7B71">
      <w:r>
        <w:rPr>
          <w:u w:val="single"/>
        </w:rPr>
        <w:t>Indicative budget</w:t>
      </w:r>
      <w:r>
        <w:t>: EUR 4.90 million from the 2026 budget</w:t>
      </w:r>
    </w:p>
    <w:p w14:paraId="3860771D" w14:textId="77777777" w:rsidR="00721C98" w:rsidRDefault="00AE7B71">
      <w:pPr>
        <w:pStyle w:val="HeadingThree"/>
      </w:pPr>
      <w:r>
        <w:t>5. Support to the operations of CoARA</w:t>
      </w:r>
    </w:p>
    <w:p w14:paraId="67C67251" w14:textId="77777777" w:rsidR="00721C98" w:rsidRDefault="00AE7B71">
      <w:r>
        <w:rPr>
          <w:color w:val="000000"/>
        </w:rPr>
        <w:t>This action aims at continuing the support to the operations of the Coalition for Advancing Research Assessment (CoARA) after the end of the ongoing Horizon Europe “CoARA Boost” project.</w:t>
      </w:r>
    </w:p>
    <w:p w14:paraId="431C8503" w14:textId="77777777" w:rsidR="00721C98" w:rsidRDefault="00AE7B71">
      <w:r>
        <w:rPr>
          <w:color w:val="000000"/>
        </w:rPr>
        <w:t>Project results are expected to contribute to the following expected outcomes:</w:t>
      </w:r>
    </w:p>
    <w:p w14:paraId="38279A09" w14:textId="77777777" w:rsidR="00721C98" w:rsidRDefault="00AE7B71" w:rsidP="00AE7B71">
      <w:pPr>
        <w:pStyle w:val="ListParagraph"/>
        <w:numPr>
          <w:ilvl w:val="0"/>
          <w:numId w:val="96"/>
        </w:numPr>
      </w:pPr>
      <w:r>
        <w:rPr>
          <w:color w:val="000000"/>
        </w:rPr>
        <w:t>Ensure the effective operations of the various bodies of CoARA;</w:t>
      </w:r>
    </w:p>
    <w:p w14:paraId="624D0BDB" w14:textId="77777777" w:rsidR="00721C98" w:rsidRDefault="00AE7B71" w:rsidP="00AE7B71">
      <w:pPr>
        <w:pStyle w:val="ListParagraph"/>
        <w:numPr>
          <w:ilvl w:val="0"/>
          <w:numId w:val="96"/>
        </w:numPr>
      </w:pPr>
      <w:r>
        <w:rPr>
          <w:color w:val="000000"/>
        </w:rPr>
        <w:t>Raise awareness, disseminate information, and promote mutual learning across the members of CoARA, its bodies, and beyond.</w:t>
      </w:r>
    </w:p>
    <w:p w14:paraId="40CCC06D" w14:textId="77777777" w:rsidR="00721C98" w:rsidRDefault="00AE7B71">
      <w:r>
        <w:rPr>
          <w:color w:val="000000"/>
        </w:rPr>
        <w:t>The action will deliver on the impact: “Systemic reform of research assessment through the recognition of the diverse outputs, practices, and activities which maximise the quality and impact of research”.</w:t>
      </w:r>
    </w:p>
    <w:p w14:paraId="09FEF6B5" w14:textId="77777777" w:rsidR="00721C98" w:rsidRDefault="00AE7B71">
      <w:r>
        <w:rPr>
          <w:color w:val="000000"/>
        </w:rPr>
        <w:t>The action is expected to enable the functioning of the various bodies of the coalition and their interactions. In particular, it will support the work, meetings, and dissemination of deliverables of the CoARA General Assembly, Steering Board, Executive Committee, Working Groups, National Chapters, and Secretariat during the period 2027-2029. It will equally facilitate awareness raising and the dissemination of knowledge, good practices and relevant information to CoARA members, its bodies, and relevant ext</w:t>
      </w:r>
      <w:r>
        <w:rPr>
          <w:color w:val="000000"/>
        </w:rPr>
        <w:t>ernal stakeholders.</w:t>
      </w:r>
    </w:p>
    <w:p w14:paraId="154B40D1" w14:textId="77777777" w:rsidR="00721C98" w:rsidRDefault="00AE7B71">
      <w:r>
        <w:rPr>
          <w:color w:val="000000"/>
        </w:rPr>
        <w:t>The European Science Foundation has a proven record of working closely with the European Commission, hosting CoARA’s Secretariat.</w:t>
      </w:r>
    </w:p>
    <w:p w14:paraId="03025B36" w14:textId="77777777" w:rsidR="00721C98" w:rsidRDefault="00AE7B71">
      <w:r>
        <w:rPr>
          <w:color w:val="000000"/>
        </w:rPr>
        <w:t>The evaluation committee will be composed fully by representatives of EU institutions.</w:t>
      </w:r>
    </w:p>
    <w:p w14:paraId="0C71CC76" w14:textId="77777777" w:rsidR="00721C98" w:rsidRDefault="00AE7B71">
      <w:r>
        <w:rPr>
          <w:color w:val="000000"/>
        </w:rPr>
        <w:t>This grant will be awarded without a call for proposals according to Article 198(e) of the Financial Regulation and Article 24(3)(b) of the Horizon Europe Regulation.</w:t>
      </w:r>
    </w:p>
    <w:p w14:paraId="04BD73EF" w14:textId="77777777" w:rsidR="00721C98" w:rsidRDefault="00AE7B71">
      <w:r>
        <w:rPr>
          <w:u w:val="single"/>
        </w:rPr>
        <w:t>Legal entities</w:t>
      </w:r>
      <w:r>
        <w:t xml:space="preserve">: </w:t>
      </w:r>
    </w:p>
    <w:p w14:paraId="7315509C" w14:textId="77777777" w:rsidR="00721C98" w:rsidRDefault="00AE7B71">
      <w:r>
        <w:t>European Science Foundation (ESF), 1 quai Lezay-Marnésia, BP 90015 67080 Strasbourg Cedex, France</w:t>
      </w:r>
    </w:p>
    <w:p w14:paraId="13C2557B" w14:textId="77777777" w:rsidR="00721C98" w:rsidRDefault="00AE7B71">
      <w:r>
        <w:rPr>
          <w:u w:val="single"/>
        </w:rPr>
        <w:t>Form of Funding</w:t>
      </w:r>
      <w:r>
        <w:t>: Grants not subject to calls for proposals</w:t>
      </w:r>
    </w:p>
    <w:p w14:paraId="21561658" w14:textId="77777777" w:rsidR="00721C98" w:rsidRDefault="00AE7B71">
      <w:r>
        <w:rPr>
          <w:u w:val="single"/>
        </w:rPr>
        <w:t>Type of Action</w:t>
      </w:r>
      <w:r>
        <w:t>: Grant to identified beneficiary according to Financial Regulation Article 198(e) - Coordination and support action</w:t>
      </w:r>
    </w:p>
    <w:p w14:paraId="7EA3EC75" w14:textId="77777777" w:rsidR="00721C98" w:rsidRDefault="00AE7B71">
      <w:r>
        <w:rPr>
          <w:color w:val="000000"/>
        </w:rPr>
        <w:lastRenderedPageBreak/>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71B33113" w14:textId="77777777" w:rsidR="00721C98" w:rsidRDefault="00AE7B71">
      <w:r>
        <w:rPr>
          <w:u w:val="single"/>
        </w:rPr>
        <w:t>Indicative timetable</w:t>
      </w:r>
      <w:r>
        <w:t>: Q3 2026</w:t>
      </w:r>
    </w:p>
    <w:p w14:paraId="026E8763" w14:textId="77777777" w:rsidR="00721C98" w:rsidRDefault="00AE7B71">
      <w:r>
        <w:rPr>
          <w:u w:val="single"/>
        </w:rPr>
        <w:t>Indicative budget</w:t>
      </w:r>
      <w:r>
        <w:t>: EUR 1.50 million from the 2026 budget</w:t>
      </w:r>
    </w:p>
    <w:p w14:paraId="654CA094" w14:textId="77777777" w:rsidR="00721C98" w:rsidRDefault="00AE7B71">
      <w:pPr>
        <w:pStyle w:val="HeadingThree"/>
      </w:pPr>
      <w:r>
        <w:t>6. Policy coordination to support gender equality and inclusiveness in the ERA</w:t>
      </w:r>
    </w:p>
    <w:p w14:paraId="47B92FC6" w14:textId="77777777" w:rsidR="00721C98" w:rsidRDefault="00AE7B71">
      <w:r>
        <w:rPr>
          <w:color w:val="000000"/>
        </w:rPr>
        <w:t>This action will contribute to developing the network of representatives from Member States and Associated Countries, both from national authorities (e.g., R&amp;I ministries) and national research funding organisations, to support the implementation, monitoring, and evaluation of inclusive gender equality policies in the ERA.</w:t>
      </w:r>
    </w:p>
    <w:p w14:paraId="266A9FE4" w14:textId="77777777" w:rsidR="00721C98" w:rsidRDefault="00AE7B71">
      <w:r>
        <w:rPr>
          <w:color w:val="000000"/>
        </w:rPr>
        <w:t>Project results are expected to contribute to the following expected outcomes:</w:t>
      </w:r>
    </w:p>
    <w:p w14:paraId="6384A2F3" w14:textId="77777777" w:rsidR="00721C98" w:rsidRDefault="00AE7B71" w:rsidP="00AE7B71">
      <w:pPr>
        <w:pStyle w:val="ListParagraph"/>
        <w:numPr>
          <w:ilvl w:val="0"/>
          <w:numId w:val="97"/>
        </w:numPr>
      </w:pPr>
      <w:r>
        <w:rPr>
          <w:color w:val="000000"/>
        </w:rPr>
        <w:t>Enhanced policy coordination of Member States and Associated Countries to achieve the ERA objectives on inclusive gender equality, including stakeholder and citizen engagement and mainstreaming other ERA priority areas;</w:t>
      </w:r>
    </w:p>
    <w:p w14:paraId="726C3C29" w14:textId="77777777" w:rsidR="00721C98" w:rsidRDefault="00AE7B71" w:rsidP="00AE7B71">
      <w:pPr>
        <w:pStyle w:val="ListParagraph"/>
        <w:numPr>
          <w:ilvl w:val="0"/>
          <w:numId w:val="97"/>
        </w:numPr>
      </w:pPr>
      <w:r>
        <w:rPr>
          <w:color w:val="000000"/>
        </w:rPr>
        <w:t>Increased knowledge and capacities for the implementation, monitoring, and evaluation of inclusive and intersectional gender equality policies across the ERA, as well as their increased uptake by Member States, Associated Countries, the European Commission, and relevant ERA stakeholders.</w:t>
      </w:r>
    </w:p>
    <w:p w14:paraId="3D4CE2B6" w14:textId="77777777" w:rsidR="00721C98" w:rsidRDefault="00AE7B71">
      <w:r>
        <w:rPr>
          <w:color w:val="000000"/>
        </w:rPr>
        <w:t>The action will deliver on the impact: “Enhanced gender equality and inclusiveness, leading to research excellence and more innovative, socially relevant, and economically impactful outcomes”.</w:t>
      </w:r>
    </w:p>
    <w:p w14:paraId="49A236A9" w14:textId="77777777" w:rsidR="00721C98" w:rsidRDefault="00AE7B71">
      <w:r>
        <w:rPr>
          <w:color w:val="000000"/>
        </w:rPr>
        <w:t>The activities should target research performing and funding organisations, higher education institutions, and public bodies, building on existing knowledge, expertise and tools</w:t>
      </w:r>
      <w:r>
        <w:rPr>
          <w:vertAlign w:val="superscript"/>
        </w:rPr>
        <w:footnoteReference w:id="119"/>
      </w:r>
      <w:r>
        <w:rPr>
          <w:color w:val="000000"/>
        </w:rPr>
        <w:t>. Close cooperation with relevant stakeholders, especially the ERA Forum sub-group on inclusive gender equality in the ERA</w:t>
      </w:r>
      <w:r>
        <w:rPr>
          <w:vertAlign w:val="superscript"/>
        </w:rPr>
        <w:footnoteReference w:id="120"/>
      </w:r>
      <w:r>
        <w:rPr>
          <w:color w:val="000000"/>
        </w:rPr>
        <w:t xml:space="preserve"> should be ensured. At least the following activities should be included:</w:t>
      </w:r>
    </w:p>
    <w:p w14:paraId="6F17C35D" w14:textId="77777777" w:rsidR="00721C98" w:rsidRDefault="00AE7B71" w:rsidP="00AE7B71">
      <w:pPr>
        <w:pStyle w:val="ListParagraph"/>
        <w:numPr>
          <w:ilvl w:val="0"/>
          <w:numId w:val="98"/>
        </w:numPr>
      </w:pPr>
      <w:r>
        <w:rPr>
          <w:color w:val="000000"/>
        </w:rPr>
        <w:t xml:space="preserve">Further develop the transnational network of R&amp;I funding organisations and national authorities that operated under the </w:t>
      </w:r>
      <w:hyperlink r:id="rId33">
        <w:r w:rsidR="00721C98">
          <w:rPr>
            <w:szCs w:val="24"/>
            <w:u w:val="single"/>
          </w:rPr>
          <w:t>GENDERACTIONplus</w:t>
        </w:r>
      </w:hyperlink>
      <w:r>
        <w:rPr>
          <w:color w:val="000000"/>
        </w:rPr>
        <w:t xml:space="preserve"> project;</w:t>
      </w:r>
    </w:p>
    <w:p w14:paraId="7DAEBC0B" w14:textId="77777777" w:rsidR="00721C98" w:rsidRDefault="00AE7B71" w:rsidP="00AE7B71">
      <w:pPr>
        <w:pStyle w:val="ListParagraph"/>
        <w:numPr>
          <w:ilvl w:val="0"/>
          <w:numId w:val="98"/>
        </w:numPr>
      </w:pPr>
      <w:r>
        <w:rPr>
          <w:color w:val="000000"/>
        </w:rPr>
        <w:t>Build capabilities and expertise among network members and representatives of the ERA Forum and its sub-groups, and develop activities to mainstream inclusive gender equality in other ERA priority areas through the network and stakeholder engagement;</w:t>
      </w:r>
    </w:p>
    <w:p w14:paraId="3370FC8A" w14:textId="77777777" w:rsidR="00721C98" w:rsidRDefault="00AE7B71" w:rsidP="00AE7B71">
      <w:pPr>
        <w:pStyle w:val="ListParagraph"/>
        <w:numPr>
          <w:ilvl w:val="0"/>
          <w:numId w:val="98"/>
        </w:numPr>
      </w:pPr>
      <w:r>
        <w:rPr>
          <w:color w:val="000000"/>
        </w:rPr>
        <w:lastRenderedPageBreak/>
        <w:t>Devise a monitoring and evaluation approach for the effective implementation of inclusive gender equality plans through co-creation with the sub-group by the end of 2027;</w:t>
      </w:r>
    </w:p>
    <w:p w14:paraId="10950E6E" w14:textId="77777777" w:rsidR="00721C98" w:rsidRDefault="00AE7B71" w:rsidP="00AE7B71">
      <w:pPr>
        <w:pStyle w:val="ListParagraph"/>
        <w:numPr>
          <w:ilvl w:val="0"/>
          <w:numId w:val="98"/>
        </w:numPr>
      </w:pPr>
      <w:r>
        <w:rPr>
          <w:color w:val="000000"/>
        </w:rPr>
        <w:t>Develop guidelines for implementing intersectionality in R&amp;I policy, including recommended indicators, through co-creation with the sub-group by the end of 2027;</w:t>
      </w:r>
    </w:p>
    <w:p w14:paraId="415752B3" w14:textId="77777777" w:rsidR="00721C98" w:rsidRDefault="00AE7B71" w:rsidP="00AE7B71">
      <w:pPr>
        <w:pStyle w:val="ListParagraph"/>
        <w:numPr>
          <w:ilvl w:val="0"/>
          <w:numId w:val="98"/>
        </w:numPr>
      </w:pPr>
      <w:r>
        <w:rPr>
          <w:color w:val="000000"/>
        </w:rPr>
        <w:t>Conduct monitoring and evaluation of the ERA Structural Policy on strengthening inclusive gender equality in the ERA in cooperation with the sub-group.</w:t>
      </w:r>
    </w:p>
    <w:p w14:paraId="4E0C7478" w14:textId="77777777" w:rsidR="00721C98" w:rsidRDefault="00AE7B71">
      <w:r>
        <w:rPr>
          <w:color w:val="000000"/>
        </w:rPr>
        <w:t>The applicant must demonstrate in their proposal a viable plan for achieving self-sustainability after the end of the grant agreement, with a clear description of a minimum set of activities that will be maintained by the consortium with own or other resources.</w:t>
      </w:r>
    </w:p>
    <w:p w14:paraId="4EDCF875" w14:textId="77777777" w:rsidR="00721C98" w:rsidRDefault="00AE7B71">
      <w:r>
        <w:rPr>
          <w:color w:val="000000"/>
        </w:rPr>
        <w:t>A consortium, coordinated by the Institute of Sociology of the Czech Academy of Sciences, has already the necessary technical and organisational capacity that will ensure the required continuity of the network to support gender equality policies in the ERA, and has a solid record of successful collaboration with the European Commission on gender equality in R&amp;I</w:t>
      </w:r>
      <w:r>
        <w:rPr>
          <w:vertAlign w:val="superscript"/>
        </w:rPr>
        <w:footnoteReference w:id="121"/>
      </w:r>
      <w:r>
        <w:rPr>
          <w:color w:val="000000"/>
        </w:rPr>
        <w:t>.</w:t>
      </w:r>
    </w:p>
    <w:p w14:paraId="0E348AAE" w14:textId="77777777" w:rsidR="00721C98" w:rsidRDefault="00AE7B71">
      <w:r>
        <w:rPr>
          <w:color w:val="000000"/>
        </w:rPr>
        <w:t>The evaluation committee will be composed fully by representatives of EU institutions.</w:t>
      </w:r>
    </w:p>
    <w:p w14:paraId="10B8F773" w14:textId="77777777" w:rsidR="00721C98" w:rsidRDefault="00AE7B71">
      <w:r>
        <w:rPr>
          <w:color w:val="000000"/>
        </w:rPr>
        <w:t>This grant will be awarded without a call for proposals according to Article 198(e) of the Financial Regulation and Article 24(3)(b) of the Horizon Europe Regulation.</w:t>
      </w:r>
    </w:p>
    <w:p w14:paraId="22F9C022" w14:textId="77777777" w:rsidR="00721C98" w:rsidRDefault="00AE7B71">
      <w:r>
        <w:rPr>
          <w:u w:val="single"/>
        </w:rPr>
        <w:t>Legal entities</w:t>
      </w:r>
      <w:r>
        <w:t xml:space="preserve">: </w:t>
      </w:r>
    </w:p>
    <w:p w14:paraId="624CAB85" w14:textId="77777777" w:rsidR="00721C98" w:rsidRDefault="00AE7B71">
      <w:r>
        <w:t>Institute of Sociology of the Czech Academy of Sciences (Coordinator), Jilská 1, Praha 110 00, Czechia</w:t>
      </w:r>
    </w:p>
    <w:p w14:paraId="325CFEFC" w14:textId="77777777" w:rsidR="00721C98" w:rsidRDefault="00AE7B71">
      <w:r>
        <w:t>Verket för innovationssystem, Mäster Samuelsgatan 56, Stockholm 10158, Sweden</w:t>
      </w:r>
    </w:p>
    <w:p w14:paraId="34AED214" w14:textId="77777777" w:rsidR="00721C98" w:rsidRDefault="00AE7B71">
      <w:r>
        <w:t>An tÚdarás um Ard-Oideachas, 3 Shelbourne Buildings, Crampton Avenue, Shelbourne Road, Ballsbridge 000, Dublin D04C2Y6, Ireland</w:t>
      </w:r>
    </w:p>
    <w:p w14:paraId="31BE1C83" w14:textId="77777777" w:rsidR="00721C98" w:rsidRDefault="00AE7B71">
      <w:r>
        <w:t>Ośrodek Przetwarzania Informacji-Państwowy Instytut Badawczy , Al. Niepodległości 188B, Warszawa 00-608, Poland</w:t>
      </w:r>
    </w:p>
    <w:p w14:paraId="65589FDC" w14:textId="77777777" w:rsidR="00721C98" w:rsidRDefault="00AE7B71">
      <w:r>
        <w:t>YELLOW WINDOW, Mechelsesteenweg 64 bus 701 000, Antwerpen 2018, Belgium</w:t>
      </w:r>
    </w:p>
    <w:p w14:paraId="13F9A5B3" w14:textId="77777777" w:rsidR="00721C98" w:rsidRDefault="00AE7B71">
      <w:r>
        <w:t>Syddansk Universitet SDU, Campusvej 55, Odense 5230, Denmark</w:t>
      </w:r>
    </w:p>
    <w:p w14:paraId="6B567148" w14:textId="77777777" w:rsidR="00721C98" w:rsidRDefault="00AE7B71">
      <w:r>
        <w:t>JOANNEUM RESEARCH Forschungsgesellschaft mbH, Leonhardstraße 59 000, 8010 Graz, Austria</w:t>
      </w:r>
    </w:p>
    <w:p w14:paraId="6E44CC44" w14:textId="77777777" w:rsidR="00721C98" w:rsidRDefault="00AE7B71">
      <w:r>
        <w:t>Institut für Höhere Studien - Institute for Advanced Studies, Josefstädter Straße 39, 1080 Wien, Austria</w:t>
      </w:r>
    </w:p>
    <w:p w14:paraId="605D494F" w14:textId="77777777" w:rsidR="00721C98" w:rsidRDefault="00AE7B71">
      <w:r>
        <w:rPr>
          <w:u w:val="single"/>
        </w:rPr>
        <w:lastRenderedPageBreak/>
        <w:t>Form of Funding</w:t>
      </w:r>
      <w:r>
        <w:t>: Grants not subject to calls for proposals</w:t>
      </w:r>
    </w:p>
    <w:p w14:paraId="75D2383C" w14:textId="77777777" w:rsidR="00721C98" w:rsidRDefault="00AE7B71">
      <w:r>
        <w:rPr>
          <w:u w:val="single"/>
        </w:rPr>
        <w:t>Type of Action</w:t>
      </w:r>
      <w:r>
        <w:t>: Grant to identified beneficiary according to Financial Regulation Article 198(e) - Coordination and support action</w:t>
      </w:r>
    </w:p>
    <w:p w14:paraId="1CC43C27" w14:textId="77777777" w:rsidR="00721C98" w:rsidRDefault="00AE7B71">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2F445C71" w14:textId="77777777" w:rsidR="00721C98" w:rsidRDefault="00AE7B71">
      <w:r>
        <w:rPr>
          <w:u w:val="single"/>
        </w:rPr>
        <w:t>Indicative timetable</w:t>
      </w:r>
      <w:r>
        <w:t>: Q1 2026</w:t>
      </w:r>
    </w:p>
    <w:p w14:paraId="6C9B1E56" w14:textId="77777777" w:rsidR="00721C98" w:rsidRDefault="00AE7B71">
      <w:r>
        <w:rPr>
          <w:u w:val="single"/>
        </w:rPr>
        <w:t>Indicative budget</w:t>
      </w:r>
      <w:r>
        <w:t>: EUR 2.00 million from the 2026 budget</w:t>
      </w:r>
    </w:p>
    <w:p w14:paraId="15E7A76E" w14:textId="77777777" w:rsidR="00721C98" w:rsidRDefault="00AE7B71">
      <w:pPr>
        <w:pStyle w:val="HeadingOne"/>
        <w:pageBreakBefore/>
      </w:pPr>
      <w:r>
        <w:lastRenderedPageBreak/>
        <w:t>PUBLIC PROCUREMENT</w:t>
      </w:r>
    </w:p>
    <w:p w14:paraId="730EE6DF" w14:textId="77777777" w:rsidR="00721C98" w:rsidRDefault="00AE7B71">
      <w:pPr>
        <w:pStyle w:val="HeadingThree"/>
      </w:pPr>
      <w:r>
        <w:t xml:space="preserve">1. Studies and communication </w:t>
      </w:r>
    </w:p>
    <w:p w14:paraId="1DBBF6E5" w14:textId="77777777" w:rsidR="00721C98" w:rsidRDefault="00AE7B71">
      <w:r>
        <w:rPr>
          <w:color w:val="000000"/>
        </w:rPr>
        <w:t>Activities should support the Pact for R&amp;I and the implementation of the ERA Policy Agenda and may include studies, support, and communication activities that are needed to analyse and enhance the EU R&amp;I environment, for example:</w:t>
      </w:r>
    </w:p>
    <w:p w14:paraId="4EFB68A9" w14:textId="77777777" w:rsidR="00721C98" w:rsidRDefault="00AE7B71" w:rsidP="00AE7B71">
      <w:pPr>
        <w:pStyle w:val="ListParagraph"/>
        <w:numPr>
          <w:ilvl w:val="0"/>
          <w:numId w:val="99"/>
        </w:numPr>
      </w:pPr>
      <w:r>
        <w:rPr>
          <w:color w:val="000000"/>
        </w:rPr>
        <w:t>Collection of project feedback, in particular with respect to key exploitable results;</w:t>
      </w:r>
    </w:p>
    <w:p w14:paraId="1DEB0173" w14:textId="77777777" w:rsidR="00721C98" w:rsidRDefault="00AE7B71" w:rsidP="00AE7B71">
      <w:pPr>
        <w:pStyle w:val="ListParagraph"/>
        <w:numPr>
          <w:ilvl w:val="0"/>
          <w:numId w:val="99"/>
        </w:numPr>
      </w:pPr>
      <w:r>
        <w:rPr>
          <w:color w:val="000000"/>
        </w:rPr>
        <w:t>Organisational support for consulting the R&amp;I stakeholders community on R&amp;I needs;</w:t>
      </w:r>
    </w:p>
    <w:p w14:paraId="5BA35B63" w14:textId="77777777" w:rsidR="00721C98" w:rsidRDefault="00AE7B71" w:rsidP="00AE7B71">
      <w:pPr>
        <w:pStyle w:val="ListParagraph"/>
        <w:numPr>
          <w:ilvl w:val="0"/>
          <w:numId w:val="99"/>
        </w:numPr>
      </w:pPr>
      <w:r>
        <w:rPr>
          <w:color w:val="000000"/>
        </w:rPr>
        <w:t>Production and dissemination of communication material and organisation of events;</w:t>
      </w:r>
    </w:p>
    <w:p w14:paraId="24F5D12A" w14:textId="77777777" w:rsidR="00721C98" w:rsidRDefault="00AE7B71" w:rsidP="00AE7B71">
      <w:pPr>
        <w:pStyle w:val="ListParagraph"/>
        <w:numPr>
          <w:ilvl w:val="0"/>
          <w:numId w:val="99"/>
        </w:numPr>
      </w:pPr>
      <w:r>
        <w:rPr>
          <w:color w:val="000000"/>
        </w:rPr>
        <w:t>Support to Member States ensuring coherent communication activities on ERA;</w:t>
      </w:r>
    </w:p>
    <w:p w14:paraId="0565F6D4" w14:textId="77777777" w:rsidR="00721C98" w:rsidRDefault="00AE7B71" w:rsidP="00AE7B71">
      <w:pPr>
        <w:pStyle w:val="ListParagraph"/>
        <w:numPr>
          <w:ilvl w:val="0"/>
          <w:numId w:val="99"/>
        </w:numPr>
      </w:pPr>
      <w:r>
        <w:rPr>
          <w:color w:val="000000"/>
        </w:rPr>
        <w:t>Analysis of the expected impacts of the ERA Policy Agenda actions and of potential barriers to their development.</w:t>
      </w:r>
    </w:p>
    <w:p w14:paraId="33BAC9D4" w14:textId="77777777" w:rsidR="00721C98" w:rsidRDefault="00AE7B71">
      <w:r>
        <w:rPr>
          <w:color w:val="000000"/>
        </w:rPr>
        <w:t>Contracts may be implemented on the basis of framework contracts in order to ensure appropriate and timely analyses. Cooperation with the presidencies of the Council of the European Union and stakeholders is envisaged and could include direct support to ERA-related presidency events.</w:t>
      </w:r>
    </w:p>
    <w:p w14:paraId="1FDDA74E" w14:textId="77777777" w:rsidR="00721C98" w:rsidRDefault="00AE7B71">
      <w:r>
        <w:rPr>
          <w:u w:val="single"/>
        </w:rPr>
        <w:t>Form of Funding</w:t>
      </w:r>
      <w:r>
        <w:t>: Procurement</w:t>
      </w:r>
    </w:p>
    <w:p w14:paraId="15681449" w14:textId="77777777" w:rsidR="00721C98" w:rsidRDefault="00AE7B71">
      <w:r>
        <w:rPr>
          <w:u w:val="single"/>
        </w:rPr>
        <w:t>Type of Action</w:t>
      </w:r>
      <w:r>
        <w:t>: Public procurement</w:t>
      </w:r>
    </w:p>
    <w:p w14:paraId="54DEE9CB" w14:textId="77777777" w:rsidR="00721C98" w:rsidRDefault="00AE7B71">
      <w:r>
        <w:rPr>
          <w:u w:val="single"/>
        </w:rPr>
        <w:t>Indicative timetable</w:t>
      </w:r>
      <w:r>
        <w:t>: Q3 2026-Q3 2027</w:t>
      </w:r>
    </w:p>
    <w:p w14:paraId="06BBF035" w14:textId="77777777" w:rsidR="00721C98" w:rsidRDefault="00AE7B71">
      <w:r>
        <w:rPr>
          <w:u w:val="single"/>
        </w:rPr>
        <w:t>Indicative budget</w:t>
      </w:r>
      <w:r>
        <w:t>: EUR 0.76 million from the 2026 budget and EUR 1.70 million from the 2027 budget</w:t>
      </w:r>
    </w:p>
    <w:p w14:paraId="72FAE476" w14:textId="77777777" w:rsidR="00721C98" w:rsidRDefault="00AE7B71">
      <w:pPr>
        <w:pStyle w:val="HeadingThree"/>
      </w:pPr>
      <w:r>
        <w:t>2. Euraxess Worldwide - implementation</w:t>
      </w:r>
    </w:p>
    <w:p w14:paraId="1E1B8073" w14:textId="77777777" w:rsidR="00721C98" w:rsidRDefault="00AE7B71">
      <w:r>
        <w:rPr>
          <w:color w:val="000000"/>
        </w:rPr>
        <w:t>The EURAXESS WORLDWIDE Framework Contract covers the continued animation of the network and guarantees the continuity of the operations of the Euraxess Worldwide Hubs in the different locations around the world, allowing for the extension of the activities to new countries and tasks as appropriate.</w:t>
      </w:r>
    </w:p>
    <w:p w14:paraId="201B7FBD" w14:textId="77777777" w:rsidR="00721C98" w:rsidRDefault="00AE7B71">
      <w:r>
        <w:rPr>
          <w:color w:val="000000"/>
        </w:rPr>
        <w:t>This action aims to complement the European dimension of EURAXESS with an additional dimension and module addressing international and European researchers living and working outside of the European Union. It is expected to consist of the development of a portfolio of support services and associated tools, designed to create transnational ties with researchers and scientific communities within the global R&amp;I ecosystem.</w:t>
      </w:r>
    </w:p>
    <w:p w14:paraId="5A0045D5" w14:textId="77777777" w:rsidR="00721C98" w:rsidRDefault="00AE7B71">
      <w:r>
        <w:rPr>
          <w:color w:val="000000"/>
        </w:rPr>
        <w:t xml:space="preserve">This action will build on the EURAXESS Worldwide structure of international hubs and it is expected to be a physical and virtual networking, knowledge-sharing and advocacy platform </w:t>
      </w:r>
      <w:r>
        <w:rPr>
          <w:color w:val="000000"/>
        </w:rPr>
        <w:lastRenderedPageBreak/>
        <w:t>of services and tools. It will serve as a diplomacy asset, will promote European R&amp;I instruments, and will attract international talents to the European Union and European researchers back home.</w:t>
      </w:r>
    </w:p>
    <w:p w14:paraId="5783E3DB" w14:textId="77777777" w:rsidR="00721C98" w:rsidRDefault="00AE7B71">
      <w:r>
        <w:rPr>
          <w:color w:val="000000"/>
        </w:rPr>
        <w:t>The international dimension of EURAXESS should also be fostered through networking events, information sessions or training, as well as online instruments and tools.</w:t>
      </w:r>
    </w:p>
    <w:p w14:paraId="79C91C7A" w14:textId="77777777" w:rsidR="00721C98" w:rsidRDefault="00AE7B71">
      <w:r>
        <w:rPr>
          <w:color w:val="000000"/>
        </w:rPr>
        <w:t>EURAXESS WORLDWIDE officers are located in the following countries and regions: Africa, ASEAN, Australia &amp; New Zealand, China, India, Japan, North America, South Korea, and Latin America.</w:t>
      </w:r>
    </w:p>
    <w:p w14:paraId="33565EF2" w14:textId="77777777" w:rsidR="00721C98" w:rsidRDefault="00AE7B71">
      <w:r>
        <w:rPr>
          <w:u w:val="single"/>
        </w:rPr>
        <w:t>Form of Funding</w:t>
      </w:r>
      <w:r>
        <w:t>: Procurement</w:t>
      </w:r>
    </w:p>
    <w:p w14:paraId="13852FAD" w14:textId="77777777" w:rsidR="00721C98" w:rsidRDefault="00AE7B71">
      <w:r>
        <w:rPr>
          <w:u w:val="single"/>
        </w:rPr>
        <w:t>Type of Action</w:t>
      </w:r>
      <w:r>
        <w:t>: Public procurement</w:t>
      </w:r>
    </w:p>
    <w:p w14:paraId="7782B771" w14:textId="77777777" w:rsidR="00721C98" w:rsidRDefault="00AE7B71">
      <w:r>
        <w:rPr>
          <w:u w:val="single"/>
        </w:rPr>
        <w:t>Indicative timetable</w:t>
      </w:r>
      <w:r>
        <w:t>: Q1 2026</w:t>
      </w:r>
    </w:p>
    <w:p w14:paraId="6CC461B5" w14:textId="77777777" w:rsidR="00721C98" w:rsidRDefault="00AE7B71">
      <w:r>
        <w:rPr>
          <w:u w:val="single"/>
        </w:rPr>
        <w:t>Indicative budget</w:t>
      </w:r>
      <w:r>
        <w:t>: EUR 2.20 million from the 2026 budget</w:t>
      </w:r>
    </w:p>
    <w:p w14:paraId="44E5601A" w14:textId="77777777" w:rsidR="00721C98" w:rsidRDefault="00AE7B71">
      <w:pPr>
        <w:pStyle w:val="HeadingThree"/>
      </w:pPr>
      <w:r>
        <w:t>3. Administrative management of the Human Resources Strategy for Researchers</w:t>
      </w:r>
    </w:p>
    <w:p w14:paraId="2EA4AF52" w14:textId="77777777" w:rsidR="00721C98" w:rsidRDefault="00AE7B71">
      <w:r>
        <w:rPr>
          <w:color w:val="000000"/>
        </w:rPr>
        <w:t>The Human Resources Strategy for Researchers (HRS4R)</w:t>
      </w:r>
      <w:r>
        <w:rPr>
          <w:vertAlign w:val="superscript"/>
        </w:rPr>
        <w:footnoteReference w:id="122"/>
      </w:r>
      <w:r>
        <w:rPr>
          <w:color w:val="000000"/>
        </w:rPr>
        <w:t xml:space="preserve"> is the implementation mechanism of the European Charter for Researchers</w:t>
      </w:r>
      <w:r>
        <w:rPr>
          <w:vertAlign w:val="superscript"/>
        </w:rPr>
        <w:footnoteReference w:id="123"/>
      </w:r>
      <w:r>
        <w:rPr>
          <w:color w:val="000000"/>
        </w:rPr>
        <w:t xml:space="preserve"> and is key to the career development of researchers, as well as to generating, transferring, sharing, and disseminating knowledge about human resources best practices.</w:t>
      </w:r>
    </w:p>
    <w:p w14:paraId="7EE6A983" w14:textId="77777777" w:rsidR="00721C98" w:rsidRDefault="00AE7B71">
      <w:r>
        <w:rPr>
          <w:color w:val="000000"/>
        </w:rPr>
        <w:t xml:space="preserve">The contractor will be responsible, in collaboration with the Commission, the applicant institutions and the assessors, for organising the administrative management of the HR Excellence in Research process and for the applications’ continuous assessment, including the organisation of desk-based assessments and site visits, the selection of assessors, the administrative validation of assessors’ reports and institutions’ submissions, as well as managing the communication with applicants, promoting the award, </w:t>
      </w:r>
      <w:r>
        <w:rPr>
          <w:color w:val="000000"/>
        </w:rPr>
        <w:t>and providing feedback to the Commission for policy purposes.</w:t>
      </w:r>
    </w:p>
    <w:p w14:paraId="720206CA" w14:textId="77777777" w:rsidR="00721C98" w:rsidRDefault="00AE7B71">
      <w:r>
        <w:rPr>
          <w:u w:val="single"/>
        </w:rPr>
        <w:t>Form of Funding</w:t>
      </w:r>
      <w:r>
        <w:t>: Procurement</w:t>
      </w:r>
    </w:p>
    <w:p w14:paraId="52CB6B7E" w14:textId="77777777" w:rsidR="00721C98" w:rsidRDefault="00AE7B71">
      <w:r>
        <w:rPr>
          <w:u w:val="single"/>
        </w:rPr>
        <w:t>Type of Action</w:t>
      </w:r>
      <w:r>
        <w:t>: Public procurement</w:t>
      </w:r>
    </w:p>
    <w:p w14:paraId="60E7A134" w14:textId="77777777" w:rsidR="00721C98" w:rsidRDefault="00AE7B71">
      <w:r>
        <w:rPr>
          <w:u w:val="single"/>
        </w:rPr>
        <w:t>Indicative timetable</w:t>
      </w:r>
      <w:r>
        <w:t>: Q2-Q4 2026</w:t>
      </w:r>
    </w:p>
    <w:p w14:paraId="31203F54" w14:textId="77777777" w:rsidR="00721C98" w:rsidRDefault="00AE7B71">
      <w:r>
        <w:rPr>
          <w:u w:val="single"/>
        </w:rPr>
        <w:t>Indicative budget</w:t>
      </w:r>
      <w:r>
        <w:t>: EUR 1.80 million from the 2026 budget and EUR 3.40 million from the 2027 budget</w:t>
      </w:r>
    </w:p>
    <w:p w14:paraId="3D2A4186" w14:textId="77777777" w:rsidR="00721C98" w:rsidRDefault="00AE7B71">
      <w:pPr>
        <w:pStyle w:val="HeadingThree"/>
      </w:pPr>
      <w:r>
        <w:lastRenderedPageBreak/>
        <w:t>4. Horizon Policy Support Facility</w:t>
      </w:r>
    </w:p>
    <w:p w14:paraId="19207A83" w14:textId="77777777" w:rsidR="00721C98" w:rsidRDefault="00AE7B71">
      <w:r>
        <w:rPr>
          <w:color w:val="000000"/>
        </w:rPr>
        <w:t>In order to make research and innovation deliver on their full potential to be the key drivers of economic growth and of the transition towards a sustainable society, ambitious policy reforms of national R&amp;I systems and evidence-based R&amp;I policies are necessary. Through the Policy Support Facility (PSF), the Commission assists Member States and Associated Countries in developing and implementing those reforms and supporting peer-learning in R&amp;I policy design and deployment. At the request of national admini</w:t>
      </w:r>
      <w:r>
        <w:rPr>
          <w:color w:val="000000"/>
        </w:rPr>
        <w:t>strations with R&amp;I competences, the PSF provides customer-oriented services through the mobilisation of high-level expertise and tailor-made advice. An overview of past activities can be found on a dedicated webpage</w:t>
      </w:r>
      <w:r>
        <w:rPr>
          <w:vertAlign w:val="superscript"/>
        </w:rPr>
        <w:footnoteReference w:id="124"/>
      </w:r>
      <w:r>
        <w:rPr>
          <w:color w:val="000000"/>
        </w:rPr>
        <w:t>. The PSF has demonstrated that it serves as an enabler for concrete policy changes.</w:t>
      </w:r>
    </w:p>
    <w:p w14:paraId="0E08BC59" w14:textId="77777777" w:rsidR="00721C98" w:rsidRDefault="00AE7B71">
      <w:r>
        <w:rPr>
          <w:u w:val="single"/>
        </w:rPr>
        <w:t>Form of Funding</w:t>
      </w:r>
      <w:r>
        <w:t>: Procurement</w:t>
      </w:r>
    </w:p>
    <w:p w14:paraId="002E6420" w14:textId="77777777" w:rsidR="00721C98" w:rsidRDefault="00AE7B71">
      <w:r>
        <w:rPr>
          <w:u w:val="single"/>
        </w:rPr>
        <w:t>Type of Action</w:t>
      </w:r>
      <w:r>
        <w:t>: Public procurement</w:t>
      </w:r>
    </w:p>
    <w:p w14:paraId="0EC3BF2C" w14:textId="77777777" w:rsidR="00721C98" w:rsidRDefault="00AE7B71">
      <w:r>
        <w:rPr>
          <w:u w:val="single"/>
        </w:rPr>
        <w:t>Indicative timetable</w:t>
      </w:r>
      <w:r>
        <w:t>: Q1 2026 and Q1 2027</w:t>
      </w:r>
    </w:p>
    <w:p w14:paraId="0689C086" w14:textId="77777777" w:rsidR="00721C98" w:rsidRDefault="00AE7B71">
      <w:r>
        <w:rPr>
          <w:u w:val="single"/>
        </w:rPr>
        <w:t>Indicative budget</w:t>
      </w:r>
      <w:r>
        <w:t>: EUR 1.50 million from the 2026 budget and EUR 1.50 million from the 2027 budget</w:t>
      </w:r>
    </w:p>
    <w:p w14:paraId="6DAB85BD" w14:textId="77777777" w:rsidR="00721C98" w:rsidRDefault="00AE7B71">
      <w:pPr>
        <w:pStyle w:val="HeadingThree"/>
      </w:pPr>
      <w:r>
        <w:t xml:space="preserve">5. Learning labs for value creation </w:t>
      </w:r>
    </w:p>
    <w:p w14:paraId="6836845F" w14:textId="77777777" w:rsidR="00721C98" w:rsidRDefault="00AE7B71">
      <w:r>
        <w:rPr>
          <w:color w:val="000000"/>
        </w:rPr>
        <w:t>The aim of the learning labs for value creation is to strengthen knowledge valorisation capacities and skills for university students, researchers, funding organisations, and innovators and to facilitate the sharing and replication of best practices across Europe. This action will provide online courses on intellectual asset management, standardisation, engagement with society, industry-academia co-creation, and use of new technologies for fostering knowledge valorisation. It will also include peer-learning</w:t>
      </w:r>
      <w:r>
        <w:rPr>
          <w:color w:val="000000"/>
        </w:rPr>
        <w:t>, mentoring, and exchanges with role models. In-depth modules on effective licencing schemes for greater societal impact, focusing on one or two technology areas, such as biotechnology and advanced materials, should be included.</w:t>
      </w:r>
    </w:p>
    <w:p w14:paraId="0E812554" w14:textId="77777777" w:rsidR="00721C98" w:rsidRDefault="00AE7B71">
      <w:r>
        <w:rPr>
          <w:color w:val="000000"/>
        </w:rPr>
        <w:t>The action will include the content development for the learning lab concept, implementation of a series of learning labs with a pan-European outreach, and evaluation of the effectiveness of the action. The learning labs will build on the Guiding Principles for Knowledge Valorisation and the Codes of Practice</w:t>
      </w:r>
      <w:r>
        <w:rPr>
          <w:vertAlign w:val="superscript"/>
        </w:rPr>
        <w:footnoteReference w:id="125"/>
      </w:r>
      <w:r>
        <w:rPr>
          <w:color w:val="000000"/>
        </w:rPr>
        <w:t>.</w:t>
      </w:r>
    </w:p>
    <w:p w14:paraId="0B81C1D0" w14:textId="77777777" w:rsidR="00721C98" w:rsidRDefault="00AE7B71">
      <w:r>
        <w:rPr>
          <w:u w:val="single"/>
        </w:rPr>
        <w:t>Form of Funding</w:t>
      </w:r>
      <w:r>
        <w:t>: Procurement</w:t>
      </w:r>
    </w:p>
    <w:p w14:paraId="0BF5082E" w14:textId="77777777" w:rsidR="00721C98" w:rsidRDefault="00AE7B71">
      <w:r>
        <w:rPr>
          <w:u w:val="single"/>
        </w:rPr>
        <w:t>Type of Action</w:t>
      </w:r>
      <w:r>
        <w:t>: Public procurement</w:t>
      </w:r>
    </w:p>
    <w:p w14:paraId="5247885A" w14:textId="77777777" w:rsidR="00721C98" w:rsidRDefault="00AE7B71">
      <w:r>
        <w:rPr>
          <w:u w:val="single"/>
        </w:rPr>
        <w:t>Indicative timetable</w:t>
      </w:r>
      <w:r>
        <w:t>: Q1 2026</w:t>
      </w:r>
    </w:p>
    <w:p w14:paraId="1D46D504" w14:textId="77777777" w:rsidR="00721C98" w:rsidRDefault="00AE7B71">
      <w:r>
        <w:rPr>
          <w:u w:val="single"/>
        </w:rPr>
        <w:t>Indicative budget</w:t>
      </w:r>
      <w:r>
        <w:t>: EUR 1.00 million from the 2026 budget</w:t>
      </w:r>
    </w:p>
    <w:p w14:paraId="4166B8A5" w14:textId="77777777" w:rsidR="00721C98" w:rsidRDefault="00AE7B71">
      <w:pPr>
        <w:pStyle w:val="HeadingThree"/>
      </w:pPr>
      <w:r>
        <w:lastRenderedPageBreak/>
        <w:t>6. She Figures: Monitoring gender equality in R&amp;I</w:t>
      </w:r>
    </w:p>
    <w:p w14:paraId="1CC662A4" w14:textId="77777777" w:rsidR="00721C98" w:rsidRDefault="00AE7B71">
      <w:r>
        <w:rPr>
          <w:color w:val="000000"/>
        </w:rPr>
        <w:t>The EU has progressively strengthened its commitment to gender equality, embracing intersectionality and promoting inclusivity across various sectors, disciplines, and geographical regions. There is a need to comprehensively track advancements made towards the individual ERA priorities and inform evidence-based policy-making. In cooperation with Member States and Associated Countries, the Commission will continue collecting and analysing comparable sex and/or gender disaggregated and intersectional data. Th</w:t>
      </w:r>
      <w:r>
        <w:rPr>
          <w:color w:val="000000"/>
        </w:rPr>
        <w:t>is will be accompanied by the development and application of appropriate indicators to monitor the implementation of inclusive gender policies and actions at institutional, national, EU and, where available, global level. The study will update the data collection and introduce new indicators to measure progress towards gender equality and inclusiveness in R&amp;I. It will follow the career trajectories of researchers and innovators – from the completion of doctoral studies to entry into the labour market to the</w:t>
      </w:r>
      <w:r>
        <w:rPr>
          <w:color w:val="000000"/>
        </w:rPr>
        <w:t xml:space="preserve"> attainment of leadership and decision-making roles. Additionally, it will assess variations in working conditions, career progression, and research output based on gender and, whenever possible, on other intersecting factors, ensuring a more comprehensive understanding of systemic inequalities in R&amp;I.</w:t>
      </w:r>
    </w:p>
    <w:p w14:paraId="01C2F91C" w14:textId="77777777" w:rsidR="00721C98" w:rsidRDefault="00AE7B71">
      <w:r>
        <w:rPr>
          <w:u w:val="single"/>
        </w:rPr>
        <w:t>Form of Funding</w:t>
      </w:r>
      <w:r>
        <w:t>: Procurement</w:t>
      </w:r>
    </w:p>
    <w:p w14:paraId="2FDB5E3F" w14:textId="77777777" w:rsidR="00721C98" w:rsidRDefault="00AE7B71">
      <w:r>
        <w:rPr>
          <w:u w:val="single"/>
        </w:rPr>
        <w:t>Type of Action</w:t>
      </w:r>
      <w:r>
        <w:t>: Public procurement</w:t>
      </w:r>
    </w:p>
    <w:p w14:paraId="0DBB5DC6" w14:textId="77777777" w:rsidR="00721C98" w:rsidRDefault="00AE7B71">
      <w:r>
        <w:rPr>
          <w:u w:val="single"/>
        </w:rPr>
        <w:t>Indicative timetable</w:t>
      </w:r>
      <w:r>
        <w:t>: Q4 2027</w:t>
      </w:r>
    </w:p>
    <w:p w14:paraId="680938F6" w14:textId="77777777" w:rsidR="00721C98" w:rsidRDefault="00AE7B71">
      <w:r>
        <w:rPr>
          <w:u w:val="single"/>
        </w:rPr>
        <w:t>Indicative budget</w:t>
      </w:r>
      <w:r>
        <w:t>: EUR 0.50 million from the 2027 budget</w:t>
      </w:r>
    </w:p>
    <w:p w14:paraId="44DB32DF" w14:textId="77777777" w:rsidR="00721C98" w:rsidRDefault="00AE7B71">
      <w:pPr>
        <w:pStyle w:val="HeadingThree"/>
      </w:pPr>
      <w:r>
        <w:t>7. Implementation of ERA monitoring</w:t>
      </w:r>
    </w:p>
    <w:p w14:paraId="283B785E" w14:textId="77777777" w:rsidR="00721C98" w:rsidRDefault="00AE7B71">
      <w:r>
        <w:rPr>
          <w:color w:val="000000"/>
        </w:rPr>
        <w:t>The Council Recommendation on a Pact for R&amp;I has requested the Commission to set up an ERA Monitoring Mechanism to provide European, national, and regional policy-makers, R&amp;I practitioners, and all interested public with solid, EU-wide analytical tools to help monitor and evaluate progress towards the ERA objectives and assess the implementation of the ERA Policy Agenda.</w:t>
      </w:r>
    </w:p>
    <w:p w14:paraId="0C858272" w14:textId="77777777" w:rsidR="00721C98" w:rsidRDefault="00AE7B71">
      <w:r>
        <w:rPr>
          <w:color w:val="000000"/>
        </w:rPr>
        <w:t>The purpose of this action is to support the implementation and evaluation of the ERA Monitoring Mechanism, encompassing the preparation of the EU-level reports; regular reports on the progress of ERA implementation in each Member State and, if appropriate, in Associated Countries; and, an ERA Scoreboard to assess the overall consolidation and collective progress of ERA priorities at the EU and national levels.</w:t>
      </w:r>
    </w:p>
    <w:p w14:paraId="78EA1026" w14:textId="77777777" w:rsidR="00721C98" w:rsidRDefault="00AE7B71">
      <w:r>
        <w:rPr>
          <w:color w:val="000000"/>
        </w:rPr>
        <w:t xml:space="preserve">The action supports the development and maintenance of the </w:t>
      </w:r>
      <w:hyperlink r:id="rId34">
        <w:r w:rsidR="00721C98">
          <w:rPr>
            <w:szCs w:val="24"/>
            <w:u w:val="single"/>
          </w:rPr>
          <w:t>ERA Policy Platform</w:t>
        </w:r>
      </w:hyperlink>
      <w:r>
        <w:rPr>
          <w:color w:val="000000"/>
        </w:rPr>
        <w:t xml:space="preserve"> that has as its aim a consistent, robust and quality tested national reporting system. Moreover, the Platform provides for easy access to information on ERA policies and activities.</w:t>
      </w:r>
    </w:p>
    <w:p w14:paraId="467A7F9C" w14:textId="77777777" w:rsidR="00721C98" w:rsidRDefault="00AE7B71">
      <w:r>
        <w:rPr>
          <w:u w:val="single"/>
        </w:rPr>
        <w:t>Form of Funding</w:t>
      </w:r>
      <w:r>
        <w:t>: Procurement</w:t>
      </w:r>
    </w:p>
    <w:p w14:paraId="647E5C9C" w14:textId="77777777" w:rsidR="00721C98" w:rsidRDefault="00AE7B71">
      <w:r>
        <w:rPr>
          <w:u w:val="single"/>
        </w:rPr>
        <w:t>Type of Action</w:t>
      </w:r>
      <w:r>
        <w:t>: Public procurement</w:t>
      </w:r>
    </w:p>
    <w:p w14:paraId="5EB3BDD0" w14:textId="77777777" w:rsidR="00721C98" w:rsidRDefault="00AE7B71">
      <w:r>
        <w:rPr>
          <w:u w:val="single"/>
        </w:rPr>
        <w:lastRenderedPageBreak/>
        <w:t>Indicative timetable</w:t>
      </w:r>
      <w:r>
        <w:t>: Q2-Q4 2027</w:t>
      </w:r>
    </w:p>
    <w:p w14:paraId="3085B90B" w14:textId="77777777" w:rsidR="00721C98" w:rsidRDefault="00AE7B71">
      <w:r>
        <w:rPr>
          <w:u w:val="single"/>
        </w:rPr>
        <w:t>Indicative budget</w:t>
      </w:r>
      <w:r>
        <w:t>: EUR 2.00 million from the 2027 budget</w:t>
      </w:r>
    </w:p>
    <w:p w14:paraId="1518A4BA" w14:textId="77777777" w:rsidR="00721C98" w:rsidRDefault="00AE7B71">
      <w:pPr>
        <w:pStyle w:val="HeadingThree"/>
      </w:pPr>
      <w:r>
        <w:t>8. ERA Talent Platform: Enhancing research careers and mobility in Europe</w:t>
      </w:r>
    </w:p>
    <w:p w14:paraId="6D744337" w14:textId="77777777" w:rsidR="00721C98" w:rsidRDefault="00AE7B71">
      <w:r>
        <w:rPr>
          <w:color w:val="000000"/>
        </w:rPr>
        <w:t xml:space="preserve">The </w:t>
      </w:r>
      <w:hyperlink r:id="rId35">
        <w:r w:rsidR="00721C98">
          <w:rPr>
            <w:szCs w:val="24"/>
            <w:u w:val="single"/>
          </w:rPr>
          <w:t>ERA Talent Platform</w:t>
        </w:r>
      </w:hyperlink>
      <w:r>
        <w:rPr>
          <w:color w:val="000000"/>
        </w:rPr>
        <w:t>, including but not limited to initiatives of EURAXESS, RESAVER, HR Excellence in Research, ResearchComp, and the European Research and Innovation Careers Observatory, is one of the key initiatives enhancing research careers and is one of the operational instruments of the ERA. In particular, it contributes to removing the barriers to mobility, improving the attractiveness and sustainability of research careers, and making Europe more competitive.</w:t>
      </w:r>
    </w:p>
    <w:p w14:paraId="20439868" w14:textId="77777777" w:rsidR="00721C98" w:rsidRDefault="00AE7B71">
      <w:r>
        <w:rPr>
          <w:color w:val="000000"/>
        </w:rPr>
        <w:t>This action will ensure continuous improvement and maintenance of the digital aspects of the ERA Talent Platform. This includes, but is not limited to, technical maintenance and development, and graphical and functional enhancements related to evolving user needs and political developments. Additionally, the creation of materials to increase the visibility of these ERA Talent Platform initiatives will be a key component, ensuring broader engagement and awareness among researchers, institutions, and policyma</w:t>
      </w:r>
      <w:r>
        <w:rPr>
          <w:color w:val="000000"/>
        </w:rPr>
        <w:t>kers. New initiatives part of the ERA Talent Platform might also be launched if needed by evolving policy context.</w:t>
      </w:r>
    </w:p>
    <w:p w14:paraId="5C3A9855" w14:textId="77777777" w:rsidR="00721C98" w:rsidRDefault="00AE7B71">
      <w:r>
        <w:rPr>
          <w:color w:val="000000"/>
        </w:rPr>
        <w:t>Awareness about the ERA and its priorities will be increased through promotion activities, including stakeholder dialogues, events, workshops, or conferences, such as the EURAXESS Conference, the HR Excellence in Research Info Days, and the Conference on Research Careers.</w:t>
      </w:r>
    </w:p>
    <w:p w14:paraId="4EF2EAD1" w14:textId="77777777" w:rsidR="00721C98" w:rsidRDefault="00AE7B71">
      <w:r>
        <w:rPr>
          <w:color w:val="000000"/>
        </w:rPr>
        <w:t>This action requires collaboration with a large group of stakeholders, including EURAXESS Bridgehead Organisations/National Coordinators, national portal administrators, EURAXESS Worldwide, HR Excellence in Research contractors and assessors, OECD, and RESAVER. Activities should also include services by external information system provider(s) who, on the basis of inputs provided by the responsible Commission services, guarantee the running of the platform. Online communication and promotion activities shoul</w:t>
      </w:r>
      <w:r>
        <w:rPr>
          <w:color w:val="000000"/>
        </w:rPr>
        <w:t>d also be implemented.</w:t>
      </w:r>
    </w:p>
    <w:p w14:paraId="58272A04" w14:textId="77777777" w:rsidR="00721C98" w:rsidRDefault="00AE7B71">
      <w:r>
        <w:rPr>
          <w:u w:val="single"/>
        </w:rPr>
        <w:t>Form of Funding</w:t>
      </w:r>
      <w:r>
        <w:t>: Procurement</w:t>
      </w:r>
    </w:p>
    <w:p w14:paraId="7183D057" w14:textId="77777777" w:rsidR="00721C98" w:rsidRDefault="00AE7B71">
      <w:r>
        <w:rPr>
          <w:u w:val="single"/>
        </w:rPr>
        <w:t>Type of Action</w:t>
      </w:r>
      <w:r>
        <w:t>: Public procurement</w:t>
      </w:r>
    </w:p>
    <w:p w14:paraId="68DC813B" w14:textId="77777777" w:rsidR="00721C98" w:rsidRDefault="00AE7B71">
      <w:r>
        <w:rPr>
          <w:u w:val="single"/>
        </w:rPr>
        <w:t>Indicative timetable</w:t>
      </w:r>
      <w:r>
        <w:t>: Q1 2026 and Q2 2027</w:t>
      </w:r>
    </w:p>
    <w:p w14:paraId="6E56965D" w14:textId="77777777" w:rsidR="00721C98" w:rsidRDefault="00AE7B71">
      <w:r>
        <w:rPr>
          <w:u w:val="single"/>
        </w:rPr>
        <w:t>Indicative budget</w:t>
      </w:r>
      <w:r>
        <w:t>: EUR 1.00 million from the 2026 budget and EUR 2.50 million from the 2027 budget</w:t>
      </w:r>
    </w:p>
    <w:p w14:paraId="0AD35723" w14:textId="77777777" w:rsidR="00721C98" w:rsidRDefault="00AE7B71">
      <w:pPr>
        <w:pStyle w:val="HeadingThree"/>
      </w:pPr>
      <w:r>
        <w:t>9. EURAXESS Worldwide - Framework contract (2028-2031)</w:t>
      </w:r>
    </w:p>
    <w:p w14:paraId="68C29C2D" w14:textId="77777777" w:rsidR="00721C98" w:rsidRDefault="00AE7B71">
      <w:r>
        <w:rPr>
          <w:color w:val="000000"/>
        </w:rPr>
        <w:t>The objective of the procurement action is to ensure the continuity of the operations and the coordination of Euraxess Worldwide, allowing for the extension of the activities to new countries, regions, and tasks as appropriate in accordance with EU strategic policy priorities.</w:t>
      </w:r>
    </w:p>
    <w:p w14:paraId="0CEE489C" w14:textId="77777777" w:rsidR="00721C98" w:rsidRDefault="00AE7B71">
      <w:r>
        <w:rPr>
          <w:color w:val="000000"/>
        </w:rPr>
        <w:lastRenderedPageBreak/>
        <w:t>The Euraxess Hubs are expected to undertake physical and virtual promotion, networking and knowledge-sharing activities to promote the opportunities available for cooperation and mobility. The action will serve as a diplomacy asset, raising awareness of the attractiveness of Europe as a favourable environment for excellent R&amp;I, to attract international talents to the EU and European researchers back from abroad, as well as promoting R&amp;I cooperation between the EU and the world. This action will operate in s</w:t>
      </w:r>
      <w:r>
        <w:rPr>
          <w:color w:val="000000"/>
        </w:rPr>
        <w:t>olid alignment with the European dimension of Euraxess.</w:t>
      </w:r>
    </w:p>
    <w:p w14:paraId="2C644F7B" w14:textId="77777777" w:rsidR="00721C98" w:rsidRDefault="00AE7B71">
      <w:r>
        <w:rPr>
          <w:color w:val="000000"/>
        </w:rPr>
        <w:t>This framework contract will cover the period 2028-2031. Its estimated budget is EUR 12 million.</w:t>
      </w:r>
    </w:p>
    <w:p w14:paraId="1F49EE1D" w14:textId="77777777" w:rsidR="00721C98" w:rsidRDefault="00AE7B71">
      <w:r>
        <w:rPr>
          <w:u w:val="single"/>
        </w:rPr>
        <w:t>Form of Funding</w:t>
      </w:r>
      <w:r>
        <w:t>: Procurement</w:t>
      </w:r>
    </w:p>
    <w:p w14:paraId="72408C80" w14:textId="77777777" w:rsidR="00721C98" w:rsidRDefault="00AE7B71">
      <w:r>
        <w:rPr>
          <w:u w:val="single"/>
        </w:rPr>
        <w:t>Type of Action</w:t>
      </w:r>
      <w:r>
        <w:t>: Public procurement</w:t>
      </w:r>
    </w:p>
    <w:p w14:paraId="315AECA8" w14:textId="77777777" w:rsidR="00721C98" w:rsidRDefault="00AE7B71">
      <w:r>
        <w:rPr>
          <w:u w:val="single"/>
        </w:rPr>
        <w:t>Indicative timetable</w:t>
      </w:r>
      <w:r>
        <w:t>: Q2 2027</w:t>
      </w:r>
    </w:p>
    <w:p w14:paraId="0835C113" w14:textId="77777777" w:rsidR="00721C98" w:rsidRDefault="00AE7B71">
      <w:pPr>
        <w:pStyle w:val="HeadingThree"/>
      </w:pPr>
      <w:r>
        <w:t>10. Gender Equality Competence Facility - Framework Contract (2027-2030)</w:t>
      </w:r>
    </w:p>
    <w:p w14:paraId="113CB9CA" w14:textId="77777777" w:rsidR="00721C98" w:rsidRDefault="00AE7B71">
      <w:r>
        <w:rPr>
          <w:color w:val="000000"/>
        </w:rPr>
        <w:t>This action aims to ensure a service to support the design, implementation, monitoring, and evaluation of impactful inclusive Gender Equality Plans (GEP) and other gender equality policies across the ERA, and thus to facilitate inclusive structural change and enhance its sustainability within organisations.</w:t>
      </w:r>
    </w:p>
    <w:p w14:paraId="61B04396" w14:textId="77777777" w:rsidR="00721C98" w:rsidRDefault="00AE7B71">
      <w:r>
        <w:rPr>
          <w:color w:val="000000"/>
        </w:rPr>
        <w:t>A key aspect of this service is to support concerned organisations in complying with the EU policy requirements and priorities related to inclusive gender equality, in particular to GEPs and any potential new or changed requirements for the next EU framework programme for R&amp;I and possibly other new programmes under the post-2027 multiannual financial framework. This support includes providing guidance, conducting capacity building events, fostering mutual learning and exchanges, as well as raising awareness</w:t>
      </w:r>
      <w:r>
        <w:rPr>
          <w:color w:val="000000"/>
        </w:rPr>
        <w:t xml:space="preserve"> about the topic.</w:t>
      </w:r>
    </w:p>
    <w:p w14:paraId="421DBD17" w14:textId="77777777" w:rsidR="00721C98" w:rsidRDefault="00AE7B71">
      <w:r>
        <w:rPr>
          <w:color w:val="000000"/>
        </w:rPr>
        <w:t>The EU Gender Competence Facility is expected to follow up and build on a series of supporting initiatives deployed since 2020 to help higher education establishments, research organisations, and public bodies across Member States and Associated Countries understand the requirements associated with the Horizon Europe, especially the GEP eligibility criterion and be prepared for its enforcement, as well as to mobilise expertise and commitment at national level for the development of GEPs and inclusive gender</w:t>
      </w:r>
      <w:r>
        <w:rPr>
          <w:color w:val="000000"/>
        </w:rPr>
        <w:t xml:space="preserve"> equality policies. It must be implemented in synergy with ongoing related initiatives and in cooperation with concerned stakeholders, e.g., the ERA Forum subgroup on Inclusive Gender Equality in the ERA.</w:t>
      </w:r>
    </w:p>
    <w:p w14:paraId="09EBEEE7" w14:textId="77777777" w:rsidR="00721C98" w:rsidRDefault="00AE7B71">
      <w:r>
        <w:rPr>
          <w:color w:val="000000"/>
        </w:rPr>
        <w:t>This framework contract will cover the period 2027-2030. Its estimated budget is EUR 6 million.</w:t>
      </w:r>
    </w:p>
    <w:p w14:paraId="3B38DBB3" w14:textId="77777777" w:rsidR="00721C98" w:rsidRDefault="00AE7B71">
      <w:r>
        <w:rPr>
          <w:u w:val="single"/>
        </w:rPr>
        <w:t>Form of Funding</w:t>
      </w:r>
      <w:r>
        <w:t>: Procurement</w:t>
      </w:r>
    </w:p>
    <w:p w14:paraId="0F513C52" w14:textId="77777777" w:rsidR="00721C98" w:rsidRDefault="00AE7B71">
      <w:r>
        <w:rPr>
          <w:u w:val="single"/>
        </w:rPr>
        <w:t>Type of Action</w:t>
      </w:r>
      <w:r>
        <w:t>: Public procurement</w:t>
      </w:r>
    </w:p>
    <w:p w14:paraId="3A83C48C" w14:textId="77777777" w:rsidR="00721C98" w:rsidRDefault="00AE7B71">
      <w:r>
        <w:rPr>
          <w:u w:val="single"/>
        </w:rPr>
        <w:t>Indicative timetable</w:t>
      </w:r>
      <w:r>
        <w:t>: Q2 2027</w:t>
      </w:r>
    </w:p>
    <w:p w14:paraId="6C17EF85" w14:textId="77777777" w:rsidR="00721C98" w:rsidRDefault="00AE7B71">
      <w:pPr>
        <w:pStyle w:val="HeadingOne"/>
        <w:pageBreakBefore/>
      </w:pPr>
      <w:r>
        <w:lastRenderedPageBreak/>
        <w:t>EXTERNAL EXPERT ACTIONS</w:t>
      </w:r>
    </w:p>
    <w:p w14:paraId="6D4CB826" w14:textId="77777777" w:rsidR="00721C98" w:rsidRDefault="00AE7B71">
      <w:pPr>
        <w:pStyle w:val="HeadingThree"/>
      </w:pPr>
      <w:r>
        <w:t>1. Use of individual experts for ad hoc tasks related to the implementation of the Horizon Europe Ethics Appraisal</w:t>
      </w:r>
    </w:p>
    <w:p w14:paraId="33418D4E" w14:textId="77777777" w:rsidR="00721C98" w:rsidRDefault="00AE7B71">
      <w:r>
        <w:rPr>
          <w:color w:val="000000"/>
        </w:rPr>
        <w:t>This action will support the use of independent experts to advise on or assist with the implementation of the Horizon Europe Ethics Appraisal scheme in view of ensuring and maintaining its quality and effectiveness, including for training.</w:t>
      </w:r>
    </w:p>
    <w:p w14:paraId="74D6BAC8" w14:textId="77777777" w:rsidR="00721C98" w:rsidRDefault="00AE7B71">
      <w:r>
        <w:rPr>
          <w:color w:val="000000"/>
        </w:rPr>
        <w:t>A special allowance of EUR 450/day will be paid to the experts appointed in their personal capacity who act independently and in the public interest.</w:t>
      </w:r>
    </w:p>
    <w:p w14:paraId="6CC87580" w14:textId="77777777" w:rsidR="00721C98" w:rsidRDefault="00AE7B71">
      <w:r>
        <w:rPr>
          <w:u w:val="single"/>
        </w:rPr>
        <w:t>Form of Funding</w:t>
      </w:r>
      <w:r>
        <w:t>: Other budget implementation instruments</w:t>
      </w:r>
    </w:p>
    <w:p w14:paraId="6150B09A" w14:textId="77777777" w:rsidR="00721C98" w:rsidRDefault="00AE7B71">
      <w:r>
        <w:rPr>
          <w:u w:val="single"/>
        </w:rPr>
        <w:t>Type of Action</w:t>
      </w:r>
      <w:r>
        <w:t>: Expert contract action</w:t>
      </w:r>
    </w:p>
    <w:p w14:paraId="6F93DC95" w14:textId="77777777" w:rsidR="00721C98" w:rsidRDefault="00AE7B71">
      <w:r>
        <w:rPr>
          <w:u w:val="single"/>
        </w:rPr>
        <w:t>Indicative timetable</w:t>
      </w:r>
      <w:r>
        <w:t>: Q1 2026 - Q1 2027</w:t>
      </w:r>
    </w:p>
    <w:p w14:paraId="16823BC3" w14:textId="77777777" w:rsidR="00721C98" w:rsidRDefault="00AE7B71">
      <w:r>
        <w:rPr>
          <w:u w:val="single"/>
        </w:rPr>
        <w:t>Indicative budget</w:t>
      </w:r>
      <w:r>
        <w:t>: EUR 0.10 million from the 2026 budget and EUR 0.10 million from the 2027 budget</w:t>
      </w:r>
    </w:p>
    <w:p w14:paraId="1D3B7698" w14:textId="77777777" w:rsidR="00721C98" w:rsidRDefault="00AE7B71">
      <w:pPr>
        <w:pStyle w:val="HeadingThree"/>
      </w:pPr>
      <w:r>
        <w:t>2. Use of individual experts in support of the ERA's objectives</w:t>
      </w:r>
    </w:p>
    <w:p w14:paraId="0D415507" w14:textId="77777777" w:rsidR="00721C98" w:rsidRDefault="00AE7B71">
      <w:r>
        <w:rPr>
          <w:color w:val="000000"/>
        </w:rPr>
        <w:t>This action will support the provision of independent expertise to improve the evidence base and collect advice on various aspects related to the strengthening of the ERA and reforming and enhancing the European R&amp;I system. Individual experts will contribute to the preparation, implementation, and monitoring of structural policies and actions of the ERA Policy Agendas.</w:t>
      </w:r>
    </w:p>
    <w:p w14:paraId="1E679CAD" w14:textId="77777777" w:rsidR="00721C98" w:rsidRDefault="00AE7B71">
      <w:r>
        <w:rPr>
          <w:color w:val="000000"/>
        </w:rPr>
        <w:t>A special allowance of EUR 450/day will be paid to the experts appointed in their personal capacity who act independently and in the public interest.</w:t>
      </w:r>
    </w:p>
    <w:p w14:paraId="07F255FE" w14:textId="77777777" w:rsidR="00721C98" w:rsidRDefault="00AE7B71">
      <w:r>
        <w:rPr>
          <w:u w:val="single"/>
        </w:rPr>
        <w:t>Form of Funding</w:t>
      </w:r>
      <w:r>
        <w:t>: Other budget implementation instruments</w:t>
      </w:r>
    </w:p>
    <w:p w14:paraId="76D9AD23" w14:textId="77777777" w:rsidR="00721C98" w:rsidRDefault="00AE7B71">
      <w:r>
        <w:rPr>
          <w:u w:val="single"/>
        </w:rPr>
        <w:t>Type of Action</w:t>
      </w:r>
      <w:r>
        <w:t>: Expert contract action</w:t>
      </w:r>
    </w:p>
    <w:p w14:paraId="17D41CF1" w14:textId="77777777" w:rsidR="00721C98" w:rsidRDefault="00AE7B71">
      <w:r>
        <w:rPr>
          <w:u w:val="single"/>
        </w:rPr>
        <w:t>Indicative timetable</w:t>
      </w:r>
      <w:r>
        <w:t>: Q1 2026-Q4 2027</w:t>
      </w:r>
    </w:p>
    <w:p w14:paraId="3F66FB87" w14:textId="77777777" w:rsidR="00721C98" w:rsidRDefault="00AE7B71">
      <w:r>
        <w:rPr>
          <w:u w:val="single"/>
        </w:rPr>
        <w:t>Indicative budget</w:t>
      </w:r>
      <w:r>
        <w:t>: EUR 0.20 million from the 2026 budget and EUR 0.20 million from the 2027 budget</w:t>
      </w:r>
    </w:p>
    <w:p w14:paraId="6CCC49CD" w14:textId="77777777" w:rsidR="00721C98" w:rsidRDefault="00AE7B71">
      <w:pPr>
        <w:pStyle w:val="HeadingThree"/>
      </w:pPr>
      <w:r>
        <w:t xml:space="preserve">3. External expertise for evaluation and monitoring of Widening and ERA actions </w:t>
      </w:r>
    </w:p>
    <w:p w14:paraId="74381C8E" w14:textId="77777777" w:rsidR="00721C98" w:rsidRDefault="00AE7B71">
      <w:r>
        <w:rPr>
          <w:color w:val="000000"/>
        </w:rPr>
        <w:t xml:space="preserve">This action will support the use of appointed independent experts for the evaluation and monitoring of actions (grant agreement, grant decision, public procurement actions, financial instruments, evaluation) funded under Horizon Europe and where appropriate, include ethics checks as well as compliance checks regarding the Gender Equality Plan eligibility criterion. </w:t>
      </w:r>
      <w:r>
        <w:rPr>
          <w:color w:val="000000"/>
        </w:rPr>
        <w:lastRenderedPageBreak/>
        <w:t>A special allowance of EUR 450/day will be paid to the experts appointed in their personal capacity who act independently and in the public interest.</w:t>
      </w:r>
    </w:p>
    <w:p w14:paraId="27AC60C2" w14:textId="77777777" w:rsidR="00721C98" w:rsidRDefault="00AE7B71">
      <w:r>
        <w:rPr>
          <w:u w:val="single"/>
        </w:rPr>
        <w:t>Form of Funding</w:t>
      </w:r>
      <w:r>
        <w:t>: Other budget implementation instruments</w:t>
      </w:r>
    </w:p>
    <w:p w14:paraId="1B08BEFB" w14:textId="77777777" w:rsidR="00721C98" w:rsidRDefault="00AE7B71">
      <w:r>
        <w:rPr>
          <w:u w:val="single"/>
        </w:rPr>
        <w:t>Type of Action</w:t>
      </w:r>
      <w:r>
        <w:t>: Expert contract action</w:t>
      </w:r>
    </w:p>
    <w:p w14:paraId="3993681E" w14:textId="77777777" w:rsidR="00721C98" w:rsidRDefault="00AE7B71">
      <w:r>
        <w:rPr>
          <w:u w:val="single"/>
        </w:rPr>
        <w:t>Indicative timetable</w:t>
      </w:r>
      <w:r>
        <w:t>: Q1 2026-Q4 2027</w:t>
      </w:r>
    </w:p>
    <w:p w14:paraId="670E24EE" w14:textId="77777777" w:rsidR="00721C98" w:rsidRDefault="00AE7B71">
      <w:r>
        <w:rPr>
          <w:u w:val="single"/>
        </w:rPr>
        <w:t>Indicative budget</w:t>
      </w:r>
      <w:r>
        <w:t>: EUR 1.18 million from the 2026 budget and EUR 0.89 million from the 2027 budget</w:t>
      </w:r>
    </w:p>
    <w:p w14:paraId="24ABBD17" w14:textId="77777777" w:rsidR="00721C98" w:rsidRDefault="00AE7B71">
      <w:pPr>
        <w:pStyle w:val="HeadingOne"/>
        <w:pageBreakBefore/>
      </w:pPr>
      <w:r>
        <w:lastRenderedPageBreak/>
        <w:t>OTHER ACTIONS NOT SUBJECT TO CALLS FOR PROPOSALS</w:t>
      </w:r>
    </w:p>
    <w:p w14:paraId="6B81F425" w14:textId="77777777" w:rsidR="00721C98" w:rsidRDefault="00AE7B71">
      <w:pPr>
        <w:pStyle w:val="HeadingThree"/>
      </w:pPr>
      <w:r>
        <w:t>1. COST (European Co-operation in Science and Technology)</w:t>
      </w:r>
      <w:r>
        <w:rPr>
          <w:vertAlign w:val="superscript"/>
        </w:rPr>
        <w:footnoteReference w:id="126"/>
      </w:r>
    </w:p>
    <w:p w14:paraId="738012A5" w14:textId="77777777" w:rsidR="00721C98" w:rsidRDefault="00AE7B71">
      <w:r>
        <w:rPr>
          <w:color w:val="000000"/>
        </w:rPr>
        <w:t>The European Commission funds almost the entire programme under a Framework Partnership Agreement with underlying Specific Grant Agreements. In these agreements, the COST Association commits to a mandatory conditionality to spend at least 50% of the budget for the benefit of researchers from Widening countries and to run 80% of the activities with a significant widening dimension.</w:t>
      </w:r>
    </w:p>
    <w:p w14:paraId="135830AA" w14:textId="77777777" w:rsidR="00721C98" w:rsidRDefault="00AE7B71">
      <w:r>
        <w:rPr>
          <w:color w:val="000000"/>
        </w:rPr>
        <w:t>This specific grant agreement has the objective to support the transition of the COST programme towards a more efficient implementation while focusing activities on the interdisciplinary research networks called COST Actions. The applicant should outline in its proposal how the measures proposed to increase efficiency and limiting activities to core activities around the COST actions allow to reduce the implementation costs</w:t>
      </w:r>
      <w:r>
        <w:rPr>
          <w:vertAlign w:val="superscript"/>
        </w:rPr>
        <w:footnoteReference w:id="127"/>
      </w:r>
      <w:r>
        <w:rPr>
          <w:color w:val="000000"/>
        </w:rPr>
        <w:t xml:space="preserve"> for the financial support to third parties significantly, compared of the level of the first specific grant agreement under the current Framework Partnership Agreement. These measures should be reflected in an action plan with clear milestones.</w:t>
      </w:r>
    </w:p>
    <w:p w14:paraId="394FB2D0" w14:textId="77777777" w:rsidR="00721C98" w:rsidRDefault="00AE7B71">
      <w:r>
        <w:rPr>
          <w:color w:val="000000"/>
        </w:rPr>
        <w:t>The expected duration for this specific grant agreement is two years.</w:t>
      </w:r>
    </w:p>
    <w:p w14:paraId="418BB339" w14:textId="77777777" w:rsidR="00721C98" w:rsidRDefault="00AE7B71">
      <w:r>
        <w:rPr>
          <w:color w:val="000000"/>
        </w:rPr>
        <w:t>The costs incurred by the COST Association as the implementing structure are eligible as direct cost up to a maximum of EUR 16 million as far as they are necessary for the implementation of the COST programme, networking actions and related other support activities. Within this capping, cost for other goods and services and subcontracting are eligible up to a cumulated maximum of EUR 2 million.</w:t>
      </w:r>
    </w:p>
    <w:p w14:paraId="27676D7F" w14:textId="77777777" w:rsidR="00721C98" w:rsidRDefault="00AE7B71">
      <w:r>
        <w:rPr>
          <w:color w:val="000000"/>
        </w:rPr>
        <w:t>COST actions will be implemented by third party grant holders receiving financial support to third parties.</w:t>
      </w:r>
    </w:p>
    <w:p w14:paraId="45E0682B" w14:textId="77777777" w:rsidR="00721C98" w:rsidRDefault="00AE7B71">
      <w:r>
        <w:rPr>
          <w:color w:val="000000"/>
        </w:rPr>
        <w:t>The COST Association will organise competitive open calls and an independent evaluation and selection procedure according to its own rules in agreement with the European Commission. At proposal stage at least 50% of the participants must be located in Widening countries.</w:t>
      </w:r>
    </w:p>
    <w:p w14:paraId="4D091AF4" w14:textId="77777777" w:rsidR="00721C98" w:rsidRDefault="00AE7B71">
      <w:r>
        <w:rPr>
          <w:color w:val="000000"/>
        </w:rPr>
        <w:t>Specific conditions: Beneficiaries must provide financial support to third parties (FSTP). The support to third parties can only be provided in the form of grants. In derogation to article 207 EU Financial Regulation, the maximum amount to be granted to each third party can exceed EUR 60,000 and reach up to EUR 900 000 per COST action. This derogation is motivated by the fact that FSTP actions are expected to support a very large numbers of individual researchers (up to around 200).</w:t>
      </w:r>
    </w:p>
    <w:p w14:paraId="715BDA9B" w14:textId="77777777" w:rsidR="00721C98" w:rsidRDefault="00AE7B71">
      <w:r>
        <w:rPr>
          <w:u w:val="single"/>
        </w:rPr>
        <w:lastRenderedPageBreak/>
        <w:t>Form of Funding</w:t>
      </w:r>
      <w:r>
        <w:t>: Grants not subject to calls for proposals</w:t>
      </w:r>
    </w:p>
    <w:p w14:paraId="6BDE4F96" w14:textId="77777777" w:rsidR="00721C98" w:rsidRDefault="00AE7B71">
      <w:r>
        <w:rPr>
          <w:u w:val="single"/>
        </w:rPr>
        <w:t>Type of Action</w:t>
      </w:r>
      <w:r>
        <w:t>: Specific grant agreement awarded without call for proposals in relation to a Framework Partnership Agreement</w:t>
      </w:r>
    </w:p>
    <w:p w14:paraId="4AA02142" w14:textId="77777777" w:rsidR="00721C98" w:rsidRDefault="00AE7B71">
      <w:r>
        <w:rPr>
          <w:u w:val="single"/>
        </w:rPr>
        <w:t>Indicative timetable</w:t>
      </w:r>
      <w:r>
        <w:t>: Q2 2026</w:t>
      </w:r>
    </w:p>
    <w:p w14:paraId="7C28ACE0" w14:textId="77777777" w:rsidR="00721C98" w:rsidRDefault="00AE7B71">
      <w:r>
        <w:rPr>
          <w:u w:val="single"/>
        </w:rPr>
        <w:t>Indicative budget</w:t>
      </w:r>
      <w:r>
        <w:t>: EUR 120.00 million from the 2026 budget</w:t>
      </w:r>
    </w:p>
    <w:p w14:paraId="3F7D0DA7" w14:textId="77777777" w:rsidR="00721C98" w:rsidRDefault="00AE7B71">
      <w:pPr>
        <w:pStyle w:val="HeadingOne"/>
        <w:pageBreakBefore/>
      </w:pPr>
      <w:r>
        <w:lastRenderedPageBreak/>
        <w:t>Budget</w:t>
      </w:r>
      <w:r>
        <w:rPr>
          <w:vertAlign w:val="superscript"/>
        </w:rPr>
        <w:footnoteReference w:id="128"/>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27"/>
        <w:gridCol w:w="1583"/>
        <w:gridCol w:w="1446"/>
        <w:gridCol w:w="1446"/>
      </w:tblGrid>
      <w:tr w:rsidR="00721C98" w14:paraId="111B59CD" w14:textId="77777777">
        <w:tc>
          <w:tcPr>
            <w:tcW w:w="3000" w:type="dxa"/>
          </w:tcPr>
          <w:p w14:paraId="3B81984F" w14:textId="77777777" w:rsidR="00721C98" w:rsidRDefault="00721C98">
            <w:pPr>
              <w:pStyle w:val="CellHeaderTextValue"/>
            </w:pPr>
          </w:p>
        </w:tc>
        <w:tc>
          <w:tcPr>
            <w:tcW w:w="2000" w:type="dxa"/>
          </w:tcPr>
          <w:p w14:paraId="75BCE3F7" w14:textId="77777777" w:rsidR="00721C98" w:rsidRDefault="00AE7B71">
            <w:pPr>
              <w:pStyle w:val="CellHeaderTextValue"/>
            </w:pPr>
            <w:r>
              <w:t>Budget line(s)</w:t>
            </w:r>
          </w:p>
        </w:tc>
        <w:tc>
          <w:tcPr>
            <w:tcW w:w="2000" w:type="dxa"/>
          </w:tcPr>
          <w:p w14:paraId="6A826FB1" w14:textId="77777777" w:rsidR="00721C98" w:rsidRDefault="00AE7B71">
            <w:pPr>
              <w:pStyle w:val="CellHeaderTextValue"/>
            </w:pPr>
            <w:r>
              <w:t>2026 Budget (EUR million)</w:t>
            </w:r>
          </w:p>
        </w:tc>
        <w:tc>
          <w:tcPr>
            <w:tcW w:w="2000" w:type="dxa"/>
          </w:tcPr>
          <w:p w14:paraId="2903C7F9" w14:textId="77777777" w:rsidR="00721C98" w:rsidRDefault="00AE7B71">
            <w:pPr>
              <w:pStyle w:val="CellHeaderTextValue"/>
            </w:pPr>
            <w:r>
              <w:t>2027 Budget (EUR million)</w:t>
            </w:r>
          </w:p>
        </w:tc>
      </w:tr>
      <w:tr w:rsidR="00DB4111" w14:paraId="18FC5193" w14:textId="77777777" w:rsidTr="00DB4111">
        <w:tc>
          <w:tcPr>
            <w:tcW w:w="0" w:type="auto"/>
            <w:gridSpan w:val="4"/>
          </w:tcPr>
          <w:p w14:paraId="6150C5BE" w14:textId="77777777" w:rsidR="00721C98" w:rsidRDefault="00AE7B71">
            <w:pPr>
              <w:pStyle w:val="CellHeaderTextValue"/>
              <w:jc w:val="left"/>
            </w:pPr>
            <w:r>
              <w:rPr>
                <w:b/>
              </w:rPr>
              <w:t>Calls</w:t>
            </w:r>
          </w:p>
        </w:tc>
      </w:tr>
      <w:tr w:rsidR="00721C98" w14:paraId="32D891DB" w14:textId="77777777">
        <w:tc>
          <w:tcPr>
            <w:tcW w:w="0" w:type="auto"/>
            <w:vMerge w:val="restart"/>
          </w:tcPr>
          <w:p w14:paraId="22D22DE0" w14:textId="77777777" w:rsidR="00721C98" w:rsidRDefault="00AE7B71">
            <w:pPr>
              <w:pStyle w:val="CellTextValue"/>
            </w:pPr>
            <w:r>
              <w:t>HORIZON-WIDERA-2026-01</w:t>
            </w:r>
          </w:p>
        </w:tc>
        <w:tc>
          <w:tcPr>
            <w:tcW w:w="0" w:type="auto"/>
          </w:tcPr>
          <w:p w14:paraId="7436AA10" w14:textId="77777777" w:rsidR="00721C98" w:rsidRDefault="00721C98">
            <w:pPr>
              <w:pStyle w:val="CellTextValue"/>
            </w:pPr>
          </w:p>
        </w:tc>
        <w:tc>
          <w:tcPr>
            <w:tcW w:w="0" w:type="auto"/>
          </w:tcPr>
          <w:p w14:paraId="702710C9" w14:textId="77777777" w:rsidR="00721C98" w:rsidRDefault="00AE7B71">
            <w:pPr>
              <w:pStyle w:val="CellTextValueNumeric"/>
            </w:pPr>
            <w:r>
              <w:t>7.00</w:t>
            </w:r>
          </w:p>
        </w:tc>
        <w:tc>
          <w:tcPr>
            <w:tcW w:w="0" w:type="auto"/>
          </w:tcPr>
          <w:p w14:paraId="25BBDB4B" w14:textId="77777777" w:rsidR="00721C98" w:rsidRDefault="00721C98">
            <w:pPr>
              <w:pStyle w:val="CellTextValueNumeric"/>
            </w:pPr>
          </w:p>
        </w:tc>
      </w:tr>
      <w:tr w:rsidR="00721C98" w14:paraId="26FF4EA2" w14:textId="77777777">
        <w:tc>
          <w:tcPr>
            <w:tcW w:w="0" w:type="auto"/>
            <w:vMerge/>
          </w:tcPr>
          <w:p w14:paraId="39604E95" w14:textId="77777777" w:rsidR="00721C98" w:rsidRDefault="00721C98">
            <w:pPr>
              <w:pStyle w:val="CellTextValue"/>
            </w:pPr>
          </w:p>
        </w:tc>
        <w:tc>
          <w:tcPr>
            <w:tcW w:w="0" w:type="auto"/>
          </w:tcPr>
          <w:p w14:paraId="3EB383AB" w14:textId="77777777" w:rsidR="00721C98" w:rsidRDefault="00AE7B71">
            <w:pPr>
              <w:pStyle w:val="CellTextValueGray"/>
            </w:pPr>
            <w:r>
              <w:t>from 01.020401</w:t>
            </w:r>
          </w:p>
        </w:tc>
        <w:tc>
          <w:tcPr>
            <w:tcW w:w="0" w:type="auto"/>
          </w:tcPr>
          <w:p w14:paraId="07CF1349" w14:textId="77777777" w:rsidR="00721C98" w:rsidRDefault="00AE7B71">
            <w:pPr>
              <w:pStyle w:val="CellTextValueNumericGray"/>
            </w:pPr>
            <w:r>
              <w:t>7.00</w:t>
            </w:r>
          </w:p>
        </w:tc>
        <w:tc>
          <w:tcPr>
            <w:tcW w:w="0" w:type="auto"/>
          </w:tcPr>
          <w:p w14:paraId="2E239B08" w14:textId="77777777" w:rsidR="00721C98" w:rsidRDefault="00AE7B71">
            <w:pPr>
              <w:pStyle w:val="CellTextValueNumericGray"/>
            </w:pPr>
            <w:r>
              <w:t>0.00</w:t>
            </w:r>
          </w:p>
        </w:tc>
      </w:tr>
      <w:tr w:rsidR="00721C98" w14:paraId="5C0E6C33" w14:textId="77777777">
        <w:tc>
          <w:tcPr>
            <w:tcW w:w="0" w:type="auto"/>
            <w:vMerge w:val="restart"/>
          </w:tcPr>
          <w:p w14:paraId="2B7876B1" w14:textId="77777777" w:rsidR="00721C98" w:rsidRDefault="00AE7B71">
            <w:pPr>
              <w:pStyle w:val="CellTextValue"/>
            </w:pPr>
            <w:r>
              <w:t>HORIZON-WIDERA-2026-02</w:t>
            </w:r>
          </w:p>
        </w:tc>
        <w:tc>
          <w:tcPr>
            <w:tcW w:w="0" w:type="auto"/>
          </w:tcPr>
          <w:p w14:paraId="476E35F9" w14:textId="77777777" w:rsidR="00721C98" w:rsidRDefault="00721C98">
            <w:pPr>
              <w:pStyle w:val="CellTextValue"/>
            </w:pPr>
          </w:p>
        </w:tc>
        <w:tc>
          <w:tcPr>
            <w:tcW w:w="0" w:type="auto"/>
          </w:tcPr>
          <w:p w14:paraId="6A196AD8" w14:textId="77777777" w:rsidR="00721C98" w:rsidRDefault="00AE7B71">
            <w:pPr>
              <w:pStyle w:val="CellTextValueNumeric"/>
            </w:pPr>
            <w:r>
              <w:t>223.00</w:t>
            </w:r>
          </w:p>
        </w:tc>
        <w:tc>
          <w:tcPr>
            <w:tcW w:w="0" w:type="auto"/>
          </w:tcPr>
          <w:p w14:paraId="6C24D50E" w14:textId="77777777" w:rsidR="00721C98" w:rsidRDefault="00AE7B71">
            <w:pPr>
              <w:pStyle w:val="CellTextValueNumeric"/>
            </w:pPr>
            <w:r>
              <w:t>41.50</w:t>
            </w:r>
          </w:p>
        </w:tc>
      </w:tr>
      <w:tr w:rsidR="00721C98" w14:paraId="7C6543EE" w14:textId="77777777">
        <w:tc>
          <w:tcPr>
            <w:tcW w:w="0" w:type="auto"/>
            <w:vMerge/>
          </w:tcPr>
          <w:p w14:paraId="3059D2F2" w14:textId="77777777" w:rsidR="00721C98" w:rsidRDefault="00721C98">
            <w:pPr>
              <w:pStyle w:val="CellTextValue"/>
            </w:pPr>
          </w:p>
        </w:tc>
        <w:tc>
          <w:tcPr>
            <w:tcW w:w="0" w:type="auto"/>
          </w:tcPr>
          <w:p w14:paraId="00FE4F68" w14:textId="77777777" w:rsidR="00721C98" w:rsidRDefault="00AE7B71">
            <w:pPr>
              <w:pStyle w:val="CellTextValueGray"/>
            </w:pPr>
            <w:r>
              <w:t>from 01.020401</w:t>
            </w:r>
          </w:p>
        </w:tc>
        <w:tc>
          <w:tcPr>
            <w:tcW w:w="0" w:type="auto"/>
          </w:tcPr>
          <w:p w14:paraId="3738F2D1" w14:textId="77777777" w:rsidR="00721C98" w:rsidRDefault="00AE7B71">
            <w:pPr>
              <w:pStyle w:val="CellTextValueNumericGray"/>
            </w:pPr>
            <w:r>
              <w:t>223.00</w:t>
            </w:r>
          </w:p>
        </w:tc>
        <w:tc>
          <w:tcPr>
            <w:tcW w:w="0" w:type="auto"/>
          </w:tcPr>
          <w:p w14:paraId="1EC811F2" w14:textId="77777777" w:rsidR="00721C98" w:rsidRDefault="00AE7B71">
            <w:pPr>
              <w:pStyle w:val="CellTextValueNumericGray"/>
            </w:pPr>
            <w:r>
              <w:t>41.50</w:t>
            </w:r>
          </w:p>
        </w:tc>
      </w:tr>
      <w:tr w:rsidR="00721C98" w14:paraId="01286D67" w14:textId="77777777">
        <w:tc>
          <w:tcPr>
            <w:tcW w:w="0" w:type="auto"/>
            <w:vMerge w:val="restart"/>
          </w:tcPr>
          <w:p w14:paraId="53EC0B8E" w14:textId="77777777" w:rsidR="00721C98" w:rsidRDefault="00AE7B71">
            <w:pPr>
              <w:pStyle w:val="CellTextValue"/>
            </w:pPr>
            <w:r>
              <w:t>HORIZON-WIDERA-2026-03</w:t>
            </w:r>
          </w:p>
        </w:tc>
        <w:tc>
          <w:tcPr>
            <w:tcW w:w="0" w:type="auto"/>
          </w:tcPr>
          <w:p w14:paraId="21841770" w14:textId="77777777" w:rsidR="00721C98" w:rsidRDefault="00721C98">
            <w:pPr>
              <w:pStyle w:val="CellTextValue"/>
            </w:pPr>
          </w:p>
        </w:tc>
        <w:tc>
          <w:tcPr>
            <w:tcW w:w="0" w:type="auto"/>
          </w:tcPr>
          <w:p w14:paraId="6383D6C9" w14:textId="77777777" w:rsidR="00721C98" w:rsidRDefault="00AE7B71">
            <w:pPr>
              <w:pStyle w:val="CellTextValueNumeric"/>
            </w:pPr>
            <w:r>
              <w:t>30.00</w:t>
            </w:r>
          </w:p>
        </w:tc>
        <w:tc>
          <w:tcPr>
            <w:tcW w:w="0" w:type="auto"/>
          </w:tcPr>
          <w:p w14:paraId="53D3D893" w14:textId="77777777" w:rsidR="00721C98" w:rsidRDefault="00721C98">
            <w:pPr>
              <w:pStyle w:val="CellTextValueNumeric"/>
            </w:pPr>
          </w:p>
        </w:tc>
      </w:tr>
      <w:tr w:rsidR="00721C98" w14:paraId="2A10E76B" w14:textId="77777777">
        <w:tc>
          <w:tcPr>
            <w:tcW w:w="0" w:type="auto"/>
            <w:vMerge/>
          </w:tcPr>
          <w:p w14:paraId="06F9AE69" w14:textId="77777777" w:rsidR="00721C98" w:rsidRDefault="00721C98">
            <w:pPr>
              <w:pStyle w:val="CellTextValue"/>
            </w:pPr>
          </w:p>
        </w:tc>
        <w:tc>
          <w:tcPr>
            <w:tcW w:w="0" w:type="auto"/>
          </w:tcPr>
          <w:p w14:paraId="33A4A925" w14:textId="77777777" w:rsidR="00721C98" w:rsidRDefault="00AE7B71">
            <w:pPr>
              <w:pStyle w:val="CellTextValueGray"/>
            </w:pPr>
            <w:r>
              <w:t>from 01.020401</w:t>
            </w:r>
          </w:p>
        </w:tc>
        <w:tc>
          <w:tcPr>
            <w:tcW w:w="0" w:type="auto"/>
          </w:tcPr>
          <w:p w14:paraId="4EF9BBDB" w14:textId="77777777" w:rsidR="00721C98" w:rsidRDefault="00AE7B71">
            <w:pPr>
              <w:pStyle w:val="CellTextValueNumericGray"/>
            </w:pPr>
            <w:r>
              <w:t>30.00</w:t>
            </w:r>
          </w:p>
        </w:tc>
        <w:tc>
          <w:tcPr>
            <w:tcW w:w="0" w:type="auto"/>
          </w:tcPr>
          <w:p w14:paraId="5DA8A6B9" w14:textId="77777777" w:rsidR="00721C98" w:rsidRDefault="00AE7B71">
            <w:pPr>
              <w:pStyle w:val="CellTextValueNumericGray"/>
            </w:pPr>
            <w:r>
              <w:t>0.00</w:t>
            </w:r>
          </w:p>
        </w:tc>
      </w:tr>
      <w:tr w:rsidR="00721C98" w14:paraId="405D5429" w14:textId="77777777">
        <w:tc>
          <w:tcPr>
            <w:tcW w:w="0" w:type="auto"/>
            <w:vMerge w:val="restart"/>
          </w:tcPr>
          <w:p w14:paraId="658AB009" w14:textId="77777777" w:rsidR="00721C98" w:rsidRDefault="00AE7B71">
            <w:pPr>
              <w:pStyle w:val="CellTextValue"/>
            </w:pPr>
            <w:r>
              <w:t>HORIZON-WIDERA-2026-04</w:t>
            </w:r>
          </w:p>
        </w:tc>
        <w:tc>
          <w:tcPr>
            <w:tcW w:w="0" w:type="auto"/>
          </w:tcPr>
          <w:p w14:paraId="14904401" w14:textId="77777777" w:rsidR="00721C98" w:rsidRDefault="00721C98">
            <w:pPr>
              <w:pStyle w:val="CellTextValue"/>
            </w:pPr>
          </w:p>
        </w:tc>
        <w:tc>
          <w:tcPr>
            <w:tcW w:w="0" w:type="auto"/>
          </w:tcPr>
          <w:p w14:paraId="7D8DA211" w14:textId="77777777" w:rsidR="00721C98" w:rsidRDefault="00AE7B71">
            <w:pPr>
              <w:pStyle w:val="CellTextValueNumeric"/>
            </w:pPr>
            <w:r>
              <w:t>7.00</w:t>
            </w:r>
          </w:p>
        </w:tc>
        <w:tc>
          <w:tcPr>
            <w:tcW w:w="0" w:type="auto"/>
          </w:tcPr>
          <w:p w14:paraId="3D8F5FDC" w14:textId="77777777" w:rsidR="00721C98" w:rsidRDefault="00721C98">
            <w:pPr>
              <w:pStyle w:val="CellTextValueNumeric"/>
            </w:pPr>
          </w:p>
        </w:tc>
      </w:tr>
      <w:tr w:rsidR="00721C98" w14:paraId="5A5A8A47" w14:textId="77777777">
        <w:tc>
          <w:tcPr>
            <w:tcW w:w="0" w:type="auto"/>
            <w:vMerge/>
          </w:tcPr>
          <w:p w14:paraId="57728F8C" w14:textId="77777777" w:rsidR="00721C98" w:rsidRDefault="00721C98">
            <w:pPr>
              <w:pStyle w:val="CellTextValue"/>
            </w:pPr>
          </w:p>
        </w:tc>
        <w:tc>
          <w:tcPr>
            <w:tcW w:w="0" w:type="auto"/>
          </w:tcPr>
          <w:p w14:paraId="60F9C1DA" w14:textId="77777777" w:rsidR="00721C98" w:rsidRDefault="00AE7B71">
            <w:pPr>
              <w:pStyle w:val="CellTextValueGray"/>
            </w:pPr>
            <w:r>
              <w:t>from 01.020401</w:t>
            </w:r>
          </w:p>
        </w:tc>
        <w:tc>
          <w:tcPr>
            <w:tcW w:w="0" w:type="auto"/>
          </w:tcPr>
          <w:p w14:paraId="688EB9C9" w14:textId="77777777" w:rsidR="00721C98" w:rsidRDefault="00AE7B71">
            <w:pPr>
              <w:pStyle w:val="CellTextValueNumericGray"/>
            </w:pPr>
            <w:r>
              <w:t>7.00</w:t>
            </w:r>
          </w:p>
        </w:tc>
        <w:tc>
          <w:tcPr>
            <w:tcW w:w="0" w:type="auto"/>
          </w:tcPr>
          <w:p w14:paraId="467A3BF2" w14:textId="77777777" w:rsidR="00721C98" w:rsidRDefault="00AE7B71">
            <w:pPr>
              <w:pStyle w:val="CellTextValueNumericGray"/>
            </w:pPr>
            <w:r>
              <w:t>0.00</w:t>
            </w:r>
          </w:p>
        </w:tc>
      </w:tr>
      <w:tr w:rsidR="00721C98" w14:paraId="598D5FEB" w14:textId="77777777">
        <w:tc>
          <w:tcPr>
            <w:tcW w:w="0" w:type="auto"/>
            <w:vMerge w:val="restart"/>
          </w:tcPr>
          <w:p w14:paraId="5E77BE0D" w14:textId="77777777" w:rsidR="00721C98" w:rsidRDefault="00AE7B71">
            <w:pPr>
              <w:pStyle w:val="CellTextValue"/>
            </w:pPr>
            <w:r>
              <w:t>HORIZON-WIDERA-2026-05</w:t>
            </w:r>
          </w:p>
        </w:tc>
        <w:tc>
          <w:tcPr>
            <w:tcW w:w="0" w:type="auto"/>
          </w:tcPr>
          <w:p w14:paraId="32C2E705" w14:textId="77777777" w:rsidR="00721C98" w:rsidRDefault="00721C98">
            <w:pPr>
              <w:pStyle w:val="CellTextValue"/>
            </w:pPr>
          </w:p>
        </w:tc>
        <w:tc>
          <w:tcPr>
            <w:tcW w:w="0" w:type="auto"/>
          </w:tcPr>
          <w:p w14:paraId="7A256CAD" w14:textId="77777777" w:rsidR="00721C98" w:rsidRDefault="00AE7B71">
            <w:pPr>
              <w:pStyle w:val="CellTextValueNumeric"/>
            </w:pPr>
            <w:r>
              <w:t>8.00</w:t>
            </w:r>
          </w:p>
        </w:tc>
        <w:tc>
          <w:tcPr>
            <w:tcW w:w="0" w:type="auto"/>
          </w:tcPr>
          <w:p w14:paraId="08C71C17" w14:textId="77777777" w:rsidR="00721C98" w:rsidRDefault="00721C98">
            <w:pPr>
              <w:pStyle w:val="CellTextValueNumeric"/>
            </w:pPr>
          </w:p>
        </w:tc>
      </w:tr>
      <w:tr w:rsidR="00721C98" w14:paraId="6C28459B" w14:textId="77777777">
        <w:tc>
          <w:tcPr>
            <w:tcW w:w="0" w:type="auto"/>
            <w:vMerge/>
          </w:tcPr>
          <w:p w14:paraId="1FA591BD" w14:textId="77777777" w:rsidR="00721C98" w:rsidRDefault="00721C98">
            <w:pPr>
              <w:pStyle w:val="CellTextValue"/>
            </w:pPr>
          </w:p>
        </w:tc>
        <w:tc>
          <w:tcPr>
            <w:tcW w:w="0" w:type="auto"/>
          </w:tcPr>
          <w:p w14:paraId="2DD4D18F" w14:textId="77777777" w:rsidR="00721C98" w:rsidRDefault="00AE7B71">
            <w:pPr>
              <w:pStyle w:val="CellTextValueGray"/>
            </w:pPr>
            <w:r>
              <w:t>from 01.020401</w:t>
            </w:r>
          </w:p>
        </w:tc>
        <w:tc>
          <w:tcPr>
            <w:tcW w:w="0" w:type="auto"/>
          </w:tcPr>
          <w:p w14:paraId="587822E1" w14:textId="77777777" w:rsidR="00721C98" w:rsidRDefault="00AE7B71">
            <w:pPr>
              <w:pStyle w:val="CellTextValueNumericGray"/>
            </w:pPr>
            <w:r>
              <w:t>8.00</w:t>
            </w:r>
          </w:p>
        </w:tc>
        <w:tc>
          <w:tcPr>
            <w:tcW w:w="0" w:type="auto"/>
          </w:tcPr>
          <w:p w14:paraId="13DEF9F7" w14:textId="77777777" w:rsidR="00721C98" w:rsidRDefault="00AE7B71">
            <w:pPr>
              <w:pStyle w:val="CellTextValueNumericGray"/>
            </w:pPr>
            <w:r>
              <w:t>0.00</w:t>
            </w:r>
          </w:p>
        </w:tc>
      </w:tr>
      <w:tr w:rsidR="00721C98" w14:paraId="62C0B78E" w14:textId="77777777">
        <w:tc>
          <w:tcPr>
            <w:tcW w:w="0" w:type="auto"/>
            <w:vMerge w:val="restart"/>
          </w:tcPr>
          <w:p w14:paraId="60033315" w14:textId="77777777" w:rsidR="00721C98" w:rsidRDefault="00AE7B71">
            <w:pPr>
              <w:pStyle w:val="CellTextValue"/>
            </w:pPr>
            <w:r>
              <w:t>HORIZON-WIDERA-2026-06</w:t>
            </w:r>
          </w:p>
        </w:tc>
        <w:tc>
          <w:tcPr>
            <w:tcW w:w="0" w:type="auto"/>
          </w:tcPr>
          <w:p w14:paraId="75CB9C7E" w14:textId="77777777" w:rsidR="00721C98" w:rsidRDefault="00721C98">
            <w:pPr>
              <w:pStyle w:val="CellTextValue"/>
            </w:pPr>
          </w:p>
        </w:tc>
        <w:tc>
          <w:tcPr>
            <w:tcW w:w="0" w:type="auto"/>
          </w:tcPr>
          <w:p w14:paraId="1F3F953F" w14:textId="77777777" w:rsidR="00721C98" w:rsidRDefault="00AE7B71">
            <w:pPr>
              <w:pStyle w:val="CellTextValueNumeric"/>
            </w:pPr>
            <w:r>
              <w:t>52.00</w:t>
            </w:r>
          </w:p>
        </w:tc>
        <w:tc>
          <w:tcPr>
            <w:tcW w:w="0" w:type="auto"/>
          </w:tcPr>
          <w:p w14:paraId="654D54F2" w14:textId="77777777" w:rsidR="00721C98" w:rsidRDefault="00721C98">
            <w:pPr>
              <w:pStyle w:val="CellTextValueNumeric"/>
            </w:pPr>
          </w:p>
        </w:tc>
      </w:tr>
      <w:tr w:rsidR="00721C98" w14:paraId="7EE77E73" w14:textId="77777777">
        <w:tc>
          <w:tcPr>
            <w:tcW w:w="0" w:type="auto"/>
            <w:vMerge/>
          </w:tcPr>
          <w:p w14:paraId="164EB527" w14:textId="77777777" w:rsidR="00721C98" w:rsidRDefault="00721C98">
            <w:pPr>
              <w:pStyle w:val="CellTextValue"/>
            </w:pPr>
          </w:p>
        </w:tc>
        <w:tc>
          <w:tcPr>
            <w:tcW w:w="0" w:type="auto"/>
          </w:tcPr>
          <w:p w14:paraId="64886897" w14:textId="77777777" w:rsidR="00721C98" w:rsidRDefault="00AE7B71">
            <w:pPr>
              <w:pStyle w:val="CellTextValueGray"/>
            </w:pPr>
            <w:r>
              <w:t>from 01.020402</w:t>
            </w:r>
          </w:p>
        </w:tc>
        <w:tc>
          <w:tcPr>
            <w:tcW w:w="0" w:type="auto"/>
          </w:tcPr>
          <w:p w14:paraId="60215760" w14:textId="77777777" w:rsidR="00721C98" w:rsidRDefault="00AE7B71">
            <w:pPr>
              <w:pStyle w:val="CellTextValueNumericGray"/>
            </w:pPr>
            <w:r>
              <w:t>52.00</w:t>
            </w:r>
          </w:p>
        </w:tc>
        <w:tc>
          <w:tcPr>
            <w:tcW w:w="0" w:type="auto"/>
          </w:tcPr>
          <w:p w14:paraId="7A21D4A4" w14:textId="77777777" w:rsidR="00721C98" w:rsidRDefault="00AE7B71">
            <w:pPr>
              <w:pStyle w:val="CellTextValueNumericGray"/>
            </w:pPr>
            <w:r>
              <w:t>0.00</w:t>
            </w:r>
          </w:p>
        </w:tc>
      </w:tr>
      <w:tr w:rsidR="00721C98" w14:paraId="5213415C" w14:textId="77777777">
        <w:tc>
          <w:tcPr>
            <w:tcW w:w="0" w:type="auto"/>
            <w:vMerge w:val="restart"/>
          </w:tcPr>
          <w:p w14:paraId="11EB111E" w14:textId="77777777" w:rsidR="00721C98" w:rsidRDefault="00AE7B71">
            <w:pPr>
              <w:pStyle w:val="CellTextValue"/>
            </w:pPr>
            <w:r>
              <w:t>HORIZON-WIDERA-2027-01</w:t>
            </w:r>
          </w:p>
        </w:tc>
        <w:tc>
          <w:tcPr>
            <w:tcW w:w="0" w:type="auto"/>
          </w:tcPr>
          <w:p w14:paraId="01FC71D0" w14:textId="77777777" w:rsidR="00721C98" w:rsidRDefault="00721C98">
            <w:pPr>
              <w:pStyle w:val="CellTextValue"/>
            </w:pPr>
          </w:p>
        </w:tc>
        <w:tc>
          <w:tcPr>
            <w:tcW w:w="0" w:type="auto"/>
          </w:tcPr>
          <w:p w14:paraId="4CA6D7BB" w14:textId="77777777" w:rsidR="00721C98" w:rsidRDefault="00721C98">
            <w:pPr>
              <w:pStyle w:val="CellTextValueNumeric"/>
            </w:pPr>
          </w:p>
        </w:tc>
        <w:tc>
          <w:tcPr>
            <w:tcW w:w="0" w:type="auto"/>
          </w:tcPr>
          <w:p w14:paraId="37AF105B" w14:textId="77777777" w:rsidR="00721C98" w:rsidRDefault="00AE7B71">
            <w:pPr>
              <w:pStyle w:val="CellTextValueNumeric"/>
            </w:pPr>
            <w:r>
              <w:t>40.00</w:t>
            </w:r>
          </w:p>
        </w:tc>
      </w:tr>
      <w:tr w:rsidR="00721C98" w14:paraId="2282CE58" w14:textId="77777777">
        <w:tc>
          <w:tcPr>
            <w:tcW w:w="0" w:type="auto"/>
            <w:vMerge/>
          </w:tcPr>
          <w:p w14:paraId="47BF3924" w14:textId="77777777" w:rsidR="00721C98" w:rsidRDefault="00721C98">
            <w:pPr>
              <w:pStyle w:val="CellTextValue"/>
            </w:pPr>
          </w:p>
        </w:tc>
        <w:tc>
          <w:tcPr>
            <w:tcW w:w="0" w:type="auto"/>
          </w:tcPr>
          <w:p w14:paraId="0E00084D" w14:textId="77777777" w:rsidR="00721C98" w:rsidRDefault="00AE7B71">
            <w:pPr>
              <w:pStyle w:val="CellTextValueGray"/>
            </w:pPr>
            <w:r>
              <w:t>from 01.020401</w:t>
            </w:r>
          </w:p>
        </w:tc>
        <w:tc>
          <w:tcPr>
            <w:tcW w:w="0" w:type="auto"/>
          </w:tcPr>
          <w:p w14:paraId="324B2CDE" w14:textId="77777777" w:rsidR="00721C98" w:rsidRDefault="00AE7B71">
            <w:pPr>
              <w:pStyle w:val="CellTextValueNumericGray"/>
            </w:pPr>
            <w:r>
              <w:t>0.00</w:t>
            </w:r>
          </w:p>
        </w:tc>
        <w:tc>
          <w:tcPr>
            <w:tcW w:w="0" w:type="auto"/>
          </w:tcPr>
          <w:p w14:paraId="090511A6" w14:textId="77777777" w:rsidR="00721C98" w:rsidRDefault="00AE7B71">
            <w:pPr>
              <w:pStyle w:val="CellTextValueNumericGray"/>
            </w:pPr>
            <w:r>
              <w:t>40.00</w:t>
            </w:r>
          </w:p>
        </w:tc>
      </w:tr>
      <w:tr w:rsidR="00721C98" w14:paraId="56389C3A" w14:textId="77777777">
        <w:tc>
          <w:tcPr>
            <w:tcW w:w="0" w:type="auto"/>
            <w:vMerge w:val="restart"/>
          </w:tcPr>
          <w:p w14:paraId="0F32D2EC" w14:textId="77777777" w:rsidR="00721C98" w:rsidRDefault="00AE7B71">
            <w:pPr>
              <w:pStyle w:val="CellTextValue"/>
            </w:pPr>
            <w:r>
              <w:t>HORIZON-WIDERA-2027-02</w:t>
            </w:r>
          </w:p>
        </w:tc>
        <w:tc>
          <w:tcPr>
            <w:tcW w:w="0" w:type="auto"/>
          </w:tcPr>
          <w:p w14:paraId="2BD2701E" w14:textId="77777777" w:rsidR="00721C98" w:rsidRDefault="00721C98">
            <w:pPr>
              <w:pStyle w:val="CellTextValue"/>
            </w:pPr>
          </w:p>
        </w:tc>
        <w:tc>
          <w:tcPr>
            <w:tcW w:w="0" w:type="auto"/>
          </w:tcPr>
          <w:p w14:paraId="4323F435" w14:textId="77777777" w:rsidR="00721C98" w:rsidRDefault="00721C98">
            <w:pPr>
              <w:pStyle w:val="CellTextValueNumeric"/>
            </w:pPr>
          </w:p>
        </w:tc>
        <w:tc>
          <w:tcPr>
            <w:tcW w:w="0" w:type="auto"/>
          </w:tcPr>
          <w:p w14:paraId="555C6FC4" w14:textId="77777777" w:rsidR="00721C98" w:rsidRDefault="00AE7B71">
            <w:pPr>
              <w:pStyle w:val="CellTextValueNumeric"/>
            </w:pPr>
            <w:r>
              <w:t>240.00</w:t>
            </w:r>
          </w:p>
        </w:tc>
      </w:tr>
      <w:tr w:rsidR="00721C98" w14:paraId="4750230E" w14:textId="77777777">
        <w:tc>
          <w:tcPr>
            <w:tcW w:w="0" w:type="auto"/>
            <w:vMerge/>
          </w:tcPr>
          <w:p w14:paraId="54CE37BC" w14:textId="77777777" w:rsidR="00721C98" w:rsidRDefault="00721C98">
            <w:pPr>
              <w:pStyle w:val="CellTextValue"/>
            </w:pPr>
          </w:p>
        </w:tc>
        <w:tc>
          <w:tcPr>
            <w:tcW w:w="0" w:type="auto"/>
          </w:tcPr>
          <w:p w14:paraId="063CF8E6" w14:textId="77777777" w:rsidR="00721C98" w:rsidRDefault="00AE7B71">
            <w:pPr>
              <w:pStyle w:val="CellTextValueGray"/>
            </w:pPr>
            <w:r>
              <w:t>from 01.020401</w:t>
            </w:r>
          </w:p>
        </w:tc>
        <w:tc>
          <w:tcPr>
            <w:tcW w:w="0" w:type="auto"/>
          </w:tcPr>
          <w:p w14:paraId="6C253B9C" w14:textId="77777777" w:rsidR="00721C98" w:rsidRDefault="00AE7B71">
            <w:pPr>
              <w:pStyle w:val="CellTextValueNumericGray"/>
            </w:pPr>
            <w:r>
              <w:t>0.00</w:t>
            </w:r>
          </w:p>
        </w:tc>
        <w:tc>
          <w:tcPr>
            <w:tcW w:w="0" w:type="auto"/>
          </w:tcPr>
          <w:p w14:paraId="6B6CC861" w14:textId="77777777" w:rsidR="00721C98" w:rsidRDefault="00AE7B71">
            <w:pPr>
              <w:pStyle w:val="CellTextValueNumericGray"/>
            </w:pPr>
            <w:r>
              <w:t>240.00</w:t>
            </w:r>
          </w:p>
        </w:tc>
      </w:tr>
      <w:tr w:rsidR="00721C98" w14:paraId="4CA83FD2" w14:textId="77777777">
        <w:tc>
          <w:tcPr>
            <w:tcW w:w="0" w:type="auto"/>
            <w:vMerge w:val="restart"/>
          </w:tcPr>
          <w:p w14:paraId="685DA6A0" w14:textId="77777777" w:rsidR="00721C98" w:rsidRDefault="00AE7B71">
            <w:pPr>
              <w:pStyle w:val="CellTextValue"/>
            </w:pPr>
            <w:r>
              <w:t>HORIZON-WIDERA-2027-03</w:t>
            </w:r>
          </w:p>
        </w:tc>
        <w:tc>
          <w:tcPr>
            <w:tcW w:w="0" w:type="auto"/>
          </w:tcPr>
          <w:p w14:paraId="6BCE4075" w14:textId="77777777" w:rsidR="00721C98" w:rsidRDefault="00721C98">
            <w:pPr>
              <w:pStyle w:val="CellTextValue"/>
            </w:pPr>
          </w:p>
        </w:tc>
        <w:tc>
          <w:tcPr>
            <w:tcW w:w="0" w:type="auto"/>
          </w:tcPr>
          <w:p w14:paraId="628BBDC4" w14:textId="77777777" w:rsidR="00721C98" w:rsidRDefault="00721C98">
            <w:pPr>
              <w:pStyle w:val="CellTextValueNumeric"/>
            </w:pPr>
          </w:p>
        </w:tc>
        <w:tc>
          <w:tcPr>
            <w:tcW w:w="0" w:type="auto"/>
          </w:tcPr>
          <w:p w14:paraId="25FBEC62" w14:textId="77777777" w:rsidR="00721C98" w:rsidRDefault="00AE7B71">
            <w:pPr>
              <w:pStyle w:val="CellTextValueNumeric"/>
            </w:pPr>
            <w:r>
              <w:t>8.00</w:t>
            </w:r>
          </w:p>
        </w:tc>
      </w:tr>
      <w:tr w:rsidR="00721C98" w14:paraId="728B5449" w14:textId="77777777">
        <w:tc>
          <w:tcPr>
            <w:tcW w:w="0" w:type="auto"/>
            <w:vMerge/>
          </w:tcPr>
          <w:p w14:paraId="6DA53B6B" w14:textId="77777777" w:rsidR="00721C98" w:rsidRDefault="00721C98">
            <w:pPr>
              <w:pStyle w:val="CellTextValue"/>
            </w:pPr>
          </w:p>
        </w:tc>
        <w:tc>
          <w:tcPr>
            <w:tcW w:w="0" w:type="auto"/>
          </w:tcPr>
          <w:p w14:paraId="76E579CB" w14:textId="77777777" w:rsidR="00721C98" w:rsidRDefault="00AE7B71">
            <w:pPr>
              <w:pStyle w:val="CellTextValueGray"/>
            </w:pPr>
            <w:r>
              <w:t>from 01.020401</w:t>
            </w:r>
          </w:p>
        </w:tc>
        <w:tc>
          <w:tcPr>
            <w:tcW w:w="0" w:type="auto"/>
          </w:tcPr>
          <w:p w14:paraId="5C7E5FC0" w14:textId="77777777" w:rsidR="00721C98" w:rsidRDefault="00AE7B71">
            <w:pPr>
              <w:pStyle w:val="CellTextValueNumericGray"/>
            </w:pPr>
            <w:r>
              <w:t>0.00</w:t>
            </w:r>
          </w:p>
        </w:tc>
        <w:tc>
          <w:tcPr>
            <w:tcW w:w="0" w:type="auto"/>
          </w:tcPr>
          <w:p w14:paraId="772C1E17" w14:textId="77777777" w:rsidR="00721C98" w:rsidRDefault="00AE7B71">
            <w:pPr>
              <w:pStyle w:val="CellTextValueNumericGray"/>
            </w:pPr>
            <w:r>
              <w:t>8.00</w:t>
            </w:r>
          </w:p>
        </w:tc>
      </w:tr>
      <w:tr w:rsidR="00721C98" w14:paraId="2F66CE68" w14:textId="77777777">
        <w:tc>
          <w:tcPr>
            <w:tcW w:w="0" w:type="auto"/>
            <w:vMerge w:val="restart"/>
          </w:tcPr>
          <w:p w14:paraId="662D5F24" w14:textId="77777777" w:rsidR="00721C98" w:rsidRDefault="00AE7B71">
            <w:pPr>
              <w:pStyle w:val="CellTextValue"/>
            </w:pPr>
            <w:r>
              <w:t>HORIZON-WIDERA-2027-04</w:t>
            </w:r>
          </w:p>
        </w:tc>
        <w:tc>
          <w:tcPr>
            <w:tcW w:w="0" w:type="auto"/>
          </w:tcPr>
          <w:p w14:paraId="75A7D432" w14:textId="77777777" w:rsidR="00721C98" w:rsidRDefault="00721C98">
            <w:pPr>
              <w:pStyle w:val="CellTextValue"/>
            </w:pPr>
          </w:p>
        </w:tc>
        <w:tc>
          <w:tcPr>
            <w:tcW w:w="0" w:type="auto"/>
          </w:tcPr>
          <w:p w14:paraId="4284867D" w14:textId="77777777" w:rsidR="00721C98" w:rsidRDefault="00AE7B71">
            <w:pPr>
              <w:pStyle w:val="CellTextValueNumeric"/>
            </w:pPr>
            <w:r>
              <w:t>15.00</w:t>
            </w:r>
          </w:p>
        </w:tc>
        <w:tc>
          <w:tcPr>
            <w:tcW w:w="0" w:type="auto"/>
          </w:tcPr>
          <w:p w14:paraId="71283ADB" w14:textId="77777777" w:rsidR="00721C98" w:rsidRDefault="00AE7B71">
            <w:pPr>
              <w:pStyle w:val="CellTextValueNumeric"/>
            </w:pPr>
            <w:r>
              <w:t>85.00</w:t>
            </w:r>
          </w:p>
        </w:tc>
      </w:tr>
      <w:tr w:rsidR="00721C98" w14:paraId="13D616CF" w14:textId="77777777">
        <w:tc>
          <w:tcPr>
            <w:tcW w:w="0" w:type="auto"/>
            <w:vMerge/>
          </w:tcPr>
          <w:p w14:paraId="16094686" w14:textId="77777777" w:rsidR="00721C98" w:rsidRDefault="00721C98">
            <w:pPr>
              <w:pStyle w:val="CellTextValue"/>
            </w:pPr>
          </w:p>
        </w:tc>
        <w:tc>
          <w:tcPr>
            <w:tcW w:w="0" w:type="auto"/>
          </w:tcPr>
          <w:p w14:paraId="7CE334E1" w14:textId="77777777" w:rsidR="00721C98" w:rsidRDefault="00AE7B71">
            <w:pPr>
              <w:pStyle w:val="CellTextValueGray"/>
            </w:pPr>
            <w:r>
              <w:t>from 01.020401</w:t>
            </w:r>
          </w:p>
        </w:tc>
        <w:tc>
          <w:tcPr>
            <w:tcW w:w="0" w:type="auto"/>
          </w:tcPr>
          <w:p w14:paraId="33709067" w14:textId="77777777" w:rsidR="00721C98" w:rsidRDefault="00AE7B71">
            <w:pPr>
              <w:pStyle w:val="CellTextValueNumericGray"/>
            </w:pPr>
            <w:r>
              <w:t>15.00</w:t>
            </w:r>
          </w:p>
        </w:tc>
        <w:tc>
          <w:tcPr>
            <w:tcW w:w="0" w:type="auto"/>
          </w:tcPr>
          <w:p w14:paraId="00609238" w14:textId="77777777" w:rsidR="00721C98" w:rsidRDefault="00AE7B71">
            <w:pPr>
              <w:pStyle w:val="CellTextValueNumericGray"/>
            </w:pPr>
            <w:r>
              <w:t>85.00</w:t>
            </w:r>
          </w:p>
        </w:tc>
      </w:tr>
      <w:tr w:rsidR="00721C98" w14:paraId="0FDC3B14" w14:textId="77777777">
        <w:tc>
          <w:tcPr>
            <w:tcW w:w="0" w:type="auto"/>
            <w:vMerge w:val="restart"/>
          </w:tcPr>
          <w:p w14:paraId="1735B9FA" w14:textId="77777777" w:rsidR="00721C98" w:rsidRDefault="00AE7B71">
            <w:pPr>
              <w:pStyle w:val="CellTextValue"/>
            </w:pPr>
            <w:r>
              <w:t>HORIZON-WIDERA-2027-05</w:t>
            </w:r>
          </w:p>
        </w:tc>
        <w:tc>
          <w:tcPr>
            <w:tcW w:w="0" w:type="auto"/>
          </w:tcPr>
          <w:p w14:paraId="032C6533" w14:textId="77777777" w:rsidR="00721C98" w:rsidRDefault="00721C98">
            <w:pPr>
              <w:pStyle w:val="CellTextValue"/>
            </w:pPr>
          </w:p>
        </w:tc>
        <w:tc>
          <w:tcPr>
            <w:tcW w:w="0" w:type="auto"/>
          </w:tcPr>
          <w:p w14:paraId="59331618" w14:textId="77777777" w:rsidR="00721C98" w:rsidRDefault="00721C98">
            <w:pPr>
              <w:pStyle w:val="CellTextValueNumeric"/>
            </w:pPr>
          </w:p>
        </w:tc>
        <w:tc>
          <w:tcPr>
            <w:tcW w:w="0" w:type="auto"/>
          </w:tcPr>
          <w:p w14:paraId="17E38E71" w14:textId="77777777" w:rsidR="00721C98" w:rsidRDefault="00AE7B71">
            <w:pPr>
              <w:pStyle w:val="CellTextValueNumeric"/>
            </w:pPr>
            <w:r>
              <w:t>42.00</w:t>
            </w:r>
          </w:p>
        </w:tc>
      </w:tr>
      <w:tr w:rsidR="00721C98" w14:paraId="161650CF" w14:textId="77777777">
        <w:tc>
          <w:tcPr>
            <w:tcW w:w="0" w:type="auto"/>
            <w:vMerge/>
          </w:tcPr>
          <w:p w14:paraId="0ED32052" w14:textId="77777777" w:rsidR="00721C98" w:rsidRDefault="00721C98">
            <w:pPr>
              <w:pStyle w:val="CellTextValue"/>
            </w:pPr>
          </w:p>
        </w:tc>
        <w:tc>
          <w:tcPr>
            <w:tcW w:w="0" w:type="auto"/>
          </w:tcPr>
          <w:p w14:paraId="548BAA27" w14:textId="77777777" w:rsidR="00721C98" w:rsidRDefault="00AE7B71">
            <w:pPr>
              <w:pStyle w:val="CellTextValueGray"/>
            </w:pPr>
            <w:r>
              <w:t>from 01.020402</w:t>
            </w:r>
          </w:p>
        </w:tc>
        <w:tc>
          <w:tcPr>
            <w:tcW w:w="0" w:type="auto"/>
          </w:tcPr>
          <w:p w14:paraId="0D0B7522" w14:textId="77777777" w:rsidR="00721C98" w:rsidRDefault="00AE7B71">
            <w:pPr>
              <w:pStyle w:val="CellTextValueNumericGray"/>
            </w:pPr>
            <w:r>
              <w:t>0.00</w:t>
            </w:r>
          </w:p>
        </w:tc>
        <w:tc>
          <w:tcPr>
            <w:tcW w:w="0" w:type="auto"/>
          </w:tcPr>
          <w:p w14:paraId="0B996076" w14:textId="77777777" w:rsidR="00721C98" w:rsidRDefault="00AE7B71">
            <w:pPr>
              <w:pStyle w:val="CellTextValueNumericGray"/>
            </w:pPr>
            <w:r>
              <w:t>42.00</w:t>
            </w:r>
          </w:p>
        </w:tc>
      </w:tr>
      <w:tr w:rsidR="00DB4111" w14:paraId="0A282526" w14:textId="77777777" w:rsidTr="00DB4111">
        <w:tc>
          <w:tcPr>
            <w:tcW w:w="0" w:type="auto"/>
            <w:gridSpan w:val="4"/>
          </w:tcPr>
          <w:p w14:paraId="7126C2AE" w14:textId="77777777" w:rsidR="00721C98" w:rsidRDefault="00AE7B71">
            <w:pPr>
              <w:pStyle w:val="CellHeaderTextValue"/>
              <w:jc w:val="left"/>
            </w:pPr>
            <w:r>
              <w:rPr>
                <w:b/>
              </w:rPr>
              <w:t>Other actions</w:t>
            </w:r>
          </w:p>
        </w:tc>
      </w:tr>
      <w:tr w:rsidR="00721C98" w14:paraId="404E8006" w14:textId="77777777">
        <w:tc>
          <w:tcPr>
            <w:tcW w:w="0" w:type="auto"/>
            <w:vMerge w:val="restart"/>
          </w:tcPr>
          <w:p w14:paraId="4125CAD1" w14:textId="77777777" w:rsidR="00721C98" w:rsidRDefault="00AE7B71">
            <w:pPr>
              <w:pStyle w:val="CellTextValue"/>
            </w:pPr>
            <w:r>
              <w:t>Prize</w:t>
            </w:r>
          </w:p>
        </w:tc>
        <w:tc>
          <w:tcPr>
            <w:tcW w:w="0" w:type="auto"/>
          </w:tcPr>
          <w:p w14:paraId="61E28D9D" w14:textId="77777777" w:rsidR="00721C98" w:rsidRDefault="00721C98">
            <w:pPr>
              <w:pStyle w:val="CellTextValue"/>
            </w:pPr>
          </w:p>
        </w:tc>
        <w:tc>
          <w:tcPr>
            <w:tcW w:w="0" w:type="auto"/>
          </w:tcPr>
          <w:p w14:paraId="4B5FAA22" w14:textId="77777777" w:rsidR="00721C98" w:rsidRDefault="00AE7B71">
            <w:pPr>
              <w:pStyle w:val="CellTextValueNumeric"/>
            </w:pPr>
            <w:r>
              <w:t>0.40</w:t>
            </w:r>
          </w:p>
        </w:tc>
        <w:tc>
          <w:tcPr>
            <w:tcW w:w="0" w:type="auto"/>
          </w:tcPr>
          <w:p w14:paraId="300EBBFC" w14:textId="77777777" w:rsidR="00721C98" w:rsidRDefault="00AE7B71">
            <w:pPr>
              <w:pStyle w:val="CellTextValueNumeric"/>
            </w:pPr>
            <w:r>
              <w:t>0.40</w:t>
            </w:r>
          </w:p>
        </w:tc>
      </w:tr>
      <w:tr w:rsidR="00721C98" w14:paraId="798D8117" w14:textId="77777777">
        <w:tc>
          <w:tcPr>
            <w:tcW w:w="0" w:type="auto"/>
            <w:vMerge/>
          </w:tcPr>
          <w:p w14:paraId="1E9238FA" w14:textId="77777777" w:rsidR="00721C98" w:rsidRDefault="00721C98">
            <w:pPr>
              <w:pStyle w:val="CellTextValue"/>
            </w:pPr>
          </w:p>
        </w:tc>
        <w:tc>
          <w:tcPr>
            <w:tcW w:w="0" w:type="auto"/>
          </w:tcPr>
          <w:p w14:paraId="6AA09DA5" w14:textId="77777777" w:rsidR="00721C98" w:rsidRDefault="00AE7B71">
            <w:pPr>
              <w:pStyle w:val="CellTextValueGray"/>
            </w:pPr>
            <w:r>
              <w:t>from 01.020402</w:t>
            </w:r>
          </w:p>
        </w:tc>
        <w:tc>
          <w:tcPr>
            <w:tcW w:w="0" w:type="auto"/>
          </w:tcPr>
          <w:p w14:paraId="2ECCA014" w14:textId="77777777" w:rsidR="00721C98" w:rsidRDefault="00AE7B71">
            <w:pPr>
              <w:pStyle w:val="CellTextValueNumericGray"/>
            </w:pPr>
            <w:r>
              <w:t>0.40</w:t>
            </w:r>
          </w:p>
        </w:tc>
        <w:tc>
          <w:tcPr>
            <w:tcW w:w="0" w:type="auto"/>
          </w:tcPr>
          <w:p w14:paraId="7B25F0A2" w14:textId="77777777" w:rsidR="00721C98" w:rsidRDefault="00AE7B71">
            <w:pPr>
              <w:pStyle w:val="CellTextValueNumericGray"/>
            </w:pPr>
            <w:r>
              <w:t>0.40</w:t>
            </w:r>
          </w:p>
        </w:tc>
      </w:tr>
      <w:tr w:rsidR="00721C98" w14:paraId="31B9A200" w14:textId="77777777">
        <w:tc>
          <w:tcPr>
            <w:tcW w:w="0" w:type="auto"/>
            <w:vMerge w:val="restart"/>
          </w:tcPr>
          <w:p w14:paraId="449E5481" w14:textId="77777777" w:rsidR="00721C98" w:rsidRDefault="00AE7B71">
            <w:pPr>
              <w:pStyle w:val="CellTextValue"/>
            </w:pPr>
            <w:r>
              <w:t>Grant awarded without a call for proposals according to Financial Regulation Article 198(e)</w:t>
            </w:r>
          </w:p>
        </w:tc>
        <w:tc>
          <w:tcPr>
            <w:tcW w:w="0" w:type="auto"/>
          </w:tcPr>
          <w:p w14:paraId="091CAA2A" w14:textId="77777777" w:rsidR="00721C98" w:rsidRDefault="00721C98">
            <w:pPr>
              <w:pStyle w:val="CellTextValue"/>
            </w:pPr>
          </w:p>
        </w:tc>
        <w:tc>
          <w:tcPr>
            <w:tcW w:w="0" w:type="auto"/>
          </w:tcPr>
          <w:p w14:paraId="2BB8C3CF" w14:textId="77777777" w:rsidR="00721C98" w:rsidRDefault="00AE7B71">
            <w:pPr>
              <w:pStyle w:val="CellTextValueNumeric"/>
            </w:pPr>
            <w:r>
              <w:t>12.90</w:t>
            </w:r>
          </w:p>
        </w:tc>
        <w:tc>
          <w:tcPr>
            <w:tcW w:w="0" w:type="auto"/>
          </w:tcPr>
          <w:p w14:paraId="6A3C98AA" w14:textId="77777777" w:rsidR="00721C98" w:rsidRDefault="00AE7B71">
            <w:pPr>
              <w:pStyle w:val="CellTextValueNumeric"/>
            </w:pPr>
            <w:r>
              <w:t>0.25</w:t>
            </w:r>
          </w:p>
        </w:tc>
      </w:tr>
      <w:tr w:rsidR="00721C98" w14:paraId="7314B2AC" w14:textId="77777777">
        <w:tc>
          <w:tcPr>
            <w:tcW w:w="0" w:type="auto"/>
            <w:vMerge/>
          </w:tcPr>
          <w:p w14:paraId="3988B796" w14:textId="77777777" w:rsidR="00721C98" w:rsidRDefault="00721C98">
            <w:pPr>
              <w:pStyle w:val="CellTextValue"/>
            </w:pPr>
          </w:p>
        </w:tc>
        <w:tc>
          <w:tcPr>
            <w:tcW w:w="0" w:type="auto"/>
          </w:tcPr>
          <w:p w14:paraId="4CF7CA50" w14:textId="77777777" w:rsidR="00721C98" w:rsidRDefault="00AE7B71">
            <w:pPr>
              <w:pStyle w:val="CellTextValueGray"/>
            </w:pPr>
            <w:r>
              <w:t>from 01.020401</w:t>
            </w:r>
          </w:p>
        </w:tc>
        <w:tc>
          <w:tcPr>
            <w:tcW w:w="0" w:type="auto"/>
          </w:tcPr>
          <w:p w14:paraId="59192A37" w14:textId="77777777" w:rsidR="00721C98" w:rsidRDefault="00AE7B71">
            <w:pPr>
              <w:pStyle w:val="CellTextValueNumericGray"/>
            </w:pPr>
            <w:r>
              <w:t>0.00</w:t>
            </w:r>
          </w:p>
        </w:tc>
        <w:tc>
          <w:tcPr>
            <w:tcW w:w="0" w:type="auto"/>
          </w:tcPr>
          <w:p w14:paraId="357560F0" w14:textId="77777777" w:rsidR="00721C98" w:rsidRDefault="00AE7B71">
            <w:pPr>
              <w:pStyle w:val="CellTextValueNumericGray"/>
            </w:pPr>
            <w:r>
              <w:t>0.25</w:t>
            </w:r>
          </w:p>
        </w:tc>
      </w:tr>
      <w:tr w:rsidR="00721C98" w14:paraId="5A572651" w14:textId="77777777">
        <w:tc>
          <w:tcPr>
            <w:tcW w:w="0" w:type="auto"/>
            <w:vMerge/>
          </w:tcPr>
          <w:p w14:paraId="7C17685E" w14:textId="77777777" w:rsidR="00721C98" w:rsidRDefault="00721C98">
            <w:pPr>
              <w:pStyle w:val="CellTextValue"/>
            </w:pPr>
          </w:p>
        </w:tc>
        <w:tc>
          <w:tcPr>
            <w:tcW w:w="0" w:type="auto"/>
          </w:tcPr>
          <w:p w14:paraId="290BCFF7" w14:textId="77777777" w:rsidR="00721C98" w:rsidRDefault="00AE7B71">
            <w:pPr>
              <w:pStyle w:val="CellTextValueGray"/>
            </w:pPr>
            <w:r>
              <w:t>from 01.020402</w:t>
            </w:r>
          </w:p>
        </w:tc>
        <w:tc>
          <w:tcPr>
            <w:tcW w:w="0" w:type="auto"/>
          </w:tcPr>
          <w:p w14:paraId="45360D46" w14:textId="77777777" w:rsidR="00721C98" w:rsidRDefault="00AE7B71">
            <w:pPr>
              <w:pStyle w:val="CellTextValueNumericGray"/>
            </w:pPr>
            <w:r>
              <w:t>12.90</w:t>
            </w:r>
          </w:p>
        </w:tc>
        <w:tc>
          <w:tcPr>
            <w:tcW w:w="0" w:type="auto"/>
          </w:tcPr>
          <w:p w14:paraId="45A80867" w14:textId="77777777" w:rsidR="00721C98" w:rsidRDefault="00AE7B71">
            <w:pPr>
              <w:pStyle w:val="CellTextValueNumericGray"/>
            </w:pPr>
            <w:r>
              <w:t>0.00</w:t>
            </w:r>
          </w:p>
        </w:tc>
      </w:tr>
      <w:tr w:rsidR="00721C98" w14:paraId="7ACADEC3" w14:textId="77777777">
        <w:tc>
          <w:tcPr>
            <w:tcW w:w="0" w:type="auto"/>
            <w:vMerge w:val="restart"/>
          </w:tcPr>
          <w:p w14:paraId="5C65D587" w14:textId="77777777" w:rsidR="00721C98" w:rsidRDefault="00AE7B71">
            <w:pPr>
              <w:pStyle w:val="CellTextValue"/>
            </w:pPr>
            <w:r>
              <w:t>Public procurement</w:t>
            </w:r>
          </w:p>
        </w:tc>
        <w:tc>
          <w:tcPr>
            <w:tcW w:w="0" w:type="auto"/>
          </w:tcPr>
          <w:p w14:paraId="49BD8FA8" w14:textId="77777777" w:rsidR="00721C98" w:rsidRDefault="00721C98">
            <w:pPr>
              <w:pStyle w:val="CellTextValue"/>
            </w:pPr>
          </w:p>
        </w:tc>
        <w:tc>
          <w:tcPr>
            <w:tcW w:w="0" w:type="auto"/>
          </w:tcPr>
          <w:p w14:paraId="083D044A" w14:textId="77777777" w:rsidR="00721C98" w:rsidRDefault="00AE7B71">
            <w:pPr>
              <w:pStyle w:val="CellTextValueNumeric"/>
            </w:pPr>
            <w:r>
              <w:t>8.26</w:t>
            </w:r>
          </w:p>
        </w:tc>
        <w:tc>
          <w:tcPr>
            <w:tcW w:w="0" w:type="auto"/>
          </w:tcPr>
          <w:p w14:paraId="27DA3FB6" w14:textId="77777777" w:rsidR="00721C98" w:rsidRDefault="00AE7B71">
            <w:pPr>
              <w:pStyle w:val="CellTextValueNumeric"/>
            </w:pPr>
            <w:r>
              <w:t>11.60</w:t>
            </w:r>
          </w:p>
        </w:tc>
      </w:tr>
      <w:tr w:rsidR="00721C98" w14:paraId="435BB237" w14:textId="77777777">
        <w:tc>
          <w:tcPr>
            <w:tcW w:w="0" w:type="auto"/>
            <w:vMerge/>
          </w:tcPr>
          <w:p w14:paraId="53D0E124" w14:textId="77777777" w:rsidR="00721C98" w:rsidRDefault="00721C98">
            <w:pPr>
              <w:pStyle w:val="CellTextValue"/>
            </w:pPr>
          </w:p>
        </w:tc>
        <w:tc>
          <w:tcPr>
            <w:tcW w:w="0" w:type="auto"/>
          </w:tcPr>
          <w:p w14:paraId="0F59F720" w14:textId="77777777" w:rsidR="00721C98" w:rsidRDefault="00AE7B71">
            <w:pPr>
              <w:pStyle w:val="CellTextValueGray"/>
            </w:pPr>
            <w:r>
              <w:t>from 01.020402</w:t>
            </w:r>
          </w:p>
        </w:tc>
        <w:tc>
          <w:tcPr>
            <w:tcW w:w="0" w:type="auto"/>
          </w:tcPr>
          <w:p w14:paraId="096A4053" w14:textId="77777777" w:rsidR="00721C98" w:rsidRDefault="00AE7B71">
            <w:pPr>
              <w:pStyle w:val="CellTextValueNumericGray"/>
            </w:pPr>
            <w:r>
              <w:t>8.26</w:t>
            </w:r>
          </w:p>
        </w:tc>
        <w:tc>
          <w:tcPr>
            <w:tcW w:w="0" w:type="auto"/>
          </w:tcPr>
          <w:p w14:paraId="4C325E62" w14:textId="77777777" w:rsidR="00721C98" w:rsidRDefault="00AE7B71">
            <w:pPr>
              <w:pStyle w:val="CellTextValueNumericGray"/>
            </w:pPr>
            <w:r>
              <w:t>11.60</w:t>
            </w:r>
          </w:p>
        </w:tc>
      </w:tr>
      <w:tr w:rsidR="00721C98" w14:paraId="74ACE806" w14:textId="77777777">
        <w:tc>
          <w:tcPr>
            <w:tcW w:w="0" w:type="auto"/>
            <w:vMerge w:val="restart"/>
          </w:tcPr>
          <w:p w14:paraId="2FD0AEF0" w14:textId="77777777" w:rsidR="00721C98" w:rsidRDefault="00AE7B71">
            <w:pPr>
              <w:pStyle w:val="CellTextValue"/>
            </w:pPr>
            <w:r>
              <w:t>Expert contract action</w:t>
            </w:r>
          </w:p>
        </w:tc>
        <w:tc>
          <w:tcPr>
            <w:tcW w:w="0" w:type="auto"/>
          </w:tcPr>
          <w:p w14:paraId="73D4078C" w14:textId="77777777" w:rsidR="00721C98" w:rsidRDefault="00721C98">
            <w:pPr>
              <w:pStyle w:val="CellTextValue"/>
            </w:pPr>
          </w:p>
        </w:tc>
        <w:tc>
          <w:tcPr>
            <w:tcW w:w="0" w:type="auto"/>
          </w:tcPr>
          <w:p w14:paraId="28328850" w14:textId="77777777" w:rsidR="00721C98" w:rsidRDefault="00AE7B71">
            <w:pPr>
              <w:pStyle w:val="CellTextValueNumeric"/>
            </w:pPr>
            <w:r>
              <w:t>1.48</w:t>
            </w:r>
          </w:p>
        </w:tc>
        <w:tc>
          <w:tcPr>
            <w:tcW w:w="0" w:type="auto"/>
          </w:tcPr>
          <w:p w14:paraId="35A421AE" w14:textId="77777777" w:rsidR="00721C98" w:rsidRDefault="00AE7B71">
            <w:pPr>
              <w:pStyle w:val="CellTextValueNumeric"/>
            </w:pPr>
            <w:r>
              <w:t>1.19</w:t>
            </w:r>
          </w:p>
        </w:tc>
      </w:tr>
      <w:tr w:rsidR="00721C98" w14:paraId="1FAB70C5" w14:textId="77777777">
        <w:tc>
          <w:tcPr>
            <w:tcW w:w="0" w:type="auto"/>
            <w:vMerge/>
          </w:tcPr>
          <w:p w14:paraId="284E29E3" w14:textId="77777777" w:rsidR="00721C98" w:rsidRDefault="00721C98">
            <w:pPr>
              <w:pStyle w:val="CellTextValue"/>
            </w:pPr>
          </w:p>
        </w:tc>
        <w:tc>
          <w:tcPr>
            <w:tcW w:w="0" w:type="auto"/>
          </w:tcPr>
          <w:p w14:paraId="59A9BF1B" w14:textId="77777777" w:rsidR="00721C98" w:rsidRDefault="00AE7B71">
            <w:pPr>
              <w:pStyle w:val="CellTextValueGray"/>
            </w:pPr>
            <w:r>
              <w:t>from 01.020401</w:t>
            </w:r>
          </w:p>
        </w:tc>
        <w:tc>
          <w:tcPr>
            <w:tcW w:w="0" w:type="auto"/>
          </w:tcPr>
          <w:p w14:paraId="60156040" w14:textId="77777777" w:rsidR="00721C98" w:rsidRDefault="00AE7B71">
            <w:pPr>
              <w:pStyle w:val="CellTextValueNumericGray"/>
            </w:pPr>
            <w:r>
              <w:t>0.88</w:t>
            </w:r>
          </w:p>
        </w:tc>
        <w:tc>
          <w:tcPr>
            <w:tcW w:w="0" w:type="auto"/>
          </w:tcPr>
          <w:p w14:paraId="2F1A513E" w14:textId="77777777" w:rsidR="00721C98" w:rsidRDefault="00AE7B71">
            <w:pPr>
              <w:pStyle w:val="CellTextValueNumericGray"/>
            </w:pPr>
            <w:r>
              <w:t>0.59</w:t>
            </w:r>
          </w:p>
        </w:tc>
      </w:tr>
      <w:tr w:rsidR="00721C98" w14:paraId="126423CE" w14:textId="77777777">
        <w:tc>
          <w:tcPr>
            <w:tcW w:w="0" w:type="auto"/>
            <w:vMerge/>
          </w:tcPr>
          <w:p w14:paraId="0F1206B8" w14:textId="77777777" w:rsidR="00721C98" w:rsidRDefault="00721C98">
            <w:pPr>
              <w:pStyle w:val="CellTextValue"/>
            </w:pPr>
          </w:p>
        </w:tc>
        <w:tc>
          <w:tcPr>
            <w:tcW w:w="0" w:type="auto"/>
          </w:tcPr>
          <w:p w14:paraId="41986975" w14:textId="77777777" w:rsidR="00721C98" w:rsidRDefault="00AE7B71">
            <w:pPr>
              <w:pStyle w:val="CellTextValueGray"/>
            </w:pPr>
            <w:r>
              <w:t>from 01.020402</w:t>
            </w:r>
          </w:p>
        </w:tc>
        <w:tc>
          <w:tcPr>
            <w:tcW w:w="0" w:type="auto"/>
          </w:tcPr>
          <w:p w14:paraId="0F127237" w14:textId="77777777" w:rsidR="00721C98" w:rsidRDefault="00AE7B71">
            <w:pPr>
              <w:pStyle w:val="CellTextValueNumericGray"/>
            </w:pPr>
            <w:r>
              <w:t>0.60</w:t>
            </w:r>
          </w:p>
        </w:tc>
        <w:tc>
          <w:tcPr>
            <w:tcW w:w="0" w:type="auto"/>
          </w:tcPr>
          <w:p w14:paraId="51B4711C" w14:textId="77777777" w:rsidR="00721C98" w:rsidRDefault="00AE7B71">
            <w:pPr>
              <w:pStyle w:val="CellTextValueNumericGray"/>
            </w:pPr>
            <w:r>
              <w:t>0.60</w:t>
            </w:r>
          </w:p>
        </w:tc>
      </w:tr>
      <w:tr w:rsidR="00721C98" w14:paraId="62F4F34F" w14:textId="77777777">
        <w:tc>
          <w:tcPr>
            <w:tcW w:w="0" w:type="auto"/>
            <w:vMerge w:val="restart"/>
          </w:tcPr>
          <w:p w14:paraId="26BE4724" w14:textId="77777777" w:rsidR="00721C98" w:rsidRDefault="00AE7B71">
            <w:pPr>
              <w:pStyle w:val="CellTextValue"/>
            </w:pPr>
            <w:r>
              <w:t>Specific grant agreement</w:t>
            </w:r>
          </w:p>
        </w:tc>
        <w:tc>
          <w:tcPr>
            <w:tcW w:w="0" w:type="auto"/>
          </w:tcPr>
          <w:p w14:paraId="6CBBF77B" w14:textId="77777777" w:rsidR="00721C98" w:rsidRDefault="00721C98">
            <w:pPr>
              <w:pStyle w:val="CellTextValue"/>
            </w:pPr>
          </w:p>
        </w:tc>
        <w:tc>
          <w:tcPr>
            <w:tcW w:w="0" w:type="auto"/>
          </w:tcPr>
          <w:p w14:paraId="02122DDC" w14:textId="77777777" w:rsidR="00721C98" w:rsidRDefault="00AE7B71">
            <w:pPr>
              <w:pStyle w:val="CellTextValueNumeric"/>
            </w:pPr>
            <w:r>
              <w:t>120.00</w:t>
            </w:r>
          </w:p>
        </w:tc>
        <w:tc>
          <w:tcPr>
            <w:tcW w:w="0" w:type="auto"/>
          </w:tcPr>
          <w:p w14:paraId="0E761449" w14:textId="77777777" w:rsidR="00721C98" w:rsidRDefault="00721C98">
            <w:pPr>
              <w:pStyle w:val="CellTextValueNumeric"/>
            </w:pPr>
          </w:p>
        </w:tc>
      </w:tr>
      <w:tr w:rsidR="00721C98" w14:paraId="6A017D0C" w14:textId="77777777">
        <w:tc>
          <w:tcPr>
            <w:tcW w:w="0" w:type="auto"/>
            <w:vMerge/>
          </w:tcPr>
          <w:p w14:paraId="6A2716C8" w14:textId="77777777" w:rsidR="00721C98" w:rsidRDefault="00721C98">
            <w:pPr>
              <w:pStyle w:val="CellTextValue"/>
            </w:pPr>
          </w:p>
        </w:tc>
        <w:tc>
          <w:tcPr>
            <w:tcW w:w="0" w:type="auto"/>
          </w:tcPr>
          <w:p w14:paraId="78A1E4DF" w14:textId="77777777" w:rsidR="00721C98" w:rsidRDefault="00AE7B71">
            <w:pPr>
              <w:pStyle w:val="CellTextValueGray"/>
            </w:pPr>
            <w:r>
              <w:t>from 01.020401</w:t>
            </w:r>
          </w:p>
        </w:tc>
        <w:tc>
          <w:tcPr>
            <w:tcW w:w="0" w:type="auto"/>
          </w:tcPr>
          <w:p w14:paraId="75D646A1" w14:textId="77777777" w:rsidR="00721C98" w:rsidRDefault="00AE7B71">
            <w:pPr>
              <w:pStyle w:val="CellTextValueNumericGray"/>
            </w:pPr>
            <w:r>
              <w:t>120.00</w:t>
            </w:r>
          </w:p>
        </w:tc>
        <w:tc>
          <w:tcPr>
            <w:tcW w:w="0" w:type="auto"/>
          </w:tcPr>
          <w:p w14:paraId="38608600" w14:textId="77777777" w:rsidR="00721C98" w:rsidRDefault="00AE7B71">
            <w:pPr>
              <w:pStyle w:val="CellTextValueNumericGray"/>
            </w:pPr>
            <w:r>
              <w:t>0.00</w:t>
            </w:r>
          </w:p>
        </w:tc>
      </w:tr>
      <w:tr w:rsidR="00DB4111" w14:paraId="5224F885" w14:textId="77777777" w:rsidTr="00DB4111">
        <w:tc>
          <w:tcPr>
            <w:tcW w:w="0" w:type="auto"/>
            <w:gridSpan w:val="2"/>
          </w:tcPr>
          <w:p w14:paraId="56272766" w14:textId="77777777" w:rsidR="00721C98" w:rsidRDefault="00AE7B71">
            <w:pPr>
              <w:pStyle w:val="CellTextValue"/>
            </w:pPr>
            <w:r>
              <w:rPr>
                <w:b/>
              </w:rPr>
              <w:lastRenderedPageBreak/>
              <w:t>Estimated total budget</w:t>
            </w:r>
          </w:p>
        </w:tc>
        <w:tc>
          <w:tcPr>
            <w:tcW w:w="0" w:type="auto"/>
          </w:tcPr>
          <w:p w14:paraId="499CBD9A" w14:textId="77777777" w:rsidR="00721C98" w:rsidRDefault="00AE7B71">
            <w:pPr>
              <w:pStyle w:val="CellTextValueNumeric"/>
            </w:pPr>
            <w:r>
              <w:t>485.03</w:t>
            </w:r>
          </w:p>
        </w:tc>
        <w:tc>
          <w:tcPr>
            <w:tcW w:w="0" w:type="auto"/>
          </w:tcPr>
          <w:p w14:paraId="1D229118" w14:textId="77777777" w:rsidR="00721C98" w:rsidRDefault="00AE7B71">
            <w:pPr>
              <w:pStyle w:val="CellTextValueNumeric"/>
            </w:pPr>
            <w:r>
              <w:t>469.94</w:t>
            </w:r>
          </w:p>
        </w:tc>
      </w:tr>
    </w:tbl>
    <w:p w14:paraId="6F5EE5FF" w14:textId="77777777" w:rsidR="00721C98" w:rsidRDefault="00721C98">
      <w:pPr>
        <w:spacing w:after="0" w:line="150" w:lineRule="auto"/>
      </w:pPr>
    </w:p>
    <w:sectPr w:rsidR="00721C98">
      <w:headerReference w:type="even" r:id="rId36"/>
      <w:headerReference w:type="default" r:id="rId37"/>
      <w:footerReference w:type="default" r:id="rId38"/>
      <w:headerReference w:type="firs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0C78" w14:textId="77777777" w:rsidR="00AE7B71" w:rsidRDefault="00AE7B71" w:rsidP="0082499D">
      <w:pPr>
        <w:spacing w:after="0" w:line="240" w:lineRule="auto"/>
      </w:pPr>
      <w:r>
        <w:separator/>
      </w:r>
    </w:p>
  </w:endnote>
  <w:endnote w:type="continuationSeparator" w:id="0">
    <w:p w14:paraId="205893D3" w14:textId="77777777" w:rsidR="00AE7B71" w:rsidRDefault="00AE7B71"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9BE8" w14:textId="77777777" w:rsidR="0005773C" w:rsidRPr="005E24C6" w:rsidRDefault="00DF5E1F" w:rsidP="00D7779A">
    <w:pPr>
      <w:pStyle w:val="FooterStyle"/>
      <w:rPr>
        <w:szCs w:val="20"/>
      </w:rPr>
    </w:pPr>
    <w:r>
      <w:t xml:space="preserve">Part 11 - Page </w:t>
    </w:r>
    <w:r w:rsidRPr="005E24C6">
      <w:rPr>
        <w:szCs w:val="20"/>
      </w:rPr>
      <w:fldChar w:fldCharType="begin"/>
    </w:r>
    <w:r w:rsidRPr="005E24C6">
      <w:rPr>
        <w:szCs w:val="20"/>
      </w:rPr>
      <w:instrText xml:space="preserve"> PAGE   \* MERGEFORMAT </w:instrText>
    </w:r>
    <w:r w:rsidRPr="005E24C6">
      <w:rPr>
        <w:szCs w:val="20"/>
      </w:rPr>
      <w:fldChar w:fldCharType="separate"/>
    </w:r>
    <w:r w:rsidR="004E0E4B">
      <w:rPr>
        <w:noProof/>
        <w:szCs w:val="20"/>
      </w:rPr>
      <w:t>1</w:t>
    </w:r>
    <w:r w:rsidRPr="005E24C6">
      <w:rPr>
        <w:szCs w:val="20"/>
      </w:rPr>
      <w:fldChar w:fldCharType="end"/>
    </w:r>
    <w:r w:rsidRPr="005E24C6">
      <w:rPr>
        <w:szCs w:val="20"/>
      </w:rPr>
      <w:t xml:space="preserve"> of </w:t>
    </w:r>
    <w:r w:rsidR="00EB7762" w:rsidRPr="005E24C6">
      <w:rPr>
        <w:szCs w:val="20"/>
      </w:rPr>
      <w:fldChar w:fldCharType="begin"/>
    </w:r>
    <w:r w:rsidR="00EB7762" w:rsidRPr="005E24C6">
      <w:rPr>
        <w:szCs w:val="20"/>
      </w:rPr>
      <w:instrText xml:space="preserve"> NUMPAGES   \* MERGEFORMAT </w:instrText>
    </w:r>
    <w:r w:rsidR="00EB7762" w:rsidRPr="005E24C6">
      <w:rPr>
        <w:szCs w:val="20"/>
      </w:rPr>
      <w:fldChar w:fldCharType="separate"/>
    </w:r>
    <w:r w:rsidR="004E0E4B">
      <w:rPr>
        <w:noProof/>
        <w:szCs w:val="20"/>
      </w:rPr>
      <w:t>2</w:t>
    </w:r>
    <w:r w:rsidR="00EB7762" w:rsidRPr="005E24C6">
      <w:rPr>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1C04" w14:textId="77777777" w:rsidR="00AE7B71" w:rsidRDefault="00AE7B71" w:rsidP="0082499D">
      <w:pPr>
        <w:spacing w:after="0" w:line="240" w:lineRule="auto"/>
      </w:pPr>
      <w:r>
        <w:separator/>
      </w:r>
    </w:p>
  </w:footnote>
  <w:footnote w:type="continuationSeparator" w:id="0">
    <w:p w14:paraId="6C4C090D" w14:textId="77777777" w:rsidR="00AE7B71" w:rsidRDefault="00AE7B71" w:rsidP="0082499D">
      <w:pPr>
        <w:spacing w:after="0" w:line="240" w:lineRule="auto"/>
      </w:pPr>
      <w:r>
        <w:continuationSeparator/>
      </w:r>
    </w:p>
  </w:footnote>
  <w:footnote w:id="1">
    <w:p w14:paraId="1D7E0A00" w14:textId="77777777" w:rsidR="00721C98" w:rsidRDefault="00AE7B71">
      <w:pPr>
        <w:pStyle w:val="footnote1"/>
      </w:pPr>
      <w:r>
        <w:rPr>
          <w:vertAlign w:val="superscript"/>
        </w:rPr>
        <w:footnoteRef/>
      </w:r>
      <w:r>
        <w:rPr>
          <w:vertAlign w:val="superscript"/>
        </w:rPr>
        <w:tab/>
      </w:r>
      <w:hyperlink r:id="rId1">
        <w:r w:rsidR="00721C98">
          <w:rPr>
            <w:szCs w:val="20"/>
            <w:u w:val="single"/>
          </w:rPr>
          <w:t>https://eur-lex.europa.eu/legal-content/EN/TXT/HTML/?uri=CELEX:52020DC0628&amp;from=EN</w:t>
        </w:r>
      </w:hyperlink>
      <w:r>
        <w:rPr>
          <w:color w:val="000000"/>
        </w:rPr>
        <w:t>.</w:t>
      </w:r>
    </w:p>
  </w:footnote>
  <w:footnote w:id="2">
    <w:p w14:paraId="075255C7" w14:textId="77777777" w:rsidR="00721C98" w:rsidRDefault="00AE7B71">
      <w:pPr>
        <w:pStyle w:val="footnote1"/>
      </w:pPr>
      <w:r>
        <w:rPr>
          <w:vertAlign w:val="superscript"/>
        </w:rPr>
        <w:footnoteRef/>
      </w:r>
      <w:r>
        <w:rPr>
          <w:vertAlign w:val="superscript"/>
        </w:rPr>
        <w:tab/>
      </w:r>
      <w:hyperlink r:id="rId2">
        <w:r w:rsidR="00721C98">
          <w:rPr>
            <w:szCs w:val="20"/>
            <w:u w:val="single"/>
          </w:rPr>
          <w:t>https://research-and-innovation.ec.europa.eu/document/download/1bde0a38-7c86-4e6c-a4b8-7f9605d9e7e7_en?filename=com_2024_490_en.pdf</w:t>
        </w:r>
      </w:hyperlink>
      <w:r>
        <w:rPr>
          <w:color w:val="000000"/>
        </w:rPr>
        <w:t>.</w:t>
      </w:r>
    </w:p>
  </w:footnote>
  <w:footnote w:id="3">
    <w:p w14:paraId="7CB17A79" w14:textId="77777777" w:rsidR="00721C98" w:rsidRDefault="00AE7B71">
      <w:pPr>
        <w:pStyle w:val="footnote1"/>
      </w:pPr>
      <w:r>
        <w:rPr>
          <w:vertAlign w:val="superscript"/>
        </w:rPr>
        <w:footnoteRef/>
      </w:r>
      <w:r>
        <w:rPr>
          <w:vertAlign w:val="superscript"/>
        </w:rPr>
        <w:tab/>
      </w:r>
      <w:hyperlink r:id="rId3">
        <w:r w:rsidR="00721C98">
          <w:rPr>
            <w:szCs w:val="20"/>
            <w:u w:val="single"/>
          </w:rPr>
          <w:t>https://eur-lex.europa.eu/legal-content/EN/TXT/?uri=celex:52025DC0030</w:t>
        </w:r>
      </w:hyperlink>
      <w:r>
        <w:rPr>
          <w:color w:val="000000"/>
        </w:rPr>
        <w:t>.</w:t>
      </w:r>
    </w:p>
  </w:footnote>
  <w:footnote w:id="4">
    <w:p w14:paraId="3FB4633A" w14:textId="77777777" w:rsidR="00721C98" w:rsidRDefault="00AE7B71">
      <w:pPr>
        <w:pStyle w:val="footnote1"/>
      </w:pPr>
      <w:r>
        <w:rPr>
          <w:vertAlign w:val="superscript"/>
        </w:rPr>
        <w:footnoteRef/>
      </w:r>
      <w:r>
        <w:rPr>
          <w:vertAlign w:val="superscript"/>
        </w:rPr>
        <w:tab/>
      </w:r>
      <w:hyperlink r:id="rId4">
        <w:r w:rsidR="00721C98">
          <w:rPr>
            <w:szCs w:val="20"/>
            <w:u w:val="single"/>
          </w:rPr>
          <w:t>https://eur-lex.europa.eu/legal-content/EN/TXT/PDF/?uri=CELEX:32021H2122</w:t>
        </w:r>
      </w:hyperlink>
      <w:r>
        <w:rPr>
          <w:color w:val="000000"/>
        </w:rPr>
        <w:t>.</w:t>
      </w:r>
    </w:p>
  </w:footnote>
  <w:footnote w:id="5">
    <w:p w14:paraId="064F77DF" w14:textId="77777777" w:rsidR="00721C98" w:rsidRDefault="00AE7B71">
      <w:pPr>
        <w:pStyle w:val="footnote1"/>
      </w:pPr>
      <w:r>
        <w:rPr>
          <w:vertAlign w:val="superscript"/>
        </w:rPr>
        <w:footnoteRef/>
      </w:r>
      <w:r>
        <w:rPr>
          <w:vertAlign w:val="superscript"/>
        </w:rPr>
        <w:tab/>
      </w:r>
      <w:hyperlink r:id="rId5">
        <w:r w:rsidR="00721C98">
          <w:rPr>
            <w:szCs w:val="20"/>
            <w:u w:val="single"/>
          </w:rPr>
          <w:t>https://commission.europa.eu/document/download/e6cd4328-673c-4e7a-8683-f63ffb2cf648_en?filename=Political%20Guidelines%202024-2029_EN.pdf</w:t>
        </w:r>
      </w:hyperlink>
      <w:r>
        <w:rPr>
          <w:color w:val="000000"/>
        </w:rPr>
        <w:t>.</w:t>
      </w:r>
    </w:p>
  </w:footnote>
  <w:footnote w:id="6">
    <w:p w14:paraId="31B66AA6" w14:textId="77777777" w:rsidR="00721C98" w:rsidRDefault="00AE7B71">
      <w:pPr>
        <w:pStyle w:val="footnote1"/>
      </w:pPr>
      <w:r>
        <w:rPr>
          <w:vertAlign w:val="superscript"/>
        </w:rPr>
        <w:footnoteRef/>
      </w:r>
      <w:r>
        <w:rPr>
          <w:vertAlign w:val="superscript"/>
        </w:rPr>
        <w:tab/>
      </w:r>
      <w:hyperlink r:id="rId6">
        <w:r w:rsidR="00721C98">
          <w:rPr>
            <w:szCs w:val="20"/>
            <w:u w:val="single"/>
          </w:rPr>
          <w:t>https://research-and-innovation.ec.europa.eu/document/download/1bde0a38-7c86-4e6c-a4b8-7f9605d9e7e7_en?filename=com_2024_490_en.pdf</w:t>
        </w:r>
      </w:hyperlink>
      <w:r>
        <w:rPr>
          <w:color w:val="000000"/>
        </w:rPr>
        <w:t>.</w:t>
      </w:r>
    </w:p>
  </w:footnote>
  <w:footnote w:id="7">
    <w:p w14:paraId="3E262478" w14:textId="77777777" w:rsidR="00721C98" w:rsidRDefault="00AE7B71">
      <w:pPr>
        <w:pStyle w:val="footnote1"/>
      </w:pPr>
      <w:r>
        <w:rPr>
          <w:vertAlign w:val="superscript"/>
        </w:rPr>
        <w:footnoteRef/>
      </w:r>
      <w:r>
        <w:rPr>
          <w:vertAlign w:val="superscript"/>
        </w:rPr>
        <w:tab/>
      </w:r>
      <w:r>
        <w:rPr>
          <w:color w:val="000000"/>
        </w:rPr>
        <w:t>This designation is without prejudice to positions on status and is in line with UNSCR 1244/1999 and the ICJ Opinion on the Kosovo declaration of independence.</w:t>
      </w:r>
    </w:p>
  </w:footnote>
  <w:footnote w:id="8">
    <w:p w14:paraId="5851D1FB" w14:textId="77777777" w:rsidR="00721C98" w:rsidRDefault="00AE7B71">
      <w:pPr>
        <w:pStyle w:val="footnote1"/>
      </w:pPr>
      <w:r>
        <w:rPr>
          <w:vertAlign w:val="superscript"/>
        </w:rPr>
        <w:footnoteRef/>
      </w:r>
      <w:r>
        <w:rPr>
          <w:vertAlign w:val="superscript"/>
        </w:rPr>
        <w:tab/>
      </w:r>
      <w:hyperlink r:id="rId7">
        <w:r w:rsidR="00721C98">
          <w:rPr>
            <w:szCs w:val="20"/>
            <w:u w:val="single"/>
          </w:rPr>
          <w:t>https://european-research-area.ec.europa.eu/era-policy-agenda-2025-2027</w:t>
        </w:r>
      </w:hyperlink>
      <w:r>
        <w:rPr>
          <w:color w:val="000000"/>
        </w:rPr>
        <w:t>.</w:t>
      </w:r>
    </w:p>
  </w:footnote>
  <w:footnote w:id="9">
    <w:p w14:paraId="55F16179" w14:textId="77777777" w:rsidR="00721C98" w:rsidRDefault="00AE7B71">
      <w:pPr>
        <w:pStyle w:val="footnote1"/>
      </w:pPr>
      <w:r>
        <w:rPr>
          <w:vertAlign w:val="superscript"/>
        </w:rPr>
        <w:footnoteRef/>
      </w:r>
      <w:r>
        <w:rPr>
          <w:vertAlign w:val="superscript"/>
        </w:rPr>
        <w:tab/>
      </w:r>
      <w:hyperlink r:id="rId8">
        <w:r w:rsidR="00721C98">
          <w:rPr>
            <w:szCs w:val="20"/>
            <w:u w:val="single"/>
          </w:rPr>
          <w:t>https://data.europa.eu/doi/10.2777/092911</w:t>
        </w:r>
      </w:hyperlink>
      <w:r>
        <w:rPr>
          <w:color w:val="000000"/>
        </w:rPr>
        <w:t>.</w:t>
      </w:r>
    </w:p>
  </w:footnote>
  <w:footnote w:id="10">
    <w:p w14:paraId="28355040"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2054734E" w14:textId="77777777" w:rsidR="00721C98" w:rsidRDefault="00AE7B71">
      <w:pPr>
        <w:pStyle w:val="footnote2"/>
      </w:pPr>
      <w:r>
        <w:rPr>
          <w:color w:val="000000"/>
        </w:rPr>
        <w:t>The Director-General responsible may delay the deadline(s) by up to two months.</w:t>
      </w:r>
    </w:p>
    <w:p w14:paraId="62D838D2" w14:textId="77777777" w:rsidR="00721C98" w:rsidRDefault="00AE7B71">
      <w:pPr>
        <w:pStyle w:val="footnote2"/>
      </w:pPr>
      <w:r>
        <w:rPr>
          <w:color w:val="000000"/>
        </w:rPr>
        <w:t>All deadlines are at 17.00.00 Brussels local time.</w:t>
      </w:r>
    </w:p>
    <w:p w14:paraId="1C08C70E"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11">
    <w:p w14:paraId="17C913BE"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2">
    <w:p w14:paraId="18072795"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65864483" w14:textId="77777777" w:rsidR="00721C98" w:rsidRDefault="00AE7B71">
      <w:pPr>
        <w:pStyle w:val="footnote2"/>
      </w:pPr>
      <w:r>
        <w:rPr>
          <w:color w:val="000000"/>
        </w:rPr>
        <w:t>The Director-General responsible may delay the deadline(s) by up to two months.</w:t>
      </w:r>
    </w:p>
    <w:p w14:paraId="6AFF3712" w14:textId="77777777" w:rsidR="00721C98" w:rsidRDefault="00AE7B71">
      <w:pPr>
        <w:pStyle w:val="footnote2"/>
      </w:pPr>
      <w:r>
        <w:rPr>
          <w:color w:val="000000"/>
        </w:rPr>
        <w:t>All deadlines are at 17.00.00 Brussels local time.</w:t>
      </w:r>
    </w:p>
    <w:p w14:paraId="5BF09371"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13">
    <w:p w14:paraId="37553117"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4">
    <w:p w14:paraId="5A490D6E"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F951924" w14:textId="77777777" w:rsidR="00721C98" w:rsidRDefault="00AE7B71">
      <w:pPr>
        <w:pStyle w:val="footnote2"/>
      </w:pPr>
      <w:r>
        <w:rPr>
          <w:color w:val="000000"/>
        </w:rPr>
        <w:t>The Director-General responsible may delay the deadline(s) by up to two months.</w:t>
      </w:r>
    </w:p>
    <w:p w14:paraId="55F24E4C" w14:textId="77777777" w:rsidR="00721C98" w:rsidRDefault="00AE7B71">
      <w:pPr>
        <w:pStyle w:val="footnote2"/>
      </w:pPr>
      <w:r>
        <w:rPr>
          <w:color w:val="000000"/>
        </w:rPr>
        <w:t>All deadlines are at 17.00.00 Brussels local time.</w:t>
      </w:r>
    </w:p>
    <w:p w14:paraId="4BB299BE"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15">
    <w:p w14:paraId="1DC0E997"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6">
    <w:p w14:paraId="0CCDF7FC"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4AF45E1" w14:textId="77777777" w:rsidR="00721C98" w:rsidRDefault="00AE7B71">
      <w:pPr>
        <w:pStyle w:val="footnote2"/>
      </w:pPr>
      <w:r>
        <w:rPr>
          <w:color w:val="000000"/>
        </w:rPr>
        <w:t>The Director-General responsible may delay the deadline(s) by up to two months.</w:t>
      </w:r>
    </w:p>
    <w:p w14:paraId="63189F94" w14:textId="77777777" w:rsidR="00721C98" w:rsidRDefault="00AE7B71">
      <w:pPr>
        <w:pStyle w:val="footnote2"/>
      </w:pPr>
      <w:r>
        <w:rPr>
          <w:color w:val="000000"/>
        </w:rPr>
        <w:t>All deadlines are at 17.00.00 Brussels local time.</w:t>
      </w:r>
    </w:p>
    <w:p w14:paraId="42AEDE9C"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17">
    <w:p w14:paraId="499EEB73"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8">
    <w:p w14:paraId="70BB8061"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6438EEC4" w14:textId="77777777" w:rsidR="00721C98" w:rsidRDefault="00AE7B71">
      <w:pPr>
        <w:pStyle w:val="footnote2"/>
      </w:pPr>
      <w:r>
        <w:rPr>
          <w:color w:val="000000"/>
        </w:rPr>
        <w:t>The Director-General responsible may delay the deadline(s) by up to two months.</w:t>
      </w:r>
    </w:p>
    <w:p w14:paraId="772CB3D6" w14:textId="77777777" w:rsidR="00721C98" w:rsidRDefault="00AE7B71">
      <w:pPr>
        <w:pStyle w:val="footnote2"/>
      </w:pPr>
      <w:r>
        <w:rPr>
          <w:color w:val="000000"/>
        </w:rPr>
        <w:t>All deadlines are at 17.00.00 Brussels local time.</w:t>
      </w:r>
    </w:p>
    <w:p w14:paraId="08FC0265"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19">
    <w:p w14:paraId="46F494AA"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2FF80B89" w14:textId="77777777" w:rsidR="00721C98" w:rsidRDefault="00AE7B71">
      <w:pPr>
        <w:pStyle w:val="footnote2"/>
      </w:pPr>
      <w:r>
        <w:rPr>
          <w:color w:val="000000"/>
        </w:rPr>
        <w:t>The Director-General responsible may delay the deadline(s) by up to two months.</w:t>
      </w:r>
    </w:p>
    <w:p w14:paraId="59DF4F13" w14:textId="77777777" w:rsidR="00721C98" w:rsidRDefault="00AE7B71">
      <w:pPr>
        <w:pStyle w:val="footnote2"/>
      </w:pPr>
      <w:r>
        <w:rPr>
          <w:color w:val="000000"/>
        </w:rPr>
        <w:t>All deadlines are at 17.00.00 Brussels local time.</w:t>
      </w:r>
    </w:p>
    <w:p w14:paraId="66E9709B"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20">
    <w:p w14:paraId="2491C8F2"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1">
    <w:p w14:paraId="07D6AF34"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20C15B6" w14:textId="77777777" w:rsidR="00721C98" w:rsidRDefault="00AE7B71">
      <w:pPr>
        <w:pStyle w:val="footnote2"/>
      </w:pPr>
      <w:r>
        <w:rPr>
          <w:color w:val="000000"/>
        </w:rPr>
        <w:t>The Director-General responsible may delay the deadline(s) by up to two months.</w:t>
      </w:r>
    </w:p>
    <w:p w14:paraId="34A9CD52" w14:textId="77777777" w:rsidR="00721C98" w:rsidRDefault="00AE7B71">
      <w:pPr>
        <w:pStyle w:val="footnote2"/>
      </w:pPr>
      <w:r>
        <w:rPr>
          <w:color w:val="000000"/>
        </w:rPr>
        <w:t>All deadlines are at 17.00.00 Brussels local time.</w:t>
      </w:r>
    </w:p>
    <w:p w14:paraId="71369356"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22">
    <w:p w14:paraId="55BF2E32"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3">
    <w:p w14:paraId="225C19FE"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425DF958" w14:textId="77777777" w:rsidR="00721C98" w:rsidRDefault="00AE7B71">
      <w:pPr>
        <w:pStyle w:val="footnote2"/>
      </w:pPr>
      <w:r>
        <w:rPr>
          <w:color w:val="000000"/>
        </w:rPr>
        <w:t>The Director-General responsible may delay the deadline(s) by up to two months.</w:t>
      </w:r>
    </w:p>
    <w:p w14:paraId="2A33772B" w14:textId="77777777" w:rsidR="00721C98" w:rsidRDefault="00AE7B71">
      <w:pPr>
        <w:pStyle w:val="footnote2"/>
      </w:pPr>
      <w:r>
        <w:rPr>
          <w:color w:val="000000"/>
        </w:rPr>
        <w:t>All deadlines are at 17.00.00 Brussels local time.</w:t>
      </w:r>
    </w:p>
    <w:p w14:paraId="136F6A11"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24">
    <w:p w14:paraId="3444BF8E"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5">
    <w:p w14:paraId="4C7578F6"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1AE4F0E" w14:textId="77777777" w:rsidR="00721C98" w:rsidRDefault="00AE7B71">
      <w:pPr>
        <w:pStyle w:val="footnote2"/>
      </w:pPr>
      <w:r>
        <w:rPr>
          <w:color w:val="000000"/>
        </w:rPr>
        <w:t>The Director-General responsible may delay the deadline(s) by up to two months.</w:t>
      </w:r>
    </w:p>
    <w:p w14:paraId="271BB630" w14:textId="77777777" w:rsidR="00721C98" w:rsidRDefault="00AE7B71">
      <w:pPr>
        <w:pStyle w:val="footnote2"/>
      </w:pPr>
      <w:r>
        <w:rPr>
          <w:color w:val="000000"/>
        </w:rPr>
        <w:t>All deadlines are at 17.00.00 Brussels local time.</w:t>
      </w:r>
    </w:p>
    <w:p w14:paraId="6D290AB4"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26">
    <w:p w14:paraId="5A8C8F3A"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D5F9D61" w14:textId="77777777" w:rsidR="00721C98" w:rsidRDefault="00AE7B71">
      <w:pPr>
        <w:pStyle w:val="footnote2"/>
      </w:pPr>
      <w:r>
        <w:rPr>
          <w:color w:val="000000"/>
        </w:rPr>
        <w:t>The Director-General responsible may delay the deadline(s) by up to two months.</w:t>
      </w:r>
    </w:p>
    <w:p w14:paraId="38256F00" w14:textId="77777777" w:rsidR="00721C98" w:rsidRDefault="00AE7B71">
      <w:pPr>
        <w:pStyle w:val="footnote2"/>
      </w:pPr>
      <w:r>
        <w:rPr>
          <w:color w:val="000000"/>
        </w:rPr>
        <w:t>All deadlines are at 17.00.00 Brussels local time.</w:t>
      </w:r>
    </w:p>
    <w:p w14:paraId="0F2027E6"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27">
    <w:p w14:paraId="5FA74E50"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8">
    <w:p w14:paraId="30742FE6" w14:textId="77777777" w:rsidR="00721C98" w:rsidRDefault="00AE7B71">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745E666A" w14:textId="77777777" w:rsidR="00721C98" w:rsidRDefault="00AE7B71">
      <w:pPr>
        <w:pStyle w:val="footnote2"/>
      </w:pPr>
      <w:r>
        <w:rPr>
          <w:color w:val="000000"/>
        </w:rPr>
        <w:t>The Director-General responsible may delay the deadline(s) by up to two months.</w:t>
      </w:r>
    </w:p>
    <w:p w14:paraId="648BE4DF" w14:textId="77777777" w:rsidR="00721C98" w:rsidRDefault="00AE7B71">
      <w:pPr>
        <w:pStyle w:val="footnote2"/>
      </w:pPr>
      <w:r>
        <w:rPr>
          <w:color w:val="000000"/>
        </w:rPr>
        <w:t>All deadlines are at 17.00.00 Brussels local time.</w:t>
      </w:r>
    </w:p>
    <w:p w14:paraId="65D81C4C"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 w:id="29">
    <w:p w14:paraId="2EC26EEB" w14:textId="77777777" w:rsidR="00721C98" w:rsidRDefault="00AE7B71">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30">
    <w:p w14:paraId="74260901" w14:textId="77777777" w:rsidR="00721C98" w:rsidRDefault="00AE7B71">
      <w:pPr>
        <w:pStyle w:val="footnote1"/>
      </w:pPr>
      <w:r>
        <w:rPr>
          <w:vertAlign w:val="superscript"/>
        </w:rPr>
        <w:footnoteRef/>
      </w:r>
      <w:r>
        <w:rPr>
          <w:vertAlign w:val="superscript"/>
        </w:rPr>
        <w:tab/>
      </w:r>
      <w:r>
        <w:rPr>
          <w:color w:val="000000"/>
        </w:rPr>
        <w:t>In June 2022, the European Court of Auditors in its report recommended the Commission to ensure the sustainability of the Teaming Centres of Excellence.</w:t>
      </w:r>
    </w:p>
  </w:footnote>
  <w:footnote w:id="31">
    <w:p w14:paraId="7234712F" w14:textId="77777777" w:rsidR="00721C98" w:rsidRDefault="00AE7B71">
      <w:pPr>
        <w:pStyle w:val="footnote1"/>
      </w:pPr>
      <w:r>
        <w:rPr>
          <w:vertAlign w:val="superscript"/>
        </w:rPr>
        <w:footnoteRef/>
      </w:r>
      <w:r>
        <w:rPr>
          <w:vertAlign w:val="superscript"/>
        </w:rPr>
        <w:tab/>
      </w:r>
      <w:r>
        <w:rPr>
          <w:color w:val="000000"/>
        </w:rPr>
        <w:t xml:space="preserve">This </w:t>
      </w:r>
      <w:hyperlink r:id="rId9">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
        <w:r w:rsidR="00721C98">
          <w:rPr>
            <w:szCs w:val="20"/>
            <w:u w:val="single"/>
          </w:rPr>
          <w:t>https://ec.europa.eu/info/funding-tenders/opportunities/docs/2021-2027/horizon/guidance/ls-decision_he_en.pdf</w:t>
        </w:r>
      </w:hyperlink>
    </w:p>
  </w:footnote>
  <w:footnote w:id="32">
    <w:p w14:paraId="60E701CC" w14:textId="77777777" w:rsidR="00721C98" w:rsidRDefault="00AE7B71">
      <w:pPr>
        <w:pStyle w:val="footnote1"/>
      </w:pPr>
      <w:r>
        <w:rPr>
          <w:vertAlign w:val="superscript"/>
        </w:rPr>
        <w:footnoteRef/>
      </w:r>
      <w:r>
        <w:rPr>
          <w:vertAlign w:val="superscript"/>
        </w:rPr>
        <w:tab/>
      </w:r>
      <w:hyperlink r:id="rId11">
        <w:r w:rsidR="00721C98">
          <w:rPr>
            <w:szCs w:val="20"/>
            <w:u w:val="single"/>
          </w:rPr>
          <w:t>RM Comp: The European Competence Framework for Research Managers - European Commission</w:t>
        </w:r>
      </w:hyperlink>
    </w:p>
  </w:footnote>
  <w:footnote w:id="33">
    <w:p w14:paraId="193CD457" w14:textId="77777777" w:rsidR="00721C98" w:rsidRDefault="00AE7B71">
      <w:pPr>
        <w:pStyle w:val="footnote1"/>
      </w:pPr>
      <w:r>
        <w:rPr>
          <w:vertAlign w:val="superscript"/>
        </w:rPr>
        <w:footnoteRef/>
      </w:r>
      <w:r>
        <w:rPr>
          <w:vertAlign w:val="superscript"/>
        </w:rPr>
        <w:tab/>
      </w:r>
      <w:hyperlink r:id="rId12">
        <w:r w:rsidR="00721C98">
          <w:rPr>
            <w:szCs w:val="20"/>
            <w:u w:val="single"/>
          </w:rPr>
          <w:t>RM Comp: The European Competence Framework for Research Managers - European Commission</w:t>
        </w:r>
      </w:hyperlink>
    </w:p>
  </w:footnote>
  <w:footnote w:id="34">
    <w:p w14:paraId="4DAAD04B" w14:textId="77777777" w:rsidR="00721C98" w:rsidRDefault="00AE7B71">
      <w:pPr>
        <w:pStyle w:val="footnote1"/>
      </w:pPr>
      <w:r>
        <w:rPr>
          <w:vertAlign w:val="superscript"/>
        </w:rPr>
        <w:footnoteRef/>
      </w:r>
      <w:r>
        <w:rPr>
          <w:vertAlign w:val="superscript"/>
        </w:rPr>
        <w:tab/>
      </w:r>
      <w:r>
        <w:rPr>
          <w:color w:val="000000"/>
        </w:rPr>
        <w:t>Charter for Researchers, annexed to the Council recommendation C/2023/1640 of 18 December 2023 on a European framework to attract and retain research, innovation and entrepreneurial talents in Europe (OJ C, C/2023/1640, 29.12.2023), https://eur-lex.europa.eu/legal-content/EN/TXT/?uri=OJ:C_202301640.</w:t>
      </w:r>
    </w:p>
  </w:footnote>
  <w:footnote w:id="35">
    <w:p w14:paraId="2D059A0D" w14:textId="77777777" w:rsidR="00721C98" w:rsidRDefault="00AE7B71">
      <w:pPr>
        <w:pStyle w:val="footnote1"/>
      </w:pPr>
      <w:r>
        <w:rPr>
          <w:vertAlign w:val="superscript"/>
        </w:rPr>
        <w:footnoteRef/>
      </w:r>
      <w:r>
        <w:rPr>
          <w:vertAlign w:val="superscript"/>
        </w:rPr>
        <w:tab/>
      </w:r>
      <w:r>
        <w:rPr>
          <w:color w:val="000000"/>
        </w:rPr>
        <w:t>As an illustration, Eurodoc published a list of such transferable skills at: http://eurodoc.net/skills-report-2018.pdf</w:t>
      </w:r>
    </w:p>
  </w:footnote>
  <w:footnote w:id="36">
    <w:p w14:paraId="4AF39F2B" w14:textId="77777777" w:rsidR="00721C98" w:rsidRDefault="00AE7B71">
      <w:pPr>
        <w:pStyle w:val="footnote1"/>
      </w:pPr>
      <w:r>
        <w:rPr>
          <w:vertAlign w:val="superscript"/>
        </w:rPr>
        <w:footnoteRef/>
      </w:r>
      <w:r>
        <w:rPr>
          <w:vertAlign w:val="superscript"/>
        </w:rPr>
        <w:tab/>
      </w:r>
      <w:r>
        <w:rPr>
          <w:color w:val="000000"/>
        </w:rPr>
        <w:t>The method mentioned in point 3) related to gender balance shall be interpreted as gender balance among the CEOs (or equivalent function) of companies applying to this call.</w:t>
      </w:r>
    </w:p>
  </w:footnote>
  <w:footnote w:id="37">
    <w:p w14:paraId="7F2E022B" w14:textId="77777777" w:rsidR="00721C98" w:rsidRDefault="00AE7B71">
      <w:pPr>
        <w:pStyle w:val="footnote1"/>
      </w:pPr>
      <w:r>
        <w:rPr>
          <w:vertAlign w:val="superscript"/>
        </w:rPr>
        <w:footnoteRef/>
      </w:r>
      <w:r>
        <w:rPr>
          <w:vertAlign w:val="superscript"/>
        </w:rPr>
        <w:tab/>
      </w:r>
      <w:r>
        <w:rPr>
          <w:color w:val="000000"/>
        </w:rPr>
        <w:t xml:space="preserve">This </w:t>
      </w:r>
      <w:hyperlink r:id="rId13">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4">
        <w:r w:rsidR="00721C98">
          <w:rPr>
            <w:szCs w:val="20"/>
            <w:u w:val="single"/>
          </w:rPr>
          <w:t>https://ec.europa.eu/info/funding-tenders/opportunities/docs/2021-2027/horizon/guidance/ls-decision_he_en.pdf</w:t>
        </w:r>
      </w:hyperlink>
    </w:p>
  </w:footnote>
  <w:footnote w:id="38">
    <w:p w14:paraId="23162BC0" w14:textId="77777777" w:rsidR="00721C98" w:rsidRDefault="00AE7B71">
      <w:pPr>
        <w:pStyle w:val="footnote1"/>
      </w:pPr>
      <w:r>
        <w:rPr>
          <w:vertAlign w:val="superscript"/>
        </w:rPr>
        <w:footnoteRef/>
      </w:r>
      <w:r>
        <w:rPr>
          <w:vertAlign w:val="superscript"/>
        </w:rPr>
        <w:tab/>
      </w:r>
      <w:r>
        <w:rPr>
          <w:color w:val="000000"/>
        </w:rPr>
        <w:t>Deep-tech ventures have the following characteristics: positioning at the knowledge frontier with long and uncertain R&amp;I cycles; relates to tangible products and industrialisation processes; linked to the ecosystem and especially higher education institutions, problem orientated, or mission driven, focused on the creation of an option space and a dynamic de-risking cycle.</w:t>
      </w:r>
    </w:p>
  </w:footnote>
  <w:footnote w:id="39">
    <w:p w14:paraId="24992F9B" w14:textId="77777777" w:rsidR="00721C98" w:rsidRDefault="00AE7B71">
      <w:pPr>
        <w:pStyle w:val="footnote1"/>
      </w:pPr>
      <w:r>
        <w:rPr>
          <w:vertAlign w:val="superscript"/>
        </w:rPr>
        <w:footnoteRef/>
      </w:r>
      <w:r>
        <w:rPr>
          <w:vertAlign w:val="superscript"/>
        </w:rPr>
        <w:tab/>
      </w:r>
      <w:r>
        <w:rPr>
          <w:color w:val="000000"/>
        </w:rPr>
        <w:t>Ratio of a firm’s R&amp;D investment to its revenue.</w:t>
      </w:r>
    </w:p>
  </w:footnote>
  <w:footnote w:id="40">
    <w:p w14:paraId="23C41265" w14:textId="77777777" w:rsidR="00721C98" w:rsidRDefault="00AE7B71">
      <w:pPr>
        <w:pStyle w:val="footnote1"/>
      </w:pPr>
      <w:r>
        <w:rPr>
          <w:vertAlign w:val="superscript"/>
        </w:rPr>
        <w:footnoteRef/>
      </w:r>
      <w:r>
        <w:rPr>
          <w:vertAlign w:val="superscript"/>
        </w:rPr>
        <w:tab/>
      </w:r>
      <w:r>
        <w:rPr>
          <w:color w:val="000000"/>
        </w:rPr>
        <w:t>Completed TRL 5 (Technology validated in relevant environment – industrially relevant environment in the case of key enabling technologies) or TRL6 (Technology demonstrated in relevant environment -industrially relevant environment in the case of key enabling technologies). TRL 7+ activities are not eligible for funding, however the proposal remains eligible if the work plan reflects progression from at least TRL 3 completed to TRL 5 or 6 completed as only these activities are eligible for funding.</w:t>
      </w:r>
    </w:p>
  </w:footnote>
  <w:footnote w:id="41">
    <w:p w14:paraId="3402724D" w14:textId="77777777" w:rsidR="00721C98" w:rsidRDefault="00AE7B71">
      <w:pPr>
        <w:pStyle w:val="footnote1"/>
      </w:pPr>
      <w:r>
        <w:rPr>
          <w:vertAlign w:val="superscript"/>
        </w:rPr>
        <w:footnoteRef/>
      </w:r>
      <w:r>
        <w:rPr>
          <w:vertAlign w:val="superscript"/>
        </w:rPr>
        <w:tab/>
      </w:r>
      <w:r>
        <w:rPr>
          <w:color w:val="000000"/>
        </w:rPr>
        <w:t xml:space="preserve">See EIC Work Programme 2027. More information is available also here: </w:t>
      </w:r>
      <w:hyperlink r:id="rId15">
        <w:r w:rsidR="00721C98">
          <w:rPr>
            <w:szCs w:val="20"/>
            <w:u w:val="single"/>
          </w:rPr>
          <w:t>https://eic.ec.europa.eu/eic-funding-opportunities/business-acceleration-services_en</w:t>
        </w:r>
      </w:hyperlink>
      <w:r>
        <w:rPr>
          <w:color w:val="000000"/>
        </w:rPr>
        <w:t>.</w:t>
      </w:r>
    </w:p>
  </w:footnote>
  <w:footnote w:id="42">
    <w:p w14:paraId="5CE7C3FF" w14:textId="77777777" w:rsidR="00721C98" w:rsidRDefault="00AE7B71">
      <w:pPr>
        <w:pStyle w:val="footnote1"/>
      </w:pPr>
      <w:r>
        <w:rPr>
          <w:vertAlign w:val="superscript"/>
        </w:rPr>
        <w:footnoteRef/>
      </w:r>
      <w:r>
        <w:rPr>
          <w:vertAlign w:val="superscript"/>
        </w:rPr>
        <w:tab/>
      </w:r>
      <w:r>
        <w:rPr>
          <w:color w:val="000000"/>
        </w:rPr>
        <w:t xml:space="preserve">This </w:t>
      </w:r>
      <w:hyperlink r:id="rId16">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
        <w:r w:rsidR="00721C98">
          <w:rPr>
            <w:szCs w:val="20"/>
            <w:u w:val="single"/>
          </w:rPr>
          <w:t>https://ec.europa.eu/info/funding-tenders/opportunities/docs/2021-2027/horizon/guidance/ls-decision_he_en.pdf</w:t>
        </w:r>
      </w:hyperlink>
    </w:p>
  </w:footnote>
  <w:footnote w:id="43">
    <w:p w14:paraId="4256E72D" w14:textId="77777777" w:rsidR="00721C98" w:rsidRDefault="00AE7B71">
      <w:pPr>
        <w:pStyle w:val="footnote1"/>
      </w:pPr>
      <w:r>
        <w:rPr>
          <w:vertAlign w:val="superscript"/>
        </w:rPr>
        <w:footnoteRef/>
      </w:r>
      <w:r>
        <w:rPr>
          <w:vertAlign w:val="superscript"/>
        </w:rPr>
        <w:tab/>
      </w:r>
      <w:hyperlink r:id="rId18">
        <w:r w:rsidR="00721C98">
          <w:rPr>
            <w:szCs w:val="20"/>
            <w:u w:val="single"/>
          </w:rPr>
          <w:t>https://europa.eu/europass/en/create-europass-cv</w:t>
        </w:r>
      </w:hyperlink>
      <w:r>
        <w:rPr>
          <w:color w:val="000000"/>
          <w:u w:val="single"/>
        </w:rPr>
        <w:t>.</w:t>
      </w:r>
    </w:p>
  </w:footnote>
  <w:footnote w:id="44">
    <w:p w14:paraId="1AEF8583" w14:textId="77777777" w:rsidR="00721C98" w:rsidRDefault="00AE7B71">
      <w:pPr>
        <w:pStyle w:val="footnote1"/>
      </w:pPr>
      <w:r>
        <w:rPr>
          <w:vertAlign w:val="superscript"/>
        </w:rPr>
        <w:footnoteRef/>
      </w:r>
      <w:r>
        <w:rPr>
          <w:vertAlign w:val="superscript"/>
        </w:rPr>
        <w:tab/>
      </w:r>
      <w:hyperlink r:id="rId19">
        <w:r w:rsidR="00721C98">
          <w:rPr>
            <w:szCs w:val="20"/>
            <w:u w:val="single"/>
          </w:rPr>
          <w:t>http://eur-lex.europa.eu/legal-content/EN/TXT/?uri=COM:2012:0392:FIN</w:t>
        </w:r>
      </w:hyperlink>
    </w:p>
  </w:footnote>
  <w:footnote w:id="45">
    <w:p w14:paraId="71E1B619" w14:textId="77777777" w:rsidR="00721C98" w:rsidRDefault="00AE7B71">
      <w:pPr>
        <w:pStyle w:val="footnote1"/>
      </w:pPr>
      <w:r>
        <w:rPr>
          <w:vertAlign w:val="superscript"/>
        </w:rPr>
        <w:footnoteRef/>
      </w:r>
      <w:r>
        <w:rPr>
          <w:vertAlign w:val="superscript"/>
        </w:rPr>
        <w:tab/>
      </w:r>
      <w:hyperlink r:id="rId20">
        <w:r w:rsidR="00721C98">
          <w:rPr>
            <w:szCs w:val="20"/>
            <w:u w:val="single"/>
          </w:rPr>
          <w:t>http://eur-lex.europa.eu/eli/reco/2005/251/oj</w:t>
        </w:r>
      </w:hyperlink>
    </w:p>
  </w:footnote>
  <w:footnote w:id="46">
    <w:p w14:paraId="7B13D02B" w14:textId="77777777" w:rsidR="00721C98" w:rsidRDefault="00AE7B71">
      <w:pPr>
        <w:pStyle w:val="footnote1"/>
      </w:pPr>
      <w:r>
        <w:rPr>
          <w:vertAlign w:val="superscript"/>
        </w:rPr>
        <w:footnoteRef/>
      </w:r>
      <w:r>
        <w:rPr>
          <w:vertAlign w:val="superscript"/>
        </w:rPr>
        <w:tab/>
      </w:r>
      <w:r>
        <w:rPr>
          <w:color w:val="000000"/>
        </w:rPr>
        <w:t xml:space="preserve">Corresponding to profiles R3 or R4 of researchers careers as set out in the “European Framework for Research Careers” provided at </w:t>
      </w:r>
      <w:hyperlink r:id="rId21">
        <w:r w:rsidR="00721C98">
          <w:rPr>
            <w:szCs w:val="20"/>
            <w:u w:val="single"/>
          </w:rPr>
          <w:t>https://cdn5.euraxess.org/sites/default/files/policy_library/towards_a_european_framework_for_researc h_careers_final.pdf</w:t>
        </w:r>
      </w:hyperlink>
    </w:p>
  </w:footnote>
  <w:footnote w:id="47">
    <w:p w14:paraId="422601D3" w14:textId="77777777" w:rsidR="00721C98" w:rsidRDefault="00AE7B71">
      <w:pPr>
        <w:pStyle w:val="footnote1"/>
      </w:pPr>
      <w:r>
        <w:rPr>
          <w:vertAlign w:val="superscript"/>
        </w:rPr>
        <w:footnoteRef/>
      </w:r>
      <w:r>
        <w:rPr>
          <w:vertAlign w:val="superscript"/>
        </w:rPr>
        <w:tab/>
      </w:r>
      <w:r>
        <w:rPr>
          <w:color w:val="000000"/>
        </w:rPr>
        <w:t>that can be considered under the category of "other goods, works and services</w:t>
      </w:r>
    </w:p>
  </w:footnote>
  <w:footnote w:id="48">
    <w:p w14:paraId="4720CD66" w14:textId="77777777" w:rsidR="00721C98" w:rsidRDefault="00AE7B71">
      <w:pPr>
        <w:pStyle w:val="footnote1"/>
      </w:pPr>
      <w:r>
        <w:rPr>
          <w:vertAlign w:val="superscript"/>
        </w:rPr>
        <w:footnoteRef/>
      </w:r>
      <w:r>
        <w:rPr>
          <w:vertAlign w:val="superscript"/>
        </w:rPr>
        <w:tab/>
      </w:r>
      <w:hyperlink r:id="rId22">
        <w:r w:rsidR="00721C98">
          <w:rPr>
            <w:szCs w:val="20"/>
            <w:u w:val="single"/>
          </w:rPr>
          <w:t>https://europa.eu/europass/en/create-europass-cv</w:t>
        </w:r>
      </w:hyperlink>
    </w:p>
  </w:footnote>
  <w:footnote w:id="49">
    <w:p w14:paraId="5074A269" w14:textId="77777777" w:rsidR="00721C98" w:rsidRDefault="00AE7B71">
      <w:pPr>
        <w:pStyle w:val="footnote1"/>
      </w:pPr>
      <w:r>
        <w:rPr>
          <w:vertAlign w:val="superscript"/>
        </w:rPr>
        <w:footnoteRef/>
      </w:r>
      <w:r>
        <w:rPr>
          <w:vertAlign w:val="superscript"/>
        </w:rPr>
        <w:tab/>
      </w:r>
      <w:r>
        <w:rPr>
          <w:color w:val="000000"/>
        </w:rPr>
        <w:t xml:space="preserve">Corresponding to advanved or expert level of reserach managers careers as set out in the “European Competence Framework for Research Managers” provided at </w:t>
      </w:r>
      <w:hyperlink r:id="rId23">
        <w:r w:rsidR="00721C98">
          <w:rPr>
            <w:szCs w:val="20"/>
            <w:u w:val="single"/>
          </w:rPr>
          <w:t>RM Comp: The European Competence Framework for Research Managers - European Commission</w:t>
        </w:r>
      </w:hyperlink>
    </w:p>
  </w:footnote>
  <w:footnote w:id="50">
    <w:p w14:paraId="2587869D" w14:textId="77777777" w:rsidR="00721C98" w:rsidRDefault="00AE7B71">
      <w:pPr>
        <w:pStyle w:val="footnote1"/>
      </w:pPr>
      <w:r>
        <w:rPr>
          <w:vertAlign w:val="superscript"/>
        </w:rPr>
        <w:footnoteRef/>
      </w:r>
      <w:r>
        <w:rPr>
          <w:vertAlign w:val="superscript"/>
        </w:rPr>
        <w:tab/>
      </w:r>
      <w:r>
        <w:rPr>
          <w:color w:val="000000"/>
        </w:rPr>
        <w:t>that can be considered under the category of "other goods, works and services</w:t>
      </w:r>
    </w:p>
  </w:footnote>
  <w:footnote w:id="51">
    <w:p w14:paraId="5B440129" w14:textId="77777777" w:rsidR="00721C98" w:rsidRDefault="00AE7B71">
      <w:pPr>
        <w:pStyle w:val="footnote1"/>
      </w:pPr>
      <w:r>
        <w:rPr>
          <w:vertAlign w:val="superscript"/>
        </w:rPr>
        <w:footnoteRef/>
      </w:r>
      <w:r>
        <w:rPr>
          <w:vertAlign w:val="superscript"/>
        </w:rPr>
        <w:tab/>
      </w:r>
      <w:r>
        <w:rPr>
          <w:color w:val="000000"/>
        </w:rPr>
        <w:t>Charter for Researchers, annexed to the Council recommendation C/2023/1640 of 18 December 2023 on a European framework to attract and retain research, innovation and entrepreneurial talents in Europe (OJ C, C/2023/1640, 29.12.2023), https://eur-lex.europa.eu/legal-content/EN/TXT/?uri=OJ:C_202301640.</w:t>
      </w:r>
    </w:p>
  </w:footnote>
  <w:footnote w:id="52">
    <w:p w14:paraId="5AED70B6" w14:textId="77777777" w:rsidR="00721C98" w:rsidRDefault="00AE7B71">
      <w:pPr>
        <w:pStyle w:val="footnote1"/>
      </w:pPr>
      <w:r>
        <w:rPr>
          <w:vertAlign w:val="superscript"/>
        </w:rPr>
        <w:footnoteRef/>
      </w:r>
      <w:r>
        <w:rPr>
          <w:vertAlign w:val="superscript"/>
        </w:rPr>
        <w:tab/>
      </w:r>
      <w:r>
        <w:rPr>
          <w:color w:val="000000"/>
        </w:rPr>
        <w:t>As an illustration, Eurodoc published a list of such transferable skills at: http://eurodoc.net/skills-report-2018.pdf</w:t>
      </w:r>
    </w:p>
  </w:footnote>
  <w:footnote w:id="53">
    <w:p w14:paraId="6209E8C1" w14:textId="77777777" w:rsidR="00721C98" w:rsidRDefault="00AE7B71">
      <w:pPr>
        <w:pStyle w:val="footnote1"/>
      </w:pPr>
      <w:r>
        <w:rPr>
          <w:vertAlign w:val="superscript"/>
        </w:rPr>
        <w:footnoteRef/>
      </w:r>
      <w:r>
        <w:rPr>
          <w:vertAlign w:val="superscript"/>
        </w:rPr>
        <w:tab/>
      </w:r>
      <w:hyperlink r:id="rId24">
        <w:r w:rsidR="00721C98">
          <w:rPr>
            <w:szCs w:val="20"/>
            <w:u w:val="single"/>
          </w:rPr>
          <w:t>https://eur-lex.europa.eu/legal-content/EN/TXT/HTML/?uri=CELEX:52020DC0628&amp;from=EN</w:t>
        </w:r>
      </w:hyperlink>
      <w:r>
        <w:rPr>
          <w:color w:val="000000"/>
        </w:rPr>
        <w:t>.</w:t>
      </w:r>
    </w:p>
  </w:footnote>
  <w:footnote w:id="54">
    <w:p w14:paraId="313330DF" w14:textId="77777777" w:rsidR="00721C98" w:rsidRDefault="00AE7B71">
      <w:pPr>
        <w:pStyle w:val="footnote1"/>
      </w:pPr>
      <w:r>
        <w:rPr>
          <w:vertAlign w:val="superscript"/>
        </w:rPr>
        <w:footnoteRef/>
      </w:r>
      <w:r>
        <w:rPr>
          <w:vertAlign w:val="superscript"/>
        </w:rPr>
        <w:tab/>
      </w:r>
      <w:hyperlink r:id="rId25">
        <w:r w:rsidR="00721C98">
          <w:rPr>
            <w:szCs w:val="20"/>
            <w:u w:val="single"/>
          </w:rPr>
          <w:t>https://eur-lex.europa.eu/legal-content/EN/TXT/PDF/?uri=CELEX:32021H2122</w:t>
        </w:r>
      </w:hyperlink>
      <w:r>
        <w:rPr>
          <w:color w:val="000000"/>
        </w:rPr>
        <w:t>.</w:t>
      </w:r>
    </w:p>
  </w:footnote>
  <w:footnote w:id="55">
    <w:p w14:paraId="13E69F0D" w14:textId="77777777" w:rsidR="00721C98" w:rsidRDefault="00AE7B71">
      <w:pPr>
        <w:pStyle w:val="footnote1"/>
      </w:pPr>
      <w:r>
        <w:rPr>
          <w:vertAlign w:val="superscript"/>
        </w:rPr>
        <w:footnoteRef/>
      </w:r>
      <w:r>
        <w:rPr>
          <w:vertAlign w:val="superscript"/>
        </w:rPr>
        <w:tab/>
      </w:r>
      <w:hyperlink r:id="rId26">
        <w:r w:rsidR="00721C98">
          <w:rPr>
            <w:szCs w:val="20"/>
            <w:u w:val="single"/>
          </w:rPr>
          <w:t>https://european-research-area.ec.europa.eu/era-policy-agenda-2025-2027</w:t>
        </w:r>
      </w:hyperlink>
      <w:r>
        <w:rPr>
          <w:color w:val="000000"/>
        </w:rPr>
        <w:t>.</w:t>
      </w:r>
    </w:p>
  </w:footnote>
  <w:footnote w:id="56">
    <w:p w14:paraId="11706681" w14:textId="77777777" w:rsidR="00721C98" w:rsidRDefault="00AE7B71">
      <w:pPr>
        <w:pStyle w:val="footnote1"/>
      </w:pPr>
      <w:r>
        <w:rPr>
          <w:vertAlign w:val="superscript"/>
        </w:rPr>
        <w:footnoteRef/>
      </w:r>
      <w:r>
        <w:rPr>
          <w:vertAlign w:val="superscript"/>
        </w:rPr>
        <w:tab/>
      </w:r>
      <w:r>
        <w:rPr>
          <w:color w:val="000000"/>
        </w:rPr>
        <w:t xml:space="preserve">Council Recommendation of 18 December 2023 on a European framework to attract and retain research, innovation and entrepreneurial talents in Europe, </w:t>
      </w:r>
      <w:hyperlink r:id="rId27">
        <w:r w:rsidR="00721C98">
          <w:rPr>
            <w:szCs w:val="20"/>
            <w:u w:val="single"/>
          </w:rPr>
          <w:t>https://eur-lex.europa.eu/eli/C/2023/1640/oj</w:t>
        </w:r>
      </w:hyperlink>
      <w:r>
        <w:rPr>
          <w:color w:val="000000"/>
        </w:rPr>
        <w:t>.</w:t>
      </w:r>
    </w:p>
  </w:footnote>
  <w:footnote w:id="57">
    <w:p w14:paraId="20191FDB" w14:textId="77777777" w:rsidR="00721C98" w:rsidRDefault="00AE7B71">
      <w:pPr>
        <w:pStyle w:val="footnote1"/>
      </w:pPr>
      <w:r>
        <w:rPr>
          <w:vertAlign w:val="superscript"/>
        </w:rPr>
        <w:footnoteRef/>
      </w:r>
      <w:r>
        <w:rPr>
          <w:vertAlign w:val="superscript"/>
        </w:rPr>
        <w:tab/>
      </w:r>
      <w:hyperlink r:id="rId28" w:anchor="the-european-charter-for-researchers">
        <w:r w:rsidR="00721C98">
          <w:rPr>
            <w:szCs w:val="20"/>
            <w:u w:val="single"/>
          </w:rPr>
          <w:t>https://euraxess.ec.europa.eu/hrexcellenceaward/european-charter-researchers#the-european-charter-for-researchers</w:t>
        </w:r>
      </w:hyperlink>
      <w:r>
        <w:rPr>
          <w:color w:val="000000"/>
        </w:rPr>
        <w:t>.</w:t>
      </w:r>
    </w:p>
  </w:footnote>
  <w:footnote w:id="58">
    <w:p w14:paraId="7EE7E8D9" w14:textId="77777777" w:rsidR="00721C98" w:rsidRDefault="00AE7B71">
      <w:pPr>
        <w:pStyle w:val="footnote1"/>
      </w:pPr>
      <w:r>
        <w:rPr>
          <w:vertAlign w:val="superscript"/>
        </w:rPr>
        <w:footnoteRef/>
      </w:r>
      <w:r>
        <w:rPr>
          <w:vertAlign w:val="superscript"/>
        </w:rPr>
        <w:tab/>
      </w:r>
      <w:r>
        <w:rPr>
          <w:color w:val="000000"/>
        </w:rPr>
        <w:t>Scholarly societies (also called learned societies) are organisations dedicated to advancing a specific academic discipline or field of study, set scientific standards, and enable multilingualism and biblio-diversity. They typically serve as central hubs for researchers, educators, and practitioners to share knowledge, collaborate, and uphold standards in their field. They often have significant scientific publishing activities and play a role in scientific publishing.</w:t>
      </w:r>
    </w:p>
  </w:footnote>
  <w:footnote w:id="59">
    <w:p w14:paraId="21DCDA4C" w14:textId="77777777" w:rsidR="00721C98" w:rsidRDefault="00AE7B71">
      <w:pPr>
        <w:pStyle w:val="footnote1"/>
      </w:pPr>
      <w:r>
        <w:rPr>
          <w:vertAlign w:val="superscript"/>
        </w:rPr>
        <w:footnoteRef/>
      </w:r>
      <w:r>
        <w:rPr>
          <w:vertAlign w:val="superscript"/>
        </w:rPr>
        <w:tab/>
      </w:r>
      <w:r>
        <w:rPr>
          <w:color w:val="000000"/>
        </w:rPr>
        <w:t>1) Natural sciences; 2) Engineering and technology; 3) Medical and health sciences; 4) Agricultural and veterinary sciences; 5) Social sciences; 6) Humanities and the arts.</w:t>
      </w:r>
    </w:p>
  </w:footnote>
  <w:footnote w:id="60">
    <w:p w14:paraId="30AF6D0D" w14:textId="77777777" w:rsidR="00721C98" w:rsidRDefault="00AE7B71">
      <w:pPr>
        <w:pStyle w:val="footnote1"/>
      </w:pPr>
      <w:r>
        <w:rPr>
          <w:vertAlign w:val="superscript"/>
        </w:rPr>
        <w:footnoteRef/>
      </w:r>
      <w:r>
        <w:rPr>
          <w:vertAlign w:val="superscript"/>
        </w:rPr>
        <w:tab/>
      </w:r>
      <w:r>
        <w:rPr>
          <w:color w:val="000000"/>
        </w:rPr>
        <w:t xml:space="preserve">Including relevant projects funded under </w:t>
      </w:r>
      <w:hyperlink r:id="rId29">
        <w:r w:rsidR="00721C98">
          <w:rPr>
            <w:szCs w:val="20"/>
            <w:u w:val="single"/>
          </w:rPr>
          <w:t>HORIZON-WIDERA-2021-ERA-01-43</w:t>
        </w:r>
      </w:hyperlink>
      <w:r>
        <w:rPr>
          <w:color w:val="000000"/>
        </w:rPr>
        <w:t xml:space="preserve">, </w:t>
      </w:r>
      <w:hyperlink r:id="rId30">
        <w:r w:rsidR="00721C98">
          <w:rPr>
            <w:szCs w:val="20"/>
            <w:u w:val="single"/>
          </w:rPr>
          <w:t>HORIZON-WIDERA-2022-ERA-01-42</w:t>
        </w:r>
      </w:hyperlink>
      <w:r>
        <w:rPr>
          <w:color w:val="000000"/>
        </w:rPr>
        <w:t xml:space="preserve">, </w:t>
      </w:r>
      <w:hyperlink r:id="rId31">
        <w:r w:rsidR="00721C98">
          <w:rPr>
            <w:szCs w:val="20"/>
            <w:u w:val="single"/>
          </w:rPr>
          <w:t>HORIZON-INFRA-2022-EOSC-01-02</w:t>
        </w:r>
      </w:hyperlink>
      <w:r>
        <w:rPr>
          <w:color w:val="000000"/>
        </w:rPr>
        <w:t xml:space="preserve">, and </w:t>
      </w:r>
      <w:hyperlink r:id="rId32">
        <w:r w:rsidR="00721C98">
          <w:rPr>
            <w:szCs w:val="20"/>
            <w:u w:val="single"/>
          </w:rPr>
          <w:t>HORIZON-WIDERA-2024-ERA-01-08</w:t>
        </w:r>
      </w:hyperlink>
      <w:r>
        <w:rPr>
          <w:color w:val="000000"/>
        </w:rPr>
        <w:t>.</w:t>
      </w:r>
    </w:p>
  </w:footnote>
  <w:footnote w:id="61">
    <w:p w14:paraId="54F76496" w14:textId="77777777" w:rsidR="00721C98" w:rsidRDefault="00AE7B71">
      <w:pPr>
        <w:pStyle w:val="footnote1"/>
      </w:pPr>
      <w:r>
        <w:rPr>
          <w:vertAlign w:val="superscript"/>
        </w:rPr>
        <w:footnoteRef/>
      </w:r>
      <w:r>
        <w:rPr>
          <w:vertAlign w:val="superscript"/>
        </w:rPr>
        <w:tab/>
      </w:r>
      <w:r>
        <w:rPr>
          <w:color w:val="000000"/>
        </w:rPr>
        <w:t xml:space="preserve">Including projects funded under </w:t>
      </w:r>
      <w:hyperlink r:id="rId33">
        <w:r w:rsidR="00721C98">
          <w:rPr>
            <w:szCs w:val="20"/>
            <w:u w:val="single"/>
          </w:rPr>
          <w:t>HORIZON-WIDERA-2023-ERA-01-07</w:t>
        </w:r>
      </w:hyperlink>
      <w:r>
        <w:rPr>
          <w:color w:val="000000"/>
        </w:rPr>
        <w:t xml:space="preserve">, </w:t>
      </w:r>
      <w:hyperlink r:id="rId34">
        <w:r w:rsidR="00721C98">
          <w:rPr>
            <w:szCs w:val="20"/>
            <w:u w:val="single"/>
          </w:rPr>
          <w:t>HORIZON-INFRA-2022-EOSC-01-01</w:t>
        </w:r>
      </w:hyperlink>
      <w:r>
        <w:rPr>
          <w:color w:val="000000"/>
        </w:rPr>
        <w:t xml:space="preserve">, </w:t>
      </w:r>
      <w:hyperlink r:id="rId35">
        <w:r w:rsidR="00721C98">
          <w:rPr>
            <w:szCs w:val="20"/>
            <w:u w:val="single"/>
          </w:rPr>
          <w:t>HORIZON-WIDERA-2021-ERA-01-45</w:t>
        </w:r>
      </w:hyperlink>
      <w:r>
        <w:rPr>
          <w:color w:val="000000"/>
        </w:rPr>
        <w:t>.</w:t>
      </w:r>
    </w:p>
  </w:footnote>
  <w:footnote w:id="62">
    <w:p w14:paraId="31DAB8AB" w14:textId="77777777" w:rsidR="00721C98" w:rsidRDefault="00AE7B71">
      <w:pPr>
        <w:pStyle w:val="footnote1"/>
      </w:pPr>
      <w:r>
        <w:rPr>
          <w:vertAlign w:val="superscript"/>
        </w:rPr>
        <w:footnoteRef/>
      </w:r>
      <w:r>
        <w:rPr>
          <w:vertAlign w:val="superscript"/>
        </w:rPr>
        <w:tab/>
      </w:r>
      <w:r>
        <w:rPr>
          <w:color w:val="000000"/>
        </w:rPr>
        <w:t xml:space="preserve">This </w:t>
      </w:r>
      <w:hyperlink r:id="rId36">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7">
        <w:r w:rsidR="00721C98">
          <w:rPr>
            <w:szCs w:val="20"/>
            <w:u w:val="single"/>
          </w:rPr>
          <w:t>https://ec.europa.eu/info/funding-tenders/opportunities/docs/2021-2027/horizon/guidance/ls-decision_he_en.pdf</w:t>
        </w:r>
      </w:hyperlink>
    </w:p>
  </w:footnote>
  <w:footnote w:id="63">
    <w:p w14:paraId="2EEB3A5C" w14:textId="77777777" w:rsidR="00721C98" w:rsidRDefault="00AE7B71">
      <w:pPr>
        <w:pStyle w:val="footnote1"/>
      </w:pPr>
      <w:r>
        <w:rPr>
          <w:vertAlign w:val="superscript"/>
        </w:rPr>
        <w:footnoteRef/>
      </w:r>
      <w:r>
        <w:rPr>
          <w:vertAlign w:val="superscript"/>
        </w:rPr>
        <w:tab/>
      </w:r>
      <w:r>
        <w:rPr>
          <w:color w:val="000000"/>
        </w:rPr>
        <w:t xml:space="preserve">Including projects funded under </w:t>
      </w:r>
      <w:hyperlink r:id="rId38">
        <w:r w:rsidR="00721C98">
          <w:rPr>
            <w:szCs w:val="20"/>
            <w:u w:val="single"/>
          </w:rPr>
          <w:t>H2020_SwafS-27-2017</w:t>
        </w:r>
      </w:hyperlink>
      <w:r>
        <w:rPr>
          <w:color w:val="000000"/>
        </w:rPr>
        <w:t xml:space="preserve">, </w:t>
      </w:r>
      <w:hyperlink r:id="rId39">
        <w:r w:rsidR="00721C98">
          <w:rPr>
            <w:szCs w:val="20"/>
            <w:u w:val="single"/>
          </w:rPr>
          <w:t>H2020_SwafS-03-2018</w:t>
        </w:r>
      </w:hyperlink>
      <w:r>
        <w:rPr>
          <w:color w:val="000000"/>
        </w:rPr>
        <w:t xml:space="preserve">, </w:t>
      </w:r>
      <w:hyperlink r:id="rId40">
        <w:r w:rsidR="00721C98">
          <w:rPr>
            <w:szCs w:val="20"/>
            <w:u w:val="single"/>
          </w:rPr>
          <w:t>H2020_SwafS-29-2020</w:t>
        </w:r>
      </w:hyperlink>
      <w:r>
        <w:rPr>
          <w:color w:val="000000"/>
        </w:rPr>
        <w:t xml:space="preserve">, </w:t>
      </w:r>
      <w:hyperlink r:id="rId41">
        <w:r w:rsidR="00721C98">
          <w:rPr>
            <w:szCs w:val="20"/>
            <w:u w:val="single"/>
          </w:rPr>
          <w:t>HORIZON-WIDERA-2021-ERA-01-90</w:t>
        </w:r>
      </w:hyperlink>
      <w:r>
        <w:rPr>
          <w:color w:val="000000"/>
        </w:rPr>
        <w:t xml:space="preserve">, </w:t>
      </w:r>
      <w:hyperlink r:id="rId42">
        <w:r w:rsidR="00721C98">
          <w:rPr>
            <w:szCs w:val="20"/>
            <w:u w:val="single"/>
          </w:rPr>
          <w:t>HORIZON-WIDERA-2021-ERA-01-91</w:t>
        </w:r>
      </w:hyperlink>
      <w:r>
        <w:rPr>
          <w:color w:val="000000"/>
        </w:rPr>
        <w:t xml:space="preserve">, </w:t>
      </w:r>
      <w:hyperlink r:id="rId43">
        <w:r w:rsidR="00721C98">
          <w:rPr>
            <w:szCs w:val="20"/>
            <w:u w:val="single"/>
          </w:rPr>
          <w:t>HORIZON-WIDERA-2022-ERA-01-91</w:t>
        </w:r>
      </w:hyperlink>
      <w:r>
        <w:rPr>
          <w:color w:val="000000"/>
        </w:rPr>
        <w:t xml:space="preserve">, </w:t>
      </w:r>
      <w:hyperlink r:id="rId44">
        <w:r w:rsidR="00721C98">
          <w:rPr>
            <w:szCs w:val="20"/>
            <w:u w:val="single"/>
          </w:rPr>
          <w:t>HORIZON_HORIZON-WIDERA-2023-ERA-01-12</w:t>
        </w:r>
      </w:hyperlink>
      <w:r>
        <w:rPr>
          <w:color w:val="000000"/>
        </w:rPr>
        <w:t xml:space="preserve">, </w:t>
      </w:r>
      <w:hyperlink r:id="rId45">
        <w:r w:rsidR="00721C98">
          <w:rPr>
            <w:szCs w:val="20"/>
            <w:u w:val="single"/>
          </w:rPr>
          <w:t>HORIZON_HORIZON-WIDERA-2024-ERA-01-12</w:t>
        </w:r>
      </w:hyperlink>
      <w:r>
        <w:rPr>
          <w:color w:val="000000"/>
        </w:rPr>
        <w:t xml:space="preserve">; See also Cordis Results Pack: </w:t>
      </w:r>
      <w:hyperlink r:id="rId46">
        <w:r w:rsidR="00721C98">
          <w:rPr>
            <w:szCs w:val="20"/>
            <w:u w:val="single"/>
          </w:rPr>
          <w:t>Ethics and integrity: Building bridges for trust and excellence in research and innovation</w:t>
        </w:r>
      </w:hyperlink>
      <w:r>
        <w:rPr>
          <w:color w:val="000000"/>
        </w:rPr>
        <w:t>.</w:t>
      </w:r>
    </w:p>
  </w:footnote>
  <w:footnote w:id="64">
    <w:p w14:paraId="112AA4C8" w14:textId="77777777" w:rsidR="00721C98" w:rsidRDefault="00AE7B71">
      <w:pPr>
        <w:pStyle w:val="footnote1"/>
      </w:pPr>
      <w:r>
        <w:rPr>
          <w:vertAlign w:val="superscript"/>
        </w:rPr>
        <w:footnoteRef/>
      </w:r>
      <w:r>
        <w:rPr>
          <w:vertAlign w:val="superscript"/>
        </w:rPr>
        <w:tab/>
      </w:r>
      <w:r>
        <w:rPr>
          <w:color w:val="000000"/>
        </w:rPr>
        <w:t>E.g., the European Network of Research Ethics Committees and Research Integrity Offices (</w:t>
      </w:r>
      <w:hyperlink r:id="rId47">
        <w:r w:rsidR="00721C98">
          <w:rPr>
            <w:szCs w:val="20"/>
            <w:u w:val="single"/>
          </w:rPr>
          <w:t>ENERI</w:t>
        </w:r>
      </w:hyperlink>
      <w:r>
        <w:rPr>
          <w:color w:val="000000"/>
        </w:rPr>
        <w:t>), The Anna Lindh Foundation (</w:t>
      </w:r>
      <w:hyperlink r:id="rId48">
        <w:r w:rsidR="00721C98">
          <w:rPr>
            <w:szCs w:val="20"/>
            <w:u w:val="single"/>
          </w:rPr>
          <w:t>ALF</w:t>
        </w:r>
      </w:hyperlink>
      <w:r>
        <w:rPr>
          <w:color w:val="000000"/>
        </w:rPr>
        <w:t>), and the Network of Education on Research Quality (</w:t>
      </w:r>
      <w:hyperlink r:id="rId49">
        <w:r w:rsidR="00721C98">
          <w:rPr>
            <w:szCs w:val="20"/>
            <w:u w:val="single"/>
          </w:rPr>
          <w:t>NERQ</w:t>
        </w:r>
      </w:hyperlink>
      <w:r>
        <w:rPr>
          <w:color w:val="000000"/>
        </w:rPr>
        <w:t>).</w:t>
      </w:r>
    </w:p>
  </w:footnote>
  <w:footnote w:id="65">
    <w:p w14:paraId="2C003977" w14:textId="77777777" w:rsidR="00721C98" w:rsidRDefault="00AE7B71">
      <w:pPr>
        <w:pStyle w:val="footnote1"/>
      </w:pPr>
      <w:r>
        <w:rPr>
          <w:vertAlign w:val="superscript"/>
        </w:rPr>
        <w:footnoteRef/>
      </w:r>
      <w:r>
        <w:rPr>
          <w:vertAlign w:val="superscript"/>
        </w:rPr>
        <w:tab/>
      </w:r>
      <w:hyperlink r:id="rId50">
        <w:r w:rsidR="00721C98">
          <w:rPr>
            <w:szCs w:val="20"/>
            <w:u w:val="single"/>
          </w:rPr>
          <w:t>GEAR Tool</w:t>
        </w:r>
      </w:hyperlink>
      <w:r>
        <w:rPr>
          <w:color w:val="000000"/>
        </w:rPr>
        <w:t xml:space="preserve">; Projects funded under </w:t>
      </w:r>
      <w:hyperlink r:id="rId51">
        <w:r w:rsidR="00721C98">
          <w:rPr>
            <w:szCs w:val="20"/>
            <w:u w:val="single"/>
          </w:rPr>
          <w:t>H2020_SwafS-13-2018</w:t>
        </w:r>
      </w:hyperlink>
      <w:r>
        <w:rPr>
          <w:color w:val="000000"/>
        </w:rPr>
        <w:t>,</w:t>
      </w:r>
      <w:hyperlink r:id="rId52">
        <w:r w:rsidR="00721C98">
          <w:rPr>
            <w:szCs w:val="20"/>
            <w:u w:val="single"/>
          </w:rPr>
          <w:t>H2020_SwafS-08-2017</w:t>
        </w:r>
      </w:hyperlink>
      <w:r>
        <w:rPr>
          <w:color w:val="000000"/>
        </w:rPr>
        <w:t xml:space="preserve">, </w:t>
      </w:r>
      <w:hyperlink r:id="rId53">
        <w:r w:rsidR="00721C98">
          <w:rPr>
            <w:szCs w:val="20"/>
            <w:u w:val="single"/>
          </w:rPr>
          <w:t>HORIZON-WIDERA-2021-ERA-01-80</w:t>
        </w:r>
      </w:hyperlink>
      <w:r>
        <w:rPr>
          <w:color w:val="000000"/>
        </w:rPr>
        <w:t xml:space="preserve">, </w:t>
      </w:r>
      <w:hyperlink r:id="rId54">
        <w:r w:rsidR="00721C98">
          <w:rPr>
            <w:szCs w:val="20"/>
            <w:u w:val="single"/>
          </w:rPr>
          <w:t>HORIZON-WIDERA-2021-ERA-01-81</w:t>
        </w:r>
      </w:hyperlink>
      <w:r>
        <w:rPr>
          <w:color w:val="000000"/>
        </w:rPr>
        <w:t xml:space="preserve">, and </w:t>
      </w:r>
      <w:hyperlink r:id="rId55">
        <w:r w:rsidR="00721C98">
          <w:rPr>
            <w:szCs w:val="20"/>
            <w:u w:val="single"/>
          </w:rPr>
          <w:t>HORIZON-WIDERA-2024-ERA-01-11</w:t>
        </w:r>
      </w:hyperlink>
      <w:r>
        <w:rPr>
          <w:color w:val="000000"/>
        </w:rPr>
        <w:t xml:space="preserve"> .</w:t>
      </w:r>
    </w:p>
  </w:footnote>
  <w:footnote w:id="66">
    <w:p w14:paraId="1FA95589" w14:textId="77777777" w:rsidR="00721C98" w:rsidRDefault="00AE7B71">
      <w:pPr>
        <w:pStyle w:val="footnote1"/>
      </w:pPr>
      <w:r>
        <w:rPr>
          <w:vertAlign w:val="superscript"/>
        </w:rPr>
        <w:footnoteRef/>
      </w:r>
      <w:r>
        <w:rPr>
          <w:vertAlign w:val="superscript"/>
        </w:rPr>
        <w:tab/>
      </w:r>
      <w:r>
        <w:rPr>
          <w:color w:val="000000"/>
        </w:rPr>
        <w:t xml:space="preserve">Including project </w:t>
      </w:r>
      <w:hyperlink r:id="rId56">
        <w:r w:rsidR="00721C98">
          <w:rPr>
            <w:szCs w:val="20"/>
            <w:u w:val="single"/>
          </w:rPr>
          <w:t>ON-MERRIT</w:t>
        </w:r>
      </w:hyperlink>
      <w:r>
        <w:rPr>
          <w:color w:val="000000"/>
        </w:rPr>
        <w:t xml:space="preserve">, funded under </w:t>
      </w:r>
      <w:hyperlink r:id="rId57">
        <w:r w:rsidR="00721C98">
          <w:rPr>
            <w:szCs w:val="20"/>
            <w:u w:val="single"/>
          </w:rPr>
          <w:t>H2020_SwafS-20-2018-2019</w:t>
        </w:r>
      </w:hyperlink>
      <w:r>
        <w:rPr>
          <w:color w:val="000000"/>
        </w:rPr>
        <w:t xml:space="preserve">, and projects funded under </w:t>
      </w:r>
      <w:hyperlink r:id="rId58">
        <w:r w:rsidR="00721C98">
          <w:rPr>
            <w:szCs w:val="20"/>
            <w:u w:val="single"/>
          </w:rPr>
          <w:t>HORIZON-WIDERA-2022-ERA-01-44</w:t>
        </w:r>
      </w:hyperlink>
      <w:r>
        <w:rPr>
          <w:color w:val="000000"/>
        </w:rPr>
        <w:t>.</w:t>
      </w:r>
    </w:p>
  </w:footnote>
  <w:footnote w:id="67">
    <w:p w14:paraId="3E43314D" w14:textId="77777777" w:rsidR="00721C98" w:rsidRDefault="00AE7B71">
      <w:pPr>
        <w:pStyle w:val="footnote1"/>
      </w:pPr>
      <w:r>
        <w:rPr>
          <w:vertAlign w:val="superscript"/>
        </w:rPr>
        <w:footnoteRef/>
      </w:r>
      <w:r>
        <w:rPr>
          <w:vertAlign w:val="superscript"/>
        </w:rPr>
        <w:tab/>
      </w:r>
      <w:r>
        <w:rPr>
          <w:color w:val="000000"/>
        </w:rPr>
        <w:t>1) Natural sciences; 2) Engineering and technology; 3) Medical and health sciences; 4) Agricultural and veterinary sciences; 5) Social sciences; 6) Humanities and the arts.</w:t>
      </w:r>
    </w:p>
  </w:footnote>
  <w:footnote w:id="68">
    <w:p w14:paraId="32C72A38" w14:textId="77777777" w:rsidR="00721C98" w:rsidRDefault="00AE7B71">
      <w:pPr>
        <w:pStyle w:val="footnote1"/>
      </w:pPr>
      <w:r>
        <w:rPr>
          <w:vertAlign w:val="superscript"/>
        </w:rPr>
        <w:footnoteRef/>
      </w:r>
      <w:r>
        <w:rPr>
          <w:vertAlign w:val="superscript"/>
        </w:rPr>
        <w:tab/>
      </w:r>
      <w:r>
        <w:rPr>
          <w:color w:val="000000"/>
        </w:rPr>
        <w:t xml:space="preserve">This </w:t>
      </w:r>
      <w:hyperlink r:id="rId59">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0">
        <w:r w:rsidR="00721C98">
          <w:rPr>
            <w:szCs w:val="20"/>
            <w:u w:val="single"/>
          </w:rPr>
          <w:t>https://ec.europa.eu/info/funding-tenders/opportunities/docs/2021-2027/horizon/guidance/ls-decision_he_en.pdf</w:t>
        </w:r>
      </w:hyperlink>
    </w:p>
  </w:footnote>
  <w:footnote w:id="69">
    <w:p w14:paraId="1DAB789E" w14:textId="77777777" w:rsidR="00721C98" w:rsidRDefault="00AE7B71">
      <w:pPr>
        <w:pStyle w:val="footnote1"/>
      </w:pPr>
      <w:r>
        <w:rPr>
          <w:vertAlign w:val="superscript"/>
        </w:rPr>
        <w:footnoteRef/>
      </w:r>
      <w:r>
        <w:rPr>
          <w:vertAlign w:val="superscript"/>
        </w:rPr>
        <w:tab/>
      </w:r>
      <w:hyperlink r:id="rId61">
        <w:r w:rsidR="00721C98">
          <w:rPr>
            <w:szCs w:val="20"/>
            <w:u w:val="single"/>
          </w:rPr>
          <w:t>european-code-of-conduct-for-research-integrity_horizon_en.pdf</w:t>
        </w:r>
      </w:hyperlink>
      <w:r>
        <w:rPr>
          <w:color w:val="000000"/>
          <w:u w:val="single"/>
        </w:rPr>
        <w:t>.</w:t>
      </w:r>
    </w:p>
  </w:footnote>
  <w:footnote w:id="70">
    <w:p w14:paraId="563F09CF" w14:textId="77777777" w:rsidR="00721C98" w:rsidRDefault="00AE7B71">
      <w:pPr>
        <w:pStyle w:val="footnote1"/>
      </w:pPr>
      <w:r>
        <w:rPr>
          <w:vertAlign w:val="superscript"/>
        </w:rPr>
        <w:footnoteRef/>
      </w:r>
      <w:r>
        <w:rPr>
          <w:vertAlign w:val="superscript"/>
        </w:rPr>
        <w:tab/>
      </w:r>
      <w:r>
        <w:rPr>
          <w:color w:val="000000"/>
        </w:rPr>
        <w:t xml:space="preserve">The TRUST Code A Global Code of Conduct for Equitable Research Partnerships, </w:t>
      </w:r>
      <w:hyperlink r:id="rId62">
        <w:r w:rsidR="00721C98">
          <w:rPr>
            <w:szCs w:val="20"/>
            <w:u w:val="single"/>
          </w:rPr>
          <w:t>https://www.globalcodeofconduct.org/</w:t>
        </w:r>
      </w:hyperlink>
      <w:r>
        <w:rPr>
          <w:color w:val="000000"/>
        </w:rPr>
        <w:t>.</w:t>
      </w:r>
    </w:p>
  </w:footnote>
  <w:footnote w:id="71">
    <w:p w14:paraId="4B681DD2" w14:textId="77777777" w:rsidR="00721C98" w:rsidRDefault="00AE7B71">
      <w:pPr>
        <w:pStyle w:val="footnote1"/>
      </w:pPr>
      <w:r>
        <w:rPr>
          <w:vertAlign w:val="superscript"/>
        </w:rPr>
        <w:footnoteRef/>
      </w:r>
      <w:r>
        <w:rPr>
          <w:vertAlign w:val="superscript"/>
        </w:rPr>
        <w:tab/>
      </w:r>
      <w:r>
        <w:rPr>
          <w:color w:val="000000"/>
        </w:rPr>
        <w:t xml:space="preserve">Including projects funded under </w:t>
      </w:r>
      <w:hyperlink r:id="rId63">
        <w:r w:rsidR="00721C98">
          <w:rPr>
            <w:szCs w:val="20"/>
            <w:u w:val="single"/>
          </w:rPr>
          <w:t>H2020_SwafS-27-2017</w:t>
        </w:r>
      </w:hyperlink>
      <w:r>
        <w:rPr>
          <w:color w:val="000000"/>
        </w:rPr>
        <w:t xml:space="preserve">, </w:t>
      </w:r>
      <w:hyperlink r:id="rId64">
        <w:r w:rsidR="00721C98">
          <w:rPr>
            <w:szCs w:val="20"/>
            <w:u w:val="single"/>
          </w:rPr>
          <w:t>H2020_SwafS-03-2018</w:t>
        </w:r>
      </w:hyperlink>
      <w:r>
        <w:rPr>
          <w:color w:val="000000"/>
        </w:rPr>
        <w:t xml:space="preserve">, </w:t>
      </w:r>
      <w:hyperlink r:id="rId65">
        <w:r w:rsidR="00721C98">
          <w:rPr>
            <w:szCs w:val="20"/>
            <w:u w:val="single"/>
          </w:rPr>
          <w:t>H2020_SwafS-29-2020</w:t>
        </w:r>
      </w:hyperlink>
      <w:r>
        <w:rPr>
          <w:color w:val="000000"/>
        </w:rPr>
        <w:t xml:space="preserve">, </w:t>
      </w:r>
      <w:hyperlink r:id="rId66">
        <w:r w:rsidR="00721C98">
          <w:rPr>
            <w:szCs w:val="20"/>
            <w:u w:val="single"/>
          </w:rPr>
          <w:t>HORIZON-WIDERA-2021-ERA-01-90</w:t>
        </w:r>
      </w:hyperlink>
      <w:r>
        <w:rPr>
          <w:color w:val="000000"/>
        </w:rPr>
        <w:t xml:space="preserve">, </w:t>
      </w:r>
      <w:hyperlink r:id="rId67">
        <w:r w:rsidR="00721C98">
          <w:rPr>
            <w:szCs w:val="20"/>
            <w:u w:val="single"/>
          </w:rPr>
          <w:t>HORIZON-WIDERA-2021-ERA-01-91</w:t>
        </w:r>
      </w:hyperlink>
      <w:r>
        <w:rPr>
          <w:color w:val="000000"/>
        </w:rPr>
        <w:t xml:space="preserve">, </w:t>
      </w:r>
      <w:hyperlink r:id="rId68">
        <w:r w:rsidR="00721C98">
          <w:rPr>
            <w:szCs w:val="20"/>
            <w:u w:val="single"/>
          </w:rPr>
          <w:t>HORIZON-WIDERA-2022-ERA-01-91</w:t>
        </w:r>
      </w:hyperlink>
      <w:r>
        <w:rPr>
          <w:color w:val="000000"/>
        </w:rPr>
        <w:t xml:space="preserve">, </w:t>
      </w:r>
      <w:hyperlink r:id="rId69">
        <w:r w:rsidR="00721C98">
          <w:rPr>
            <w:szCs w:val="20"/>
            <w:u w:val="single"/>
          </w:rPr>
          <w:t>HORIZON_HORIZON-WIDERA-2023-ERA-01-12</w:t>
        </w:r>
      </w:hyperlink>
      <w:r>
        <w:rPr>
          <w:color w:val="000000"/>
        </w:rPr>
        <w:t xml:space="preserve">, </w:t>
      </w:r>
      <w:hyperlink r:id="rId70">
        <w:r w:rsidR="00721C98">
          <w:rPr>
            <w:szCs w:val="20"/>
            <w:u w:val="single"/>
          </w:rPr>
          <w:t>HORIZON_HORIZON-WIDERA-2024-ERA-01-12</w:t>
        </w:r>
      </w:hyperlink>
      <w:r>
        <w:rPr>
          <w:color w:val="000000"/>
        </w:rPr>
        <w:t xml:space="preserve">; See also Cordis Results Pack: </w:t>
      </w:r>
      <w:hyperlink r:id="rId71">
        <w:r w:rsidR="00721C98">
          <w:rPr>
            <w:szCs w:val="20"/>
            <w:u w:val="single"/>
          </w:rPr>
          <w:t>Ethics and integrity: Building bridges for trust and excellence in research and innovation</w:t>
        </w:r>
      </w:hyperlink>
      <w:r>
        <w:rPr>
          <w:color w:val="000000"/>
        </w:rPr>
        <w:t>.</w:t>
      </w:r>
    </w:p>
  </w:footnote>
  <w:footnote w:id="72">
    <w:p w14:paraId="744CD009" w14:textId="77777777" w:rsidR="00721C98" w:rsidRDefault="00AE7B71">
      <w:pPr>
        <w:pStyle w:val="footnote1"/>
      </w:pPr>
      <w:r>
        <w:rPr>
          <w:vertAlign w:val="superscript"/>
        </w:rPr>
        <w:footnoteRef/>
      </w:r>
      <w:r>
        <w:rPr>
          <w:vertAlign w:val="superscript"/>
        </w:rPr>
        <w:tab/>
      </w:r>
      <w:r>
        <w:rPr>
          <w:color w:val="000000"/>
        </w:rPr>
        <w:t>For example, EUA, YERUN, LERU, CESAER, EARMA, ALF.</w:t>
      </w:r>
    </w:p>
  </w:footnote>
  <w:footnote w:id="73">
    <w:p w14:paraId="41D5E5CD" w14:textId="77777777" w:rsidR="00721C98" w:rsidRDefault="00AE7B71">
      <w:pPr>
        <w:pStyle w:val="footnote1"/>
      </w:pPr>
      <w:r>
        <w:rPr>
          <w:vertAlign w:val="superscript"/>
        </w:rPr>
        <w:footnoteRef/>
      </w:r>
      <w:r>
        <w:rPr>
          <w:vertAlign w:val="superscript"/>
        </w:rPr>
        <w:tab/>
      </w:r>
      <w:r>
        <w:rPr>
          <w:color w:val="000000"/>
        </w:rPr>
        <w:t xml:space="preserve">Projects funded under </w:t>
      </w:r>
      <w:hyperlink r:id="rId72">
        <w:r w:rsidR="00721C98">
          <w:rPr>
            <w:szCs w:val="20"/>
            <w:u w:val="single"/>
          </w:rPr>
          <w:t>HORIZON-INFRA-2022-EOSC-01-04</w:t>
        </w:r>
      </w:hyperlink>
      <w:r>
        <w:rPr>
          <w:color w:val="000000"/>
        </w:rPr>
        <w:t xml:space="preserve"> and </w:t>
      </w:r>
      <w:hyperlink r:id="rId73">
        <w:r w:rsidR="00721C98">
          <w:rPr>
            <w:szCs w:val="20"/>
            <w:u w:val="single"/>
          </w:rPr>
          <w:t>HORIZON-WIDERA-2021-ERA-01-41</w:t>
        </w:r>
      </w:hyperlink>
      <w:r>
        <w:rPr>
          <w:color w:val="000000"/>
        </w:rPr>
        <w:t>.</w:t>
      </w:r>
    </w:p>
  </w:footnote>
  <w:footnote w:id="74">
    <w:p w14:paraId="45DDBF1E" w14:textId="77777777" w:rsidR="00721C98" w:rsidRDefault="00AE7B71">
      <w:pPr>
        <w:pStyle w:val="footnote1"/>
      </w:pPr>
      <w:r>
        <w:rPr>
          <w:vertAlign w:val="superscript"/>
        </w:rPr>
        <w:footnoteRef/>
      </w:r>
      <w:r>
        <w:rPr>
          <w:vertAlign w:val="superscript"/>
        </w:rPr>
        <w:tab/>
      </w:r>
      <w:r>
        <w:rPr>
          <w:color w:val="000000"/>
        </w:rPr>
        <w:t xml:space="preserve">See for example, </w:t>
      </w:r>
      <w:hyperlink r:id="rId74">
        <w:r w:rsidR="00721C98">
          <w:rPr>
            <w:szCs w:val="20"/>
            <w:u w:val="single"/>
          </w:rPr>
          <w:t>Green Labs</w:t>
        </w:r>
      </w:hyperlink>
      <w:r>
        <w:rPr>
          <w:color w:val="000000"/>
        </w:rPr>
        <w:t xml:space="preserve">, </w:t>
      </w:r>
      <w:hyperlink r:id="rId75">
        <w:r w:rsidR="00721C98">
          <w:rPr>
            <w:szCs w:val="20"/>
            <w:u w:val="single"/>
          </w:rPr>
          <w:t>MSCA Green Charter</w:t>
        </w:r>
      </w:hyperlink>
      <w:r>
        <w:rPr>
          <w:color w:val="000000"/>
        </w:rPr>
        <w:t xml:space="preserve">, </w:t>
      </w:r>
      <w:hyperlink r:id="rId76">
        <w:r w:rsidR="00721C98">
          <w:rPr>
            <w:szCs w:val="20"/>
            <w:u w:val="single"/>
          </w:rPr>
          <w:t>Sustainable European Laboratories</w:t>
        </w:r>
      </w:hyperlink>
      <w:r>
        <w:rPr>
          <w:color w:val="000000"/>
        </w:rPr>
        <w:t xml:space="preserve">, </w:t>
      </w:r>
      <w:hyperlink r:id="rId77">
        <w:r w:rsidR="00721C98">
          <w:rPr>
            <w:szCs w:val="20"/>
            <w:u w:val="single"/>
          </w:rPr>
          <w:t>Science Europe Working Group on Greening Research</w:t>
        </w:r>
      </w:hyperlink>
      <w:r>
        <w:rPr>
          <w:color w:val="000000"/>
        </w:rPr>
        <w:t xml:space="preserve">, </w:t>
      </w:r>
      <w:hyperlink r:id="rId78">
        <w:r w:rsidR="00721C98">
          <w:rPr>
            <w:szCs w:val="20"/>
            <w:u w:val="single"/>
          </w:rPr>
          <w:t>Heidelberg Agreement</w:t>
        </w:r>
      </w:hyperlink>
      <w:r>
        <w:rPr>
          <w:color w:val="000000"/>
        </w:rPr>
        <w:t>; ALLEA (2022), “</w:t>
      </w:r>
      <w:hyperlink r:id="rId79">
        <w:r w:rsidR="00721C98">
          <w:rPr>
            <w:szCs w:val="20"/>
            <w:u w:val="single"/>
          </w:rPr>
          <w:t>Towards Climate Sustainability of the Academic System in Europe and beyond</w:t>
        </w:r>
      </w:hyperlink>
      <w:r>
        <w:rPr>
          <w:color w:val="000000"/>
        </w:rPr>
        <w:t xml:space="preserve">”; Nature (2024), </w:t>
      </w:r>
      <w:hyperlink r:id="rId80">
        <w:r w:rsidR="00721C98">
          <w:rPr>
            <w:szCs w:val="20"/>
            <w:u w:val="single"/>
          </w:rPr>
          <w:t>“Spotlight on Green Labs”</w:t>
        </w:r>
      </w:hyperlink>
      <w:r>
        <w:rPr>
          <w:color w:val="000000"/>
        </w:rPr>
        <w:t>; EC (2024) "</w:t>
      </w:r>
      <w:hyperlink r:id="rId81">
        <w:r w:rsidR="00721C98">
          <w:rPr>
            <w:szCs w:val="20"/>
            <w:u w:val="single"/>
          </w:rPr>
          <w:t>Greening research: Decarbonisation and beyond</w:t>
        </w:r>
      </w:hyperlink>
      <w:r>
        <w:rPr>
          <w:color w:val="000000"/>
        </w:rPr>
        <w:t>".</w:t>
      </w:r>
    </w:p>
  </w:footnote>
  <w:footnote w:id="75">
    <w:p w14:paraId="66F9ACF9" w14:textId="77777777" w:rsidR="00721C98" w:rsidRDefault="00AE7B71">
      <w:pPr>
        <w:pStyle w:val="footnote1"/>
      </w:pPr>
      <w:r>
        <w:rPr>
          <w:vertAlign w:val="superscript"/>
        </w:rPr>
        <w:footnoteRef/>
      </w:r>
      <w:r>
        <w:rPr>
          <w:vertAlign w:val="superscript"/>
        </w:rPr>
        <w:tab/>
      </w:r>
      <w:r>
        <w:rPr>
          <w:color w:val="000000"/>
        </w:rPr>
        <w:t xml:space="preserve">This </w:t>
      </w:r>
      <w:hyperlink r:id="rId82">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3">
        <w:r w:rsidR="00721C98">
          <w:rPr>
            <w:szCs w:val="20"/>
            <w:u w:val="single"/>
          </w:rPr>
          <w:t>https://ec.europa.eu/info/funding-tenders/opportunities/docs/2021-2027/horizon/guidance/ls-decision_he_en.pdf</w:t>
        </w:r>
      </w:hyperlink>
    </w:p>
  </w:footnote>
  <w:footnote w:id="76">
    <w:p w14:paraId="136DCCD0" w14:textId="77777777" w:rsidR="00721C98" w:rsidRDefault="00AE7B71">
      <w:pPr>
        <w:pStyle w:val="footnote1"/>
      </w:pPr>
      <w:r>
        <w:rPr>
          <w:vertAlign w:val="superscript"/>
        </w:rPr>
        <w:footnoteRef/>
      </w:r>
      <w:r>
        <w:rPr>
          <w:vertAlign w:val="superscript"/>
        </w:rPr>
        <w:tab/>
      </w:r>
      <w:hyperlink r:id="rId84">
        <w:r w:rsidR="00721C98">
          <w:rPr>
            <w:szCs w:val="20"/>
            <w:u w:val="single"/>
          </w:rPr>
          <w:t>https://research-and-innovation.ec.europa.eu/strategy/strategy-research-and-innovation/jobs-and-economy/eu-startup-and-scaleup-strategy_en</w:t>
        </w:r>
      </w:hyperlink>
      <w:r>
        <w:rPr>
          <w:color w:val="000000"/>
        </w:rPr>
        <w:t>.</w:t>
      </w:r>
    </w:p>
  </w:footnote>
  <w:footnote w:id="77">
    <w:p w14:paraId="765700CE" w14:textId="77777777" w:rsidR="00721C98" w:rsidRDefault="00AE7B71">
      <w:pPr>
        <w:pStyle w:val="footnote1"/>
      </w:pPr>
      <w:r>
        <w:rPr>
          <w:vertAlign w:val="superscript"/>
        </w:rPr>
        <w:footnoteRef/>
      </w:r>
      <w:r>
        <w:rPr>
          <w:vertAlign w:val="superscript"/>
        </w:rPr>
        <w:tab/>
      </w:r>
      <w:r>
        <w:rPr>
          <w:color w:val="000000"/>
        </w:rPr>
        <w:t xml:space="preserve">Funded under </w:t>
      </w:r>
      <w:hyperlink r:id="rId85">
        <w:r w:rsidR="00721C98">
          <w:rPr>
            <w:szCs w:val="20"/>
            <w:u w:val="single"/>
          </w:rPr>
          <w:t>HORIZON-WIDERA-2023-ERA-01-03</w:t>
        </w:r>
      </w:hyperlink>
      <w:r>
        <w:rPr>
          <w:color w:val="000000"/>
        </w:rPr>
        <w:t xml:space="preserve"> and </w:t>
      </w:r>
      <w:hyperlink r:id="rId86">
        <w:r w:rsidR="00721C98">
          <w:rPr>
            <w:szCs w:val="20"/>
            <w:u w:val="single"/>
          </w:rPr>
          <w:t>HORIZON-WIDERA-2024-ERA-01-05</w:t>
        </w:r>
      </w:hyperlink>
      <w:r>
        <w:rPr>
          <w:color w:val="000000"/>
        </w:rPr>
        <w:t>.</w:t>
      </w:r>
    </w:p>
  </w:footnote>
  <w:footnote w:id="78">
    <w:p w14:paraId="02C6D65A" w14:textId="77777777" w:rsidR="00721C98" w:rsidRDefault="00AE7B71">
      <w:pPr>
        <w:pStyle w:val="footnote1"/>
      </w:pPr>
      <w:r>
        <w:rPr>
          <w:vertAlign w:val="superscript"/>
        </w:rPr>
        <w:footnoteRef/>
      </w:r>
      <w:r>
        <w:rPr>
          <w:vertAlign w:val="superscript"/>
        </w:rPr>
        <w:tab/>
      </w:r>
      <w:r>
        <w:rPr>
          <w:color w:val="000000"/>
        </w:rPr>
        <w:t xml:space="preserve">This </w:t>
      </w:r>
      <w:hyperlink r:id="rId87">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8">
        <w:r w:rsidR="00721C98">
          <w:rPr>
            <w:szCs w:val="20"/>
            <w:u w:val="single"/>
          </w:rPr>
          <w:t>https://ec.europa.eu/info/funding-tenders/opportunities/docs/2021-2027/horizon/guidance/ls-decision_he_en.pdf</w:t>
        </w:r>
      </w:hyperlink>
    </w:p>
  </w:footnote>
  <w:footnote w:id="79">
    <w:p w14:paraId="2119E362" w14:textId="77777777" w:rsidR="00721C98" w:rsidRDefault="00AE7B71">
      <w:pPr>
        <w:pStyle w:val="footnote1"/>
      </w:pPr>
      <w:r>
        <w:rPr>
          <w:vertAlign w:val="superscript"/>
        </w:rPr>
        <w:footnoteRef/>
      </w:r>
      <w:r>
        <w:rPr>
          <w:vertAlign w:val="superscript"/>
        </w:rPr>
        <w:tab/>
      </w:r>
      <w:r>
        <w:rPr>
          <w:color w:val="000000"/>
        </w:rPr>
        <w:t xml:space="preserve">Including projects funded under </w:t>
      </w:r>
      <w:hyperlink r:id="rId89">
        <w:r w:rsidR="00721C98">
          <w:rPr>
            <w:szCs w:val="20"/>
            <w:u w:val="single"/>
          </w:rPr>
          <w:t>HORIZON-WIDERA-2022-ERA-01-40</w:t>
        </w:r>
      </w:hyperlink>
      <w:r>
        <w:rPr>
          <w:color w:val="000000"/>
        </w:rPr>
        <w:t xml:space="preserve"> and </w:t>
      </w:r>
      <w:hyperlink r:id="rId90">
        <w:r w:rsidR="00721C98">
          <w:rPr>
            <w:szCs w:val="20"/>
            <w:u w:val="single"/>
          </w:rPr>
          <w:t>HORIZON-WIDERA-2022-ERA-01-60</w:t>
        </w:r>
      </w:hyperlink>
      <w:r>
        <w:rPr>
          <w:color w:val="000000"/>
        </w:rPr>
        <w:t>.</w:t>
      </w:r>
    </w:p>
  </w:footnote>
  <w:footnote w:id="80">
    <w:p w14:paraId="7934F247" w14:textId="77777777" w:rsidR="00721C98" w:rsidRDefault="00AE7B71">
      <w:pPr>
        <w:pStyle w:val="footnote1"/>
      </w:pPr>
      <w:r>
        <w:rPr>
          <w:vertAlign w:val="superscript"/>
        </w:rPr>
        <w:footnoteRef/>
      </w:r>
      <w:r>
        <w:rPr>
          <w:vertAlign w:val="superscript"/>
        </w:rPr>
        <w:tab/>
      </w:r>
      <w:r>
        <w:rPr>
          <w:color w:val="000000"/>
        </w:rPr>
        <w:t xml:space="preserve">More information can be found on the contest websites (see also specific organisational aspects in the respective background notes), </w:t>
      </w:r>
      <w:hyperlink r:id="rId91">
        <w:r w:rsidR="00721C98">
          <w:rPr>
            <w:szCs w:val="20"/>
            <w:u w:val="single"/>
          </w:rPr>
          <w:t>https://research-and-innovation.ec.europa.eu/funding/funding-opportunities/eucys_en</w:t>
        </w:r>
      </w:hyperlink>
      <w:r>
        <w:rPr>
          <w:color w:val="000000"/>
          <w:u w:val="single"/>
        </w:rPr>
        <w:t>;</w:t>
      </w:r>
      <w:hyperlink r:id="rId92">
        <w:r w:rsidR="00721C98">
          <w:rPr>
            <w:szCs w:val="20"/>
            <w:u w:val="single"/>
          </w:rPr>
          <w:t>https://research-and-innovation.ec.europa.eu/funding/funding-opportunities/eu-talenton_en</w:t>
        </w:r>
      </w:hyperlink>
      <w:r>
        <w:rPr>
          <w:color w:val="000000"/>
        </w:rPr>
        <w:t>.</w:t>
      </w:r>
    </w:p>
  </w:footnote>
  <w:footnote w:id="81">
    <w:p w14:paraId="7F3F902A" w14:textId="77777777" w:rsidR="00721C98" w:rsidRDefault="00AE7B71">
      <w:pPr>
        <w:pStyle w:val="footnote1"/>
      </w:pPr>
      <w:r>
        <w:rPr>
          <w:vertAlign w:val="superscript"/>
        </w:rPr>
        <w:footnoteRef/>
      </w:r>
      <w:r>
        <w:rPr>
          <w:vertAlign w:val="superscript"/>
        </w:rPr>
        <w:tab/>
      </w:r>
      <w:hyperlink r:id="rId93">
        <w:r w:rsidR="00721C98">
          <w:rPr>
            <w:szCs w:val="20"/>
            <w:u w:val="single"/>
          </w:rPr>
          <w:t>https://marie-sklodowska-curie-actions.ec.europa.eu/actions/msca-citizens</w:t>
        </w:r>
      </w:hyperlink>
      <w:r>
        <w:rPr>
          <w:color w:val="000000"/>
        </w:rPr>
        <w:t>.</w:t>
      </w:r>
    </w:p>
  </w:footnote>
  <w:footnote w:id="82">
    <w:p w14:paraId="448A9D8F" w14:textId="77777777" w:rsidR="00721C98" w:rsidRDefault="00AE7B71">
      <w:pPr>
        <w:pStyle w:val="footnote1"/>
      </w:pPr>
      <w:r>
        <w:rPr>
          <w:vertAlign w:val="superscript"/>
        </w:rPr>
        <w:footnoteRef/>
      </w:r>
      <w:r>
        <w:rPr>
          <w:vertAlign w:val="superscript"/>
        </w:rPr>
        <w:tab/>
      </w:r>
      <w:r>
        <w:rPr>
          <w:color w:val="000000"/>
        </w:rPr>
        <w:t>See “Science comes to town 2027” in WIDERA work programme 2025 and “Science comes to town 2029” in WIDERA work programme 2026-2027.</w:t>
      </w:r>
    </w:p>
  </w:footnote>
  <w:footnote w:id="83">
    <w:p w14:paraId="14CB4BFF" w14:textId="77777777" w:rsidR="00721C98" w:rsidRDefault="00AE7B71">
      <w:pPr>
        <w:pStyle w:val="footnote1"/>
      </w:pPr>
      <w:r>
        <w:rPr>
          <w:vertAlign w:val="superscript"/>
        </w:rPr>
        <w:footnoteRef/>
      </w:r>
      <w:r>
        <w:rPr>
          <w:vertAlign w:val="superscript"/>
        </w:rPr>
        <w:tab/>
      </w:r>
      <w:r>
        <w:rPr>
          <w:color w:val="000000"/>
        </w:rPr>
        <w:t xml:space="preserve">This </w:t>
      </w:r>
      <w:hyperlink r:id="rId94">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95">
        <w:r w:rsidR="00721C98">
          <w:rPr>
            <w:szCs w:val="20"/>
            <w:u w:val="single"/>
          </w:rPr>
          <w:t>https://ec.europa.eu/info/funding-tenders/opportunities/docs/2021-2027/horizon/guidance/ls-decision_he_en.pdf</w:t>
        </w:r>
      </w:hyperlink>
    </w:p>
  </w:footnote>
  <w:footnote w:id="84">
    <w:p w14:paraId="562F2F55" w14:textId="77777777" w:rsidR="00721C98" w:rsidRDefault="00AE7B71">
      <w:pPr>
        <w:pStyle w:val="footnote1"/>
      </w:pPr>
      <w:r>
        <w:rPr>
          <w:vertAlign w:val="superscript"/>
        </w:rPr>
        <w:footnoteRef/>
      </w:r>
      <w:r>
        <w:rPr>
          <w:vertAlign w:val="superscript"/>
        </w:rPr>
        <w:tab/>
      </w:r>
      <w:r>
        <w:rPr>
          <w:color w:val="000000"/>
        </w:rPr>
        <w:t xml:space="preserve">For example, projects funded under </w:t>
      </w:r>
      <w:hyperlink r:id="rId96">
        <w:r w:rsidR="00721C98">
          <w:rPr>
            <w:szCs w:val="20"/>
            <w:u w:val="single"/>
          </w:rPr>
          <w:t>H2020_SwafS-18-2016</w:t>
        </w:r>
      </w:hyperlink>
      <w:r>
        <w:rPr>
          <w:color w:val="000000"/>
        </w:rPr>
        <w:t xml:space="preserve">, </w:t>
      </w:r>
      <w:hyperlink r:id="rId97">
        <w:r w:rsidR="00721C98">
          <w:rPr>
            <w:szCs w:val="20"/>
            <w:u w:val="single"/>
          </w:rPr>
          <w:t>HORIZON-WIDERA-2024-ERA-01-12</w:t>
        </w:r>
      </w:hyperlink>
      <w:r>
        <w:rPr>
          <w:color w:val="000000"/>
        </w:rPr>
        <w:t>.</w:t>
      </w:r>
    </w:p>
  </w:footnote>
  <w:footnote w:id="85">
    <w:p w14:paraId="6B37A478" w14:textId="77777777" w:rsidR="00721C98" w:rsidRDefault="00AE7B71">
      <w:pPr>
        <w:pStyle w:val="footnote1"/>
      </w:pPr>
      <w:r>
        <w:rPr>
          <w:vertAlign w:val="superscript"/>
        </w:rPr>
        <w:footnoteRef/>
      </w:r>
      <w:r>
        <w:rPr>
          <w:vertAlign w:val="superscript"/>
        </w:rPr>
        <w:tab/>
      </w:r>
      <w:r>
        <w:rPr>
          <w:color w:val="000000"/>
        </w:rPr>
        <w:t xml:space="preserve">The Embassy of Good Science is the one-stop-shop platform supported by the European Commission for sharing knowledge and training tools on ethics and research integrity, </w:t>
      </w:r>
      <w:hyperlink r:id="rId98">
        <w:r w:rsidR="00721C98">
          <w:rPr>
            <w:szCs w:val="20"/>
            <w:u w:val="single"/>
          </w:rPr>
          <w:t>https://embassy.science/wiki/Main_Page</w:t>
        </w:r>
      </w:hyperlink>
      <w:r>
        <w:rPr>
          <w:color w:val="000000"/>
        </w:rPr>
        <w:t>.</w:t>
      </w:r>
    </w:p>
  </w:footnote>
  <w:footnote w:id="86">
    <w:p w14:paraId="50AD9291" w14:textId="77777777" w:rsidR="00721C98" w:rsidRDefault="00AE7B71">
      <w:pPr>
        <w:pStyle w:val="footnote1"/>
      </w:pPr>
      <w:r>
        <w:rPr>
          <w:vertAlign w:val="superscript"/>
        </w:rPr>
        <w:footnoteRef/>
      </w:r>
      <w:r>
        <w:rPr>
          <w:vertAlign w:val="superscript"/>
        </w:rPr>
        <w:tab/>
      </w:r>
      <w:r>
        <w:rPr>
          <w:color w:val="000000"/>
        </w:rPr>
        <w:t>E.g., European Network of Research Ethics Committees (</w:t>
      </w:r>
      <w:hyperlink r:id="rId99">
        <w:r w:rsidR="00721C98">
          <w:rPr>
            <w:szCs w:val="20"/>
            <w:u w:val="single"/>
          </w:rPr>
          <w:t>EUREC</w:t>
        </w:r>
      </w:hyperlink>
      <w:r>
        <w:rPr>
          <w:color w:val="000000"/>
        </w:rPr>
        <w:t>), European Federation of Academies of Sciences and Humanities (</w:t>
      </w:r>
      <w:hyperlink r:id="rId100">
        <w:r w:rsidR="00721C98">
          <w:rPr>
            <w:szCs w:val="20"/>
            <w:u w:val="single"/>
          </w:rPr>
          <w:t>ALLEA</w:t>
        </w:r>
      </w:hyperlink>
      <w:r>
        <w:rPr>
          <w:color w:val="000000"/>
        </w:rPr>
        <w:t>).</w:t>
      </w:r>
    </w:p>
  </w:footnote>
  <w:footnote w:id="87">
    <w:p w14:paraId="2DDCB1FF" w14:textId="77777777" w:rsidR="00721C98" w:rsidRDefault="00AE7B71">
      <w:pPr>
        <w:pStyle w:val="footnote1"/>
      </w:pPr>
      <w:r>
        <w:rPr>
          <w:vertAlign w:val="superscript"/>
        </w:rPr>
        <w:footnoteRef/>
      </w:r>
      <w:r>
        <w:rPr>
          <w:vertAlign w:val="superscript"/>
        </w:rPr>
        <w:tab/>
      </w:r>
      <w:r>
        <w:rPr>
          <w:color w:val="000000"/>
        </w:rPr>
        <w:t xml:space="preserve">See, e.g., </w:t>
      </w:r>
      <w:hyperlink r:id="rId101">
        <w:r w:rsidR="00721C98">
          <w:rPr>
            <w:szCs w:val="20"/>
            <w:u w:val="single"/>
          </w:rPr>
          <w:t>The 2024 EU Industrial R&amp;D Investment Scoreboard</w:t>
        </w:r>
      </w:hyperlink>
      <w:r>
        <w:rPr>
          <w:color w:val="000000"/>
        </w:rPr>
        <w:t>.</w:t>
      </w:r>
    </w:p>
  </w:footnote>
  <w:footnote w:id="88">
    <w:p w14:paraId="06A55E01" w14:textId="77777777" w:rsidR="00721C98" w:rsidRDefault="00AE7B71">
      <w:pPr>
        <w:pStyle w:val="footnote1"/>
      </w:pPr>
      <w:r>
        <w:rPr>
          <w:vertAlign w:val="superscript"/>
        </w:rPr>
        <w:footnoteRef/>
      </w:r>
      <w:r>
        <w:rPr>
          <w:vertAlign w:val="superscript"/>
        </w:rPr>
        <w:tab/>
      </w:r>
      <w:r>
        <w:rPr>
          <w:color w:val="000000"/>
        </w:rPr>
        <w:t xml:space="preserve">Including projects funded under </w:t>
      </w:r>
      <w:hyperlink r:id="rId102">
        <w:r w:rsidR="00721C98">
          <w:rPr>
            <w:szCs w:val="20"/>
            <w:u w:val="single"/>
          </w:rPr>
          <w:t>SwafS-26-2020</w:t>
        </w:r>
      </w:hyperlink>
      <w:r>
        <w:rPr>
          <w:color w:val="000000"/>
        </w:rPr>
        <w:t xml:space="preserve">, </w:t>
      </w:r>
      <w:hyperlink r:id="rId103">
        <w:r w:rsidR="00721C98">
          <w:rPr>
            <w:szCs w:val="20"/>
            <w:u w:val="single"/>
          </w:rPr>
          <w:t>HORIZON-WIDERA-2021-ERA-01-80</w:t>
        </w:r>
      </w:hyperlink>
      <w:r>
        <w:rPr>
          <w:color w:val="000000"/>
        </w:rPr>
        <w:t xml:space="preserve">, and </w:t>
      </w:r>
      <w:hyperlink r:id="rId104">
        <w:r w:rsidR="00721C98">
          <w:rPr>
            <w:szCs w:val="20"/>
            <w:u w:val="single"/>
          </w:rPr>
          <w:t>HORIZON-WIDERA-2022-ERA-01-80</w:t>
        </w:r>
      </w:hyperlink>
      <w:r>
        <w:rPr>
          <w:color w:val="000000"/>
        </w:rPr>
        <w:t>.</w:t>
      </w:r>
    </w:p>
  </w:footnote>
  <w:footnote w:id="89">
    <w:p w14:paraId="11140217" w14:textId="77777777" w:rsidR="00721C98" w:rsidRDefault="00AE7B71">
      <w:pPr>
        <w:pStyle w:val="footnote1"/>
      </w:pPr>
      <w:r>
        <w:rPr>
          <w:vertAlign w:val="superscript"/>
        </w:rPr>
        <w:footnoteRef/>
      </w:r>
      <w:r>
        <w:rPr>
          <w:vertAlign w:val="superscript"/>
        </w:rPr>
        <w:tab/>
      </w:r>
      <w:r>
        <w:rPr>
          <w:color w:val="000000"/>
        </w:rPr>
        <w:t xml:space="preserve">Refer to Frascati Manual: </w:t>
      </w:r>
      <w:hyperlink r:id="rId105">
        <w:r w:rsidR="00721C98">
          <w:rPr>
            <w:szCs w:val="20"/>
            <w:u w:val="single"/>
          </w:rPr>
          <w:t>https://www.oecd.org/content/dam/oecd/en/publications/reports/2015/10/frascati-manual-2015_g1g57dcb/9789264239012-en.pdf</w:t>
        </w:r>
      </w:hyperlink>
      <w:r>
        <w:rPr>
          <w:color w:val="000000"/>
        </w:rPr>
        <w:t>.</w:t>
      </w:r>
    </w:p>
  </w:footnote>
  <w:footnote w:id="90">
    <w:p w14:paraId="47A0E8E6" w14:textId="77777777" w:rsidR="00721C98" w:rsidRDefault="00AE7B71">
      <w:pPr>
        <w:pStyle w:val="footnote1"/>
      </w:pPr>
      <w:r>
        <w:rPr>
          <w:vertAlign w:val="superscript"/>
        </w:rPr>
        <w:footnoteRef/>
      </w:r>
      <w:r>
        <w:rPr>
          <w:vertAlign w:val="superscript"/>
        </w:rPr>
        <w:tab/>
      </w:r>
      <w:r>
        <w:rPr>
          <w:color w:val="000000"/>
        </w:rPr>
        <w:t xml:space="preserve">Including projects funded under </w:t>
      </w:r>
      <w:hyperlink r:id="rId106">
        <w:r w:rsidR="00721C98">
          <w:rPr>
            <w:szCs w:val="20"/>
            <w:u w:val="single"/>
          </w:rPr>
          <w:t>SwafS-02-2016</w:t>
        </w:r>
      </w:hyperlink>
      <w:r>
        <w:rPr>
          <w:color w:val="000000"/>
        </w:rPr>
        <w:t xml:space="preserve">, </w:t>
      </w:r>
      <w:hyperlink r:id="rId107">
        <w:r w:rsidR="00721C98">
          <w:rPr>
            <w:szCs w:val="20"/>
            <w:u w:val="single"/>
          </w:rPr>
          <w:t>SwafS-08-2017</w:t>
        </w:r>
      </w:hyperlink>
      <w:r>
        <w:rPr>
          <w:color w:val="000000"/>
        </w:rPr>
        <w:t xml:space="preserve">, </w:t>
      </w:r>
      <w:hyperlink r:id="rId108">
        <w:r w:rsidR="00721C98">
          <w:rPr>
            <w:szCs w:val="20"/>
            <w:u w:val="single"/>
          </w:rPr>
          <w:t>HORIZON-WIDERA-2021-ERA-01-80</w:t>
        </w:r>
      </w:hyperlink>
      <w:r>
        <w:rPr>
          <w:color w:val="000000"/>
        </w:rPr>
        <w:t xml:space="preserve">, </w:t>
      </w:r>
      <w:hyperlink r:id="rId109">
        <w:r w:rsidR="00721C98">
          <w:rPr>
            <w:szCs w:val="20"/>
            <w:u w:val="single"/>
          </w:rPr>
          <w:t>HORIZON-WIDERA-2021-ERA-01-81</w:t>
        </w:r>
      </w:hyperlink>
      <w:r>
        <w:rPr>
          <w:color w:val="000000"/>
        </w:rPr>
        <w:t xml:space="preserve">; projects </w:t>
      </w:r>
      <w:hyperlink r:id="rId110">
        <w:r w:rsidR="00721C98">
          <w:rPr>
            <w:szCs w:val="20"/>
            <w:u w:val="single"/>
          </w:rPr>
          <w:t>BUDGET IT</w:t>
        </w:r>
      </w:hyperlink>
      <w:r>
        <w:rPr>
          <w:color w:val="000000"/>
        </w:rPr>
        <w:t xml:space="preserve"> (funded under </w:t>
      </w:r>
      <w:hyperlink r:id="rId111">
        <w:r w:rsidR="00721C98">
          <w:rPr>
            <w:szCs w:val="20"/>
            <w:u w:val="single"/>
          </w:rPr>
          <w:t>HORIZON-WIDERA-2022-ERA-01-81</w:t>
        </w:r>
      </w:hyperlink>
      <w:r>
        <w:rPr>
          <w:color w:val="000000"/>
        </w:rPr>
        <w:t xml:space="preserve">) and </w:t>
      </w:r>
      <w:hyperlink r:id="rId112">
        <w:r w:rsidR="00721C98">
          <w:rPr>
            <w:szCs w:val="20"/>
            <w:u w:val="single"/>
          </w:rPr>
          <w:t>LeTSGEPs</w:t>
        </w:r>
      </w:hyperlink>
      <w:r>
        <w:rPr>
          <w:color w:val="000000"/>
        </w:rPr>
        <w:t xml:space="preserve"> (funded under </w:t>
      </w:r>
      <w:hyperlink r:id="rId113">
        <w:r w:rsidR="00721C98">
          <w:rPr>
            <w:szCs w:val="20"/>
            <w:u w:val="single"/>
          </w:rPr>
          <w:t>SwafS-09-2018-2019-2020</w:t>
        </w:r>
      </w:hyperlink>
      <w:r>
        <w:rPr>
          <w:color w:val="000000"/>
        </w:rPr>
        <w:t xml:space="preserve">); </w:t>
      </w:r>
      <w:hyperlink r:id="rId114">
        <w:r w:rsidR="00721C98">
          <w:rPr>
            <w:szCs w:val="20"/>
            <w:u w:val="single"/>
          </w:rPr>
          <w:t>GEAM tool</w:t>
        </w:r>
      </w:hyperlink>
      <w:r>
        <w:rPr>
          <w:color w:val="000000"/>
        </w:rPr>
        <w:t>.</w:t>
      </w:r>
    </w:p>
  </w:footnote>
  <w:footnote w:id="91">
    <w:p w14:paraId="03139068" w14:textId="77777777" w:rsidR="00721C98" w:rsidRDefault="00AE7B71">
      <w:pPr>
        <w:pStyle w:val="footnote1"/>
      </w:pPr>
      <w:r>
        <w:rPr>
          <w:vertAlign w:val="superscript"/>
        </w:rPr>
        <w:footnoteRef/>
      </w:r>
      <w:r>
        <w:rPr>
          <w:vertAlign w:val="superscript"/>
        </w:rPr>
        <w:tab/>
      </w:r>
      <w:r>
        <w:rPr>
          <w:color w:val="000000"/>
        </w:rPr>
        <w:t xml:space="preserve">See the Commission expert group, </w:t>
      </w:r>
      <w:hyperlink r:id="rId115">
        <w:r w:rsidR="00721C98">
          <w:rPr>
            <w:szCs w:val="20"/>
            <w:u w:val="single"/>
          </w:rPr>
          <w:t>https://ec.europa.eu/transparency/expert-groups-register/screen/expert-groups/consult?lang=en&amp;groupID=103813</w:t>
        </w:r>
      </w:hyperlink>
      <w:r>
        <w:rPr>
          <w:color w:val="000000"/>
        </w:rPr>
        <w:t>.</w:t>
      </w:r>
    </w:p>
  </w:footnote>
  <w:footnote w:id="92">
    <w:p w14:paraId="209798E2" w14:textId="77777777" w:rsidR="00721C98" w:rsidRDefault="00AE7B71">
      <w:pPr>
        <w:pStyle w:val="footnote1"/>
      </w:pPr>
      <w:r>
        <w:rPr>
          <w:vertAlign w:val="superscript"/>
        </w:rPr>
        <w:footnoteRef/>
      </w:r>
      <w:r>
        <w:rPr>
          <w:vertAlign w:val="superscript"/>
        </w:rPr>
        <w:tab/>
      </w:r>
      <w:r>
        <w:rPr>
          <w:color w:val="000000"/>
        </w:rPr>
        <w:t xml:space="preserve">EUROSTAT Data, Researchers by sectors of performance – full time equivalent. Latest data available from 2023, </w:t>
      </w:r>
      <w:hyperlink r:id="rId116">
        <w:r w:rsidR="00721C98">
          <w:rPr>
            <w:szCs w:val="20"/>
            <w:u w:val="single"/>
          </w:rPr>
          <w:t>https://ec.europa.eu/eurostat/databrowser/view/rd_p_persocc/default/table?lang=en</w:t>
        </w:r>
      </w:hyperlink>
      <w:r>
        <w:rPr>
          <w:color w:val="000000"/>
        </w:rPr>
        <w:t>.</w:t>
      </w:r>
    </w:p>
  </w:footnote>
  <w:footnote w:id="93">
    <w:p w14:paraId="72D0EB4B" w14:textId="77777777" w:rsidR="00721C98" w:rsidRDefault="00AE7B71">
      <w:pPr>
        <w:pStyle w:val="footnote1"/>
      </w:pPr>
      <w:r>
        <w:rPr>
          <w:vertAlign w:val="superscript"/>
        </w:rPr>
        <w:footnoteRef/>
      </w:r>
      <w:r>
        <w:rPr>
          <w:vertAlign w:val="superscript"/>
        </w:rPr>
        <w:tab/>
      </w:r>
      <w:hyperlink r:id="rId117">
        <w:r w:rsidR="00721C98">
          <w:rPr>
            <w:szCs w:val="20"/>
            <w:u w:val="single"/>
          </w:rPr>
          <w:t>https://ec.europa.eu/era-talent-platform/reico/</w:t>
        </w:r>
      </w:hyperlink>
      <w:r>
        <w:rPr>
          <w:color w:val="000000"/>
        </w:rPr>
        <w:t>.</w:t>
      </w:r>
    </w:p>
  </w:footnote>
  <w:footnote w:id="94">
    <w:p w14:paraId="53DFA13E" w14:textId="77777777" w:rsidR="00721C98" w:rsidRDefault="00AE7B71">
      <w:pPr>
        <w:pStyle w:val="footnote1"/>
      </w:pPr>
      <w:r>
        <w:rPr>
          <w:vertAlign w:val="superscript"/>
        </w:rPr>
        <w:footnoteRef/>
      </w:r>
      <w:r>
        <w:rPr>
          <w:vertAlign w:val="superscript"/>
        </w:rPr>
        <w:tab/>
      </w:r>
      <w:r>
        <w:rPr>
          <w:color w:val="000000"/>
        </w:rPr>
        <w:t>Stable international research collaboration networks are to be intended as medium to long-term networks, involving, for example, researchers and research performing organisations. Short-term initiatives, such as a standalone project of limited duration, should not be considered as a stable research network.</w:t>
      </w:r>
    </w:p>
  </w:footnote>
  <w:footnote w:id="95">
    <w:p w14:paraId="4539B13F" w14:textId="77777777" w:rsidR="00721C98" w:rsidRDefault="00AE7B71">
      <w:pPr>
        <w:pStyle w:val="footnote1"/>
      </w:pPr>
      <w:r>
        <w:rPr>
          <w:vertAlign w:val="superscript"/>
        </w:rPr>
        <w:footnoteRef/>
      </w:r>
      <w:r>
        <w:rPr>
          <w:vertAlign w:val="superscript"/>
        </w:rPr>
        <w:tab/>
      </w:r>
      <w:r>
        <w:rPr>
          <w:color w:val="000000"/>
        </w:rPr>
        <w:t xml:space="preserve">This </w:t>
      </w:r>
      <w:hyperlink r:id="rId118">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9">
        <w:r w:rsidR="00721C98">
          <w:rPr>
            <w:szCs w:val="20"/>
            <w:u w:val="single"/>
          </w:rPr>
          <w:t>https://ec.europa.eu/info/funding-tenders/opportunities/docs/2021-2027/horizon/guidance/ls-decision_he_en.pdf</w:t>
        </w:r>
      </w:hyperlink>
    </w:p>
  </w:footnote>
  <w:footnote w:id="96">
    <w:p w14:paraId="5151A30A" w14:textId="77777777" w:rsidR="00721C98" w:rsidRDefault="00AE7B71">
      <w:pPr>
        <w:pStyle w:val="footnote1"/>
      </w:pPr>
      <w:r>
        <w:rPr>
          <w:vertAlign w:val="superscript"/>
        </w:rPr>
        <w:footnoteRef/>
      </w:r>
      <w:r>
        <w:rPr>
          <w:vertAlign w:val="superscript"/>
        </w:rPr>
        <w:tab/>
      </w:r>
      <w:r>
        <w:rPr>
          <w:color w:val="000000"/>
        </w:rPr>
        <w:t>Rights retention means that authors or their institutions retain copyright and sufficient rights over scholarly works under publication to make them immediately available and reusable under an open license, that is a CC BY or equivalent license, independent of publisher policies. Such rights retention may apply to either the final publishable form (Version of Record) and/or the version accepted for publication, including all changes made during the peer review process (Author Accepted Manuscript).</w:t>
      </w:r>
    </w:p>
  </w:footnote>
  <w:footnote w:id="97">
    <w:p w14:paraId="43E898B7" w14:textId="77777777" w:rsidR="00721C98" w:rsidRDefault="00AE7B71">
      <w:pPr>
        <w:pStyle w:val="footnote1"/>
      </w:pPr>
      <w:r>
        <w:rPr>
          <w:vertAlign w:val="superscript"/>
        </w:rPr>
        <w:footnoteRef/>
      </w:r>
      <w:r>
        <w:rPr>
          <w:vertAlign w:val="superscript"/>
        </w:rPr>
        <w:tab/>
      </w:r>
      <w:r>
        <w:rPr>
          <w:color w:val="000000"/>
        </w:rPr>
        <w:t xml:space="preserve">This </w:t>
      </w:r>
      <w:hyperlink r:id="rId120">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1">
        <w:r w:rsidR="00721C98">
          <w:rPr>
            <w:szCs w:val="20"/>
            <w:u w:val="single"/>
          </w:rPr>
          <w:t>https://ec.europa.eu/info/funding-tenders/opportunities/docs/2021-2027/horizon/guidance/ls-decision_he_en.pdf</w:t>
        </w:r>
      </w:hyperlink>
    </w:p>
  </w:footnote>
  <w:footnote w:id="98">
    <w:p w14:paraId="4D377567" w14:textId="77777777" w:rsidR="00721C98" w:rsidRDefault="00AE7B71">
      <w:pPr>
        <w:pStyle w:val="footnote1"/>
      </w:pPr>
      <w:r>
        <w:rPr>
          <w:vertAlign w:val="superscript"/>
        </w:rPr>
        <w:footnoteRef/>
      </w:r>
      <w:r>
        <w:rPr>
          <w:vertAlign w:val="superscript"/>
        </w:rPr>
        <w:tab/>
      </w:r>
      <w:r>
        <w:rPr>
          <w:color w:val="000000"/>
        </w:rPr>
        <w:t xml:space="preserve">Council Recommendation of 18 December 2023 on a European framework to attract and retain research, innovation and entrepreneurial talents in Europe; includes Charter for Researchers, </w:t>
      </w:r>
      <w:hyperlink r:id="rId122">
        <w:r w:rsidR="00721C98">
          <w:rPr>
            <w:szCs w:val="20"/>
            <w:u w:val="single"/>
          </w:rPr>
          <w:t>https://eur-lex.europa.eu/eli/C/2023/1640/oj</w:t>
        </w:r>
      </w:hyperlink>
      <w:r>
        <w:rPr>
          <w:color w:val="000000"/>
        </w:rPr>
        <w:t>.</w:t>
      </w:r>
    </w:p>
  </w:footnote>
  <w:footnote w:id="99">
    <w:p w14:paraId="639FD0D9" w14:textId="77777777" w:rsidR="00721C98" w:rsidRDefault="00AE7B71">
      <w:pPr>
        <w:pStyle w:val="footnote1"/>
      </w:pPr>
      <w:r>
        <w:rPr>
          <w:vertAlign w:val="superscript"/>
        </w:rPr>
        <w:footnoteRef/>
      </w:r>
      <w:r>
        <w:rPr>
          <w:vertAlign w:val="superscript"/>
        </w:rPr>
        <w:tab/>
      </w:r>
      <w:r>
        <w:rPr>
          <w:color w:val="000000"/>
        </w:rPr>
        <w:t>A talent ecosystem could for instance consist of a long-lasting cooperation between a cluster of companies in a certain sector and one or more academic institutions, enabling specific skills training of early-career researchers in cooperation with the companies, and facilitating talent circulation.</w:t>
      </w:r>
    </w:p>
  </w:footnote>
  <w:footnote w:id="100">
    <w:p w14:paraId="051C0C46" w14:textId="77777777" w:rsidR="00721C98" w:rsidRDefault="00AE7B71">
      <w:pPr>
        <w:pStyle w:val="footnote1"/>
      </w:pPr>
      <w:r>
        <w:rPr>
          <w:vertAlign w:val="superscript"/>
        </w:rPr>
        <w:footnoteRef/>
      </w:r>
      <w:r>
        <w:rPr>
          <w:vertAlign w:val="superscript"/>
        </w:rPr>
        <w:tab/>
      </w:r>
      <w:r>
        <w:rPr>
          <w:color w:val="000000"/>
        </w:rPr>
        <w:t xml:space="preserve">See projects funded under </w:t>
      </w:r>
      <w:hyperlink r:id="rId123">
        <w:r w:rsidR="00721C98">
          <w:rPr>
            <w:szCs w:val="20"/>
            <w:u w:val="single"/>
          </w:rPr>
          <w:t>HORIZON-WIDERA-2024-ERA-02-03</w:t>
        </w:r>
      </w:hyperlink>
      <w:r>
        <w:rPr>
          <w:color w:val="000000"/>
        </w:rPr>
        <w:t>.</w:t>
      </w:r>
    </w:p>
  </w:footnote>
  <w:footnote w:id="101">
    <w:p w14:paraId="200F7B13" w14:textId="77777777" w:rsidR="00721C98" w:rsidRDefault="00AE7B71">
      <w:pPr>
        <w:pStyle w:val="footnote1"/>
      </w:pPr>
      <w:r>
        <w:rPr>
          <w:vertAlign w:val="superscript"/>
        </w:rPr>
        <w:footnoteRef/>
      </w:r>
      <w:r>
        <w:rPr>
          <w:vertAlign w:val="superscript"/>
        </w:rPr>
        <w:tab/>
      </w:r>
      <w:hyperlink r:id="rId124">
        <w:r w:rsidR="00721C98">
          <w:rPr>
            <w:szCs w:val="20"/>
            <w:u w:val="single"/>
          </w:rPr>
          <w:t>https://euraxess.ec.europa.eu/hrexcellenceaward</w:t>
        </w:r>
      </w:hyperlink>
      <w:r>
        <w:rPr>
          <w:color w:val="000000"/>
        </w:rPr>
        <w:t>.</w:t>
      </w:r>
    </w:p>
  </w:footnote>
  <w:footnote w:id="102">
    <w:p w14:paraId="0CF150BC" w14:textId="77777777" w:rsidR="00721C98" w:rsidRDefault="00AE7B71">
      <w:pPr>
        <w:pStyle w:val="footnote1"/>
      </w:pPr>
      <w:r>
        <w:rPr>
          <w:vertAlign w:val="superscript"/>
        </w:rPr>
        <w:footnoteRef/>
      </w:r>
      <w:r>
        <w:rPr>
          <w:vertAlign w:val="superscript"/>
        </w:rPr>
        <w:tab/>
      </w:r>
      <w:r>
        <w:rPr>
          <w:color w:val="000000"/>
        </w:rPr>
        <w:t>The European Charter for Researchers, while being applicable to all organisations employing researchers, is particularly relevant for those organisations which, because of their size, structure, and number of researchers employed, need to have dedicated expertise, capacity, and resources to manage and implement institutional human resources strategies and policies. This is typically linked to those organisations having a human resources department.</w:t>
      </w:r>
    </w:p>
  </w:footnote>
  <w:footnote w:id="103">
    <w:p w14:paraId="20B3050E" w14:textId="77777777" w:rsidR="00721C98" w:rsidRDefault="00AE7B71">
      <w:pPr>
        <w:pStyle w:val="footnote1"/>
      </w:pPr>
      <w:r>
        <w:rPr>
          <w:vertAlign w:val="superscript"/>
        </w:rPr>
        <w:footnoteRef/>
      </w:r>
      <w:r>
        <w:rPr>
          <w:vertAlign w:val="superscript"/>
        </w:rPr>
        <w:tab/>
      </w:r>
      <w:r>
        <w:rPr>
          <w:color w:val="000000"/>
        </w:rPr>
        <w:t xml:space="preserve">More information can be found on the contest websites (see also specific organisational aspects in the respective background notes), </w:t>
      </w:r>
      <w:hyperlink r:id="rId125">
        <w:r w:rsidR="00721C98">
          <w:rPr>
            <w:szCs w:val="20"/>
            <w:u w:val="single"/>
          </w:rPr>
          <w:t>https://research-and-innovation.ec.europa.eu/funding/funding-opportunities/eucys_en</w:t>
        </w:r>
      </w:hyperlink>
      <w:r>
        <w:rPr>
          <w:color w:val="000000"/>
          <w:u w:val="single"/>
        </w:rPr>
        <w:t>;</w:t>
      </w:r>
      <w:hyperlink r:id="rId126">
        <w:r w:rsidR="00721C98">
          <w:rPr>
            <w:szCs w:val="20"/>
            <w:u w:val="single"/>
          </w:rPr>
          <w:t>https://research-and-innovation.ec.europa.eu/funding/funding-opportunities/eu-talenton_en</w:t>
        </w:r>
      </w:hyperlink>
      <w:r>
        <w:rPr>
          <w:color w:val="000000"/>
        </w:rPr>
        <w:t>.</w:t>
      </w:r>
    </w:p>
  </w:footnote>
  <w:footnote w:id="104">
    <w:p w14:paraId="0ED5ABE0" w14:textId="77777777" w:rsidR="00721C98" w:rsidRDefault="00AE7B71">
      <w:pPr>
        <w:pStyle w:val="footnote1"/>
      </w:pPr>
      <w:r>
        <w:rPr>
          <w:vertAlign w:val="superscript"/>
        </w:rPr>
        <w:footnoteRef/>
      </w:r>
      <w:r>
        <w:rPr>
          <w:vertAlign w:val="superscript"/>
        </w:rPr>
        <w:tab/>
      </w:r>
      <w:hyperlink r:id="rId127">
        <w:r w:rsidR="00721C98">
          <w:rPr>
            <w:szCs w:val="20"/>
            <w:u w:val="single"/>
          </w:rPr>
          <w:t>https://marie-sklodowska-curie-actions.ec.europa.eu/actions/msca-citizens</w:t>
        </w:r>
      </w:hyperlink>
      <w:r>
        <w:rPr>
          <w:color w:val="000000"/>
        </w:rPr>
        <w:t>.</w:t>
      </w:r>
    </w:p>
  </w:footnote>
  <w:footnote w:id="105">
    <w:p w14:paraId="362F7649" w14:textId="77777777" w:rsidR="00721C98" w:rsidRDefault="00AE7B71">
      <w:pPr>
        <w:pStyle w:val="footnote1"/>
      </w:pPr>
      <w:r>
        <w:rPr>
          <w:vertAlign w:val="superscript"/>
        </w:rPr>
        <w:footnoteRef/>
      </w:r>
      <w:r>
        <w:rPr>
          <w:vertAlign w:val="superscript"/>
        </w:rPr>
        <w:tab/>
      </w:r>
      <w:r>
        <w:rPr>
          <w:color w:val="000000"/>
        </w:rPr>
        <w:t>See “Science comes to town 2028” in WIDERA work programme 2026-2027.</w:t>
      </w:r>
    </w:p>
  </w:footnote>
  <w:footnote w:id="106">
    <w:p w14:paraId="55D9940D" w14:textId="77777777" w:rsidR="00721C98" w:rsidRDefault="00AE7B71">
      <w:pPr>
        <w:pStyle w:val="footnote1"/>
      </w:pPr>
      <w:r>
        <w:rPr>
          <w:vertAlign w:val="superscript"/>
        </w:rPr>
        <w:footnoteRef/>
      </w:r>
      <w:r>
        <w:rPr>
          <w:vertAlign w:val="superscript"/>
        </w:rPr>
        <w:tab/>
      </w:r>
      <w:r>
        <w:rPr>
          <w:color w:val="000000"/>
        </w:rPr>
        <w:t xml:space="preserve">This </w:t>
      </w:r>
      <w:hyperlink r:id="rId128">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9">
        <w:r w:rsidR="00721C98">
          <w:rPr>
            <w:szCs w:val="20"/>
            <w:u w:val="single"/>
          </w:rPr>
          <w:t>https://ec.europa.eu/info/funding-tenders/opportunities/docs/2021-2027/horizon/guidance/ls-decision_he_en.pdf</w:t>
        </w:r>
      </w:hyperlink>
    </w:p>
  </w:footnote>
  <w:footnote w:id="107">
    <w:p w14:paraId="1711A625" w14:textId="77777777" w:rsidR="00721C98" w:rsidRDefault="00AE7B71">
      <w:pPr>
        <w:pStyle w:val="footnote1"/>
      </w:pPr>
      <w:r>
        <w:rPr>
          <w:vertAlign w:val="superscript"/>
        </w:rPr>
        <w:footnoteRef/>
      </w:r>
      <w:r>
        <w:rPr>
          <w:vertAlign w:val="superscript"/>
        </w:rPr>
        <w:tab/>
      </w:r>
      <w:r>
        <w:rPr>
          <w:color w:val="000000"/>
        </w:rPr>
        <w:t xml:space="preserve">Notably projects funded under the H2020 Swafs programme and building on the findings of the </w:t>
      </w:r>
      <w:hyperlink r:id="rId130">
        <w:r w:rsidR="00721C98">
          <w:rPr>
            <w:szCs w:val="20"/>
            <w:u w:val="single"/>
          </w:rPr>
          <w:t>Mutual Learning Exercise on Public Engagement in R&amp;I</w:t>
        </w:r>
      </w:hyperlink>
      <w:r>
        <w:rPr>
          <w:color w:val="000000"/>
        </w:rPr>
        <w:t xml:space="preserve"> and the </w:t>
      </w:r>
      <w:hyperlink r:id="rId131">
        <w:r w:rsidR="00721C98">
          <w:rPr>
            <w:szCs w:val="20"/>
            <w:u w:val="single"/>
          </w:rPr>
          <w:t>Mutual Learning Exercise on Citizen Science</w:t>
        </w:r>
      </w:hyperlink>
      <w:r>
        <w:rPr>
          <w:color w:val="000000"/>
        </w:rPr>
        <w:t>.</w:t>
      </w:r>
    </w:p>
  </w:footnote>
  <w:footnote w:id="108">
    <w:p w14:paraId="1B1F90BE" w14:textId="77777777" w:rsidR="00721C98" w:rsidRDefault="00AE7B71">
      <w:pPr>
        <w:pStyle w:val="footnote1"/>
      </w:pPr>
      <w:r>
        <w:rPr>
          <w:vertAlign w:val="superscript"/>
        </w:rPr>
        <w:footnoteRef/>
      </w:r>
      <w:r>
        <w:rPr>
          <w:vertAlign w:val="superscript"/>
        </w:rPr>
        <w:tab/>
      </w:r>
      <w:r>
        <w:rPr>
          <w:color w:val="000000"/>
        </w:rPr>
        <w:t xml:space="preserve">This </w:t>
      </w:r>
      <w:hyperlink r:id="rId132">
        <w:r w:rsidR="00721C98">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33">
        <w:r w:rsidR="00721C98">
          <w:rPr>
            <w:szCs w:val="20"/>
            <w:u w:val="single"/>
          </w:rPr>
          <w:t>https://ec.europa.eu/info/funding-tenders/opportunities/docs/2021-2027/horizon/guidance/ls-decision_he_en.pdf</w:t>
        </w:r>
      </w:hyperlink>
    </w:p>
  </w:footnote>
  <w:footnote w:id="109">
    <w:p w14:paraId="25007E73" w14:textId="77777777" w:rsidR="00721C98" w:rsidRDefault="00AE7B71">
      <w:pPr>
        <w:pStyle w:val="footnote1"/>
      </w:pPr>
      <w:r>
        <w:rPr>
          <w:vertAlign w:val="superscript"/>
        </w:rPr>
        <w:footnoteRef/>
      </w:r>
      <w:r>
        <w:rPr>
          <w:vertAlign w:val="superscript"/>
        </w:rPr>
        <w:tab/>
      </w:r>
      <w:r>
        <w:rPr>
          <w:color w:val="000000"/>
        </w:rPr>
        <w:t xml:space="preserve">In line with EU priorities, see EU-China – A Strategic Outlook Communication, </w:t>
      </w:r>
      <w:hyperlink r:id="rId134">
        <w:r w:rsidR="00721C98">
          <w:rPr>
            <w:szCs w:val="20"/>
            <w:u w:val="single"/>
          </w:rPr>
          <w:t>https://commission.europa.eu/system/files/2019-03/communication-eu-china-a-strategic-outlook.pdf</w:t>
        </w:r>
      </w:hyperlink>
      <w:r>
        <w:rPr>
          <w:color w:val="000000"/>
        </w:rPr>
        <w:t xml:space="preserve">; the European Economic Security Strategy, </w:t>
      </w:r>
      <w:hyperlink r:id="rId135">
        <w:r w:rsidR="00721C98">
          <w:rPr>
            <w:szCs w:val="20"/>
            <w:u w:val="single"/>
          </w:rPr>
          <w:t>https://research-and-innovation.ec.europa.eu/strategy/strategy-research-and-innovation/europe-world/international-cooperation/strategic-autonomy-and-european-economic-and-research-security_en</w:t>
        </w:r>
      </w:hyperlink>
      <w:r>
        <w:rPr>
          <w:color w:val="000000"/>
        </w:rPr>
        <w:t xml:space="preserve">; Competitiveness Compass </w:t>
      </w:r>
      <w:hyperlink r:id="rId136">
        <w:r w:rsidR="00721C98">
          <w:rPr>
            <w:szCs w:val="20"/>
            <w:u w:val="single"/>
          </w:rPr>
          <w:t>https://eur-lex.europa.eu/legal-content/EN/TXT/?uri=celex:52025DC0030</w:t>
        </w:r>
      </w:hyperlink>
      <w:r>
        <w:rPr>
          <w:color w:val="000000"/>
          <w:u w:val="single"/>
        </w:rPr>
        <w:t>.</w:t>
      </w:r>
    </w:p>
  </w:footnote>
  <w:footnote w:id="110">
    <w:p w14:paraId="1EFFC8D0" w14:textId="77777777" w:rsidR="00721C98" w:rsidRDefault="00AE7B71">
      <w:pPr>
        <w:pStyle w:val="footnote1"/>
      </w:pPr>
      <w:r>
        <w:rPr>
          <w:vertAlign w:val="superscript"/>
        </w:rPr>
        <w:footnoteRef/>
      </w:r>
      <w:r>
        <w:rPr>
          <w:vertAlign w:val="superscript"/>
        </w:rPr>
        <w:tab/>
      </w:r>
      <w:r>
        <w:rPr>
          <w:color w:val="000000"/>
        </w:rPr>
        <w:t xml:space="preserve">For example, projects funded under the topics </w:t>
      </w:r>
      <w:hyperlink r:id="rId137">
        <w:r w:rsidR="00721C98">
          <w:rPr>
            <w:szCs w:val="20"/>
            <w:u w:val="single"/>
          </w:rPr>
          <w:t>HORIZON-CL2-2021-TRANSFORMATIONS-01-07</w:t>
        </w:r>
      </w:hyperlink>
      <w:r>
        <w:rPr>
          <w:color w:val="000000"/>
        </w:rPr>
        <w:t xml:space="preserve">, and </w:t>
      </w:r>
      <w:hyperlink r:id="rId138">
        <w:r w:rsidR="00721C98">
          <w:rPr>
            <w:szCs w:val="20"/>
            <w:u w:val="single"/>
          </w:rPr>
          <w:t>HORIZON-WIDERA-2023-ERA-01-06</w:t>
        </w:r>
      </w:hyperlink>
      <w:r>
        <w:rPr>
          <w:color w:val="000000"/>
        </w:rPr>
        <w:t>.</w:t>
      </w:r>
    </w:p>
  </w:footnote>
  <w:footnote w:id="111">
    <w:p w14:paraId="55C78E88" w14:textId="77777777" w:rsidR="00721C98" w:rsidRDefault="00AE7B71">
      <w:pPr>
        <w:pStyle w:val="footnote1"/>
      </w:pPr>
      <w:r>
        <w:rPr>
          <w:vertAlign w:val="superscript"/>
        </w:rPr>
        <w:footnoteRef/>
      </w:r>
      <w:r>
        <w:rPr>
          <w:vertAlign w:val="superscript"/>
        </w:rPr>
        <w:tab/>
      </w:r>
      <w:hyperlink r:id="rId139">
        <w:r w:rsidR="00721C98">
          <w:rPr>
            <w:szCs w:val="20"/>
            <w:u w:val="single"/>
          </w:rPr>
          <w:t>Recommendation on critical technology areas</w:t>
        </w:r>
      </w:hyperlink>
    </w:p>
  </w:footnote>
  <w:footnote w:id="112">
    <w:p w14:paraId="63B3CF5F" w14:textId="77777777" w:rsidR="00721C98" w:rsidRDefault="00AE7B71">
      <w:pPr>
        <w:pStyle w:val="footnote1"/>
      </w:pPr>
      <w:r>
        <w:rPr>
          <w:vertAlign w:val="superscript"/>
        </w:rPr>
        <w:footnoteRef/>
      </w:r>
      <w:r>
        <w:rPr>
          <w:vertAlign w:val="superscript"/>
        </w:rPr>
        <w:tab/>
      </w:r>
      <w:r>
        <w:rPr>
          <w:color w:val="000000"/>
        </w:rPr>
        <w:t xml:space="preserve">Objectives in the Competitiveness Compass: Closing the innovation gap; Decarbonising our economy; Reducing dependencies, </w:t>
      </w:r>
      <w:hyperlink r:id="rId140">
        <w:r w:rsidR="00721C98">
          <w:rPr>
            <w:szCs w:val="20"/>
            <w:u w:val="single"/>
          </w:rPr>
          <w:t>https://eur-lex.europa.eu/legal-content/EN/TXT/?uri=celex:52025DC0030</w:t>
        </w:r>
      </w:hyperlink>
      <w:r>
        <w:rPr>
          <w:color w:val="000000"/>
          <w:u w:val="single"/>
        </w:rPr>
        <w:t>.</w:t>
      </w:r>
    </w:p>
  </w:footnote>
  <w:footnote w:id="113">
    <w:p w14:paraId="042752CC" w14:textId="77777777" w:rsidR="00721C98" w:rsidRDefault="00AE7B71">
      <w:pPr>
        <w:pStyle w:val="footnote1"/>
      </w:pPr>
      <w:r>
        <w:rPr>
          <w:vertAlign w:val="superscript"/>
        </w:rPr>
        <w:footnoteRef/>
      </w:r>
      <w:r>
        <w:rPr>
          <w:vertAlign w:val="superscript"/>
        </w:rPr>
        <w:tab/>
      </w:r>
      <w:r>
        <w:rPr>
          <w:color w:val="000000"/>
        </w:rPr>
        <w:t>See General Annexes to the Horizon Europe Work Programme (Gender equality plans and gender mainstreaming in Annex Part B – Eligibility).</w:t>
      </w:r>
    </w:p>
  </w:footnote>
  <w:footnote w:id="114">
    <w:p w14:paraId="73A00312" w14:textId="77777777" w:rsidR="00721C98" w:rsidRDefault="00AE7B71">
      <w:pPr>
        <w:pStyle w:val="footnote1"/>
      </w:pPr>
      <w:r>
        <w:rPr>
          <w:vertAlign w:val="superscript"/>
        </w:rPr>
        <w:footnoteRef/>
      </w:r>
      <w:r>
        <w:rPr>
          <w:vertAlign w:val="superscript"/>
        </w:rPr>
        <w:tab/>
      </w:r>
      <w:hyperlink r:id="rId141">
        <w:r w:rsidR="00721C98">
          <w:rPr>
            <w:szCs w:val="20"/>
            <w:u w:val="single"/>
          </w:rPr>
          <w:t>https://european-union.europa.eu/principles-countries-history/eu-enlargement_en</w:t>
        </w:r>
      </w:hyperlink>
      <w:r>
        <w:rPr>
          <w:color w:val="000000"/>
        </w:rPr>
        <w:t>.</w:t>
      </w:r>
    </w:p>
  </w:footnote>
  <w:footnote w:id="115">
    <w:p w14:paraId="5CA2B4C3" w14:textId="77777777" w:rsidR="00721C98" w:rsidRDefault="00AE7B71">
      <w:pPr>
        <w:pStyle w:val="footnote1"/>
      </w:pPr>
      <w:r>
        <w:rPr>
          <w:vertAlign w:val="superscript"/>
        </w:rPr>
        <w:footnoteRef/>
      </w:r>
      <w:r>
        <w:rPr>
          <w:vertAlign w:val="superscript"/>
        </w:rPr>
        <w:tab/>
      </w:r>
      <w:r>
        <w:rPr>
          <w:color w:val="000000"/>
        </w:rPr>
        <w:t>See General Annexes to the Horizon Europe Work Programme (Gender equality plans and gender mainstreaming in Annex Part B – Eligibility).</w:t>
      </w:r>
    </w:p>
  </w:footnote>
  <w:footnote w:id="116">
    <w:p w14:paraId="68FD73FB" w14:textId="77777777" w:rsidR="00721C98" w:rsidRDefault="00AE7B71">
      <w:pPr>
        <w:pStyle w:val="footnote1"/>
      </w:pPr>
      <w:r>
        <w:rPr>
          <w:vertAlign w:val="superscript"/>
        </w:rPr>
        <w:footnoteRef/>
      </w:r>
      <w:r>
        <w:rPr>
          <w:vertAlign w:val="superscript"/>
        </w:rPr>
        <w:tab/>
      </w:r>
      <w:hyperlink r:id="rId142">
        <w:r w:rsidR="00721C98">
          <w:rPr>
            <w:szCs w:val="20"/>
            <w:u w:val="single"/>
          </w:rPr>
          <w:t>https://european-union.europa.eu/principles-countries-history/eu-enlargement_en</w:t>
        </w:r>
      </w:hyperlink>
      <w:r>
        <w:rPr>
          <w:color w:val="000000"/>
        </w:rPr>
        <w:t>.</w:t>
      </w:r>
    </w:p>
  </w:footnote>
  <w:footnote w:id="117">
    <w:p w14:paraId="5E574789" w14:textId="77777777" w:rsidR="00721C98" w:rsidRDefault="00AE7B71">
      <w:pPr>
        <w:pStyle w:val="footnote1"/>
      </w:pPr>
      <w:r>
        <w:rPr>
          <w:vertAlign w:val="superscript"/>
        </w:rPr>
        <w:footnoteRef/>
      </w:r>
      <w:r>
        <w:rPr>
          <w:vertAlign w:val="superscript"/>
        </w:rPr>
        <w:tab/>
      </w:r>
      <w:r>
        <w:rPr>
          <w:color w:val="000000"/>
        </w:rPr>
        <w:t xml:space="preserve">Pursuant to project “Eye of Europe”, funded under </w:t>
      </w:r>
      <w:hyperlink r:id="rId143">
        <w:r w:rsidR="00721C98">
          <w:rPr>
            <w:szCs w:val="20"/>
            <w:u w:val="single"/>
          </w:rPr>
          <w:t>HORIZON-WIDERA-2023-ERA-01-02</w:t>
        </w:r>
      </w:hyperlink>
      <w:r>
        <w:rPr>
          <w:color w:val="000000"/>
        </w:rPr>
        <w:t>.</w:t>
      </w:r>
    </w:p>
  </w:footnote>
  <w:footnote w:id="118">
    <w:p w14:paraId="55604D6D" w14:textId="77777777" w:rsidR="00721C98" w:rsidRDefault="00AE7B71">
      <w:pPr>
        <w:pStyle w:val="footnote1"/>
      </w:pPr>
      <w:r>
        <w:rPr>
          <w:vertAlign w:val="superscript"/>
        </w:rPr>
        <w:footnoteRef/>
      </w:r>
      <w:r>
        <w:rPr>
          <w:vertAlign w:val="superscript"/>
        </w:rPr>
        <w:tab/>
      </w:r>
      <w:r>
        <w:rPr>
          <w:color w:val="000000"/>
        </w:rPr>
        <w:t xml:space="preserve">Pursuant to project “INSPIRING ERA”, funded under </w:t>
      </w:r>
      <w:hyperlink r:id="rId144">
        <w:r w:rsidR="00721C98">
          <w:rPr>
            <w:szCs w:val="20"/>
            <w:u w:val="single"/>
          </w:rPr>
          <w:t>HORIZON-WIDERA-2023-ERA-01-05</w:t>
        </w:r>
      </w:hyperlink>
      <w:r>
        <w:rPr>
          <w:color w:val="000000"/>
        </w:rPr>
        <w:t>.</w:t>
      </w:r>
    </w:p>
  </w:footnote>
  <w:footnote w:id="119">
    <w:p w14:paraId="6A8735B2" w14:textId="77777777" w:rsidR="00721C98" w:rsidRDefault="00AE7B71">
      <w:pPr>
        <w:pStyle w:val="footnote1"/>
      </w:pPr>
      <w:r>
        <w:rPr>
          <w:vertAlign w:val="superscript"/>
        </w:rPr>
        <w:footnoteRef/>
      </w:r>
      <w:r>
        <w:rPr>
          <w:vertAlign w:val="superscript"/>
        </w:rPr>
        <w:tab/>
      </w:r>
      <w:r>
        <w:rPr>
          <w:color w:val="000000"/>
        </w:rPr>
        <w:t xml:space="preserve">Projects funded under the calls </w:t>
      </w:r>
      <w:hyperlink r:id="rId145">
        <w:r w:rsidR="00721C98">
          <w:rPr>
            <w:szCs w:val="20"/>
            <w:u w:val="single"/>
          </w:rPr>
          <w:t>H2020_SwafS-19-2016</w:t>
        </w:r>
      </w:hyperlink>
      <w:r>
        <w:rPr>
          <w:color w:val="000000"/>
        </w:rPr>
        <w:t xml:space="preserve">, </w:t>
      </w:r>
      <w:hyperlink r:id="rId146">
        <w:r w:rsidR="00721C98">
          <w:rPr>
            <w:szCs w:val="20"/>
            <w:u w:val="single"/>
          </w:rPr>
          <w:t>H2020_SwafS-08-2017</w:t>
        </w:r>
      </w:hyperlink>
      <w:r>
        <w:rPr>
          <w:color w:val="000000"/>
        </w:rPr>
        <w:t xml:space="preserve">, </w:t>
      </w:r>
      <w:hyperlink r:id="rId147">
        <w:r w:rsidR="00721C98">
          <w:rPr>
            <w:szCs w:val="20"/>
            <w:u w:val="single"/>
          </w:rPr>
          <w:t>HORIZON-WIDERA-2021-ERA-01-80</w:t>
        </w:r>
      </w:hyperlink>
      <w:r>
        <w:rPr>
          <w:color w:val="000000"/>
        </w:rPr>
        <w:t xml:space="preserve">, and </w:t>
      </w:r>
      <w:hyperlink r:id="rId148">
        <w:r w:rsidR="00721C98">
          <w:rPr>
            <w:szCs w:val="20"/>
            <w:u w:val="single"/>
          </w:rPr>
          <w:t>HORIZON-WIDERA-2024-ERA-01-11</w:t>
        </w:r>
      </w:hyperlink>
      <w:r>
        <w:rPr>
          <w:color w:val="000000"/>
        </w:rPr>
        <w:t>.</w:t>
      </w:r>
    </w:p>
  </w:footnote>
  <w:footnote w:id="120">
    <w:p w14:paraId="6023EB78" w14:textId="77777777" w:rsidR="00721C98" w:rsidRDefault="00AE7B71">
      <w:pPr>
        <w:pStyle w:val="footnote1"/>
      </w:pPr>
      <w:r>
        <w:rPr>
          <w:vertAlign w:val="superscript"/>
        </w:rPr>
        <w:footnoteRef/>
      </w:r>
      <w:r>
        <w:rPr>
          <w:vertAlign w:val="superscript"/>
        </w:rPr>
        <w:tab/>
      </w:r>
      <w:r>
        <w:rPr>
          <w:color w:val="000000"/>
        </w:rPr>
        <w:t xml:space="preserve">See the Commission expert group: </w:t>
      </w:r>
      <w:hyperlink r:id="rId149">
        <w:r w:rsidR="00721C98">
          <w:rPr>
            <w:szCs w:val="20"/>
            <w:u w:val="single"/>
          </w:rPr>
          <w:t>https://ec.europa.eu/transparency/expert-groups-register/screen/expert-groups/consult?lang=en&amp;groupID=103813</w:t>
        </w:r>
      </w:hyperlink>
      <w:r>
        <w:rPr>
          <w:color w:val="000000"/>
        </w:rPr>
        <w:t>.</w:t>
      </w:r>
    </w:p>
  </w:footnote>
  <w:footnote w:id="121">
    <w:p w14:paraId="5D0D3375" w14:textId="77777777" w:rsidR="00721C98" w:rsidRDefault="00AE7B71">
      <w:pPr>
        <w:pStyle w:val="footnote1"/>
      </w:pPr>
      <w:r>
        <w:rPr>
          <w:vertAlign w:val="superscript"/>
        </w:rPr>
        <w:footnoteRef/>
      </w:r>
      <w:r>
        <w:rPr>
          <w:vertAlign w:val="superscript"/>
        </w:rPr>
        <w:tab/>
      </w:r>
      <w:r>
        <w:rPr>
          <w:color w:val="000000"/>
        </w:rPr>
        <w:t xml:space="preserve">Pursuant to projects </w:t>
      </w:r>
      <w:hyperlink r:id="rId150">
        <w:r w:rsidR="00721C98">
          <w:rPr>
            <w:szCs w:val="20"/>
            <w:u w:val="single"/>
          </w:rPr>
          <w:t>GENDERACTION</w:t>
        </w:r>
      </w:hyperlink>
      <w:r>
        <w:rPr>
          <w:color w:val="000000"/>
        </w:rPr>
        <w:t xml:space="preserve"> and </w:t>
      </w:r>
      <w:hyperlink r:id="rId151">
        <w:r w:rsidR="00721C98">
          <w:rPr>
            <w:szCs w:val="20"/>
            <w:u w:val="single"/>
          </w:rPr>
          <w:t>GENDERACTIONplus</w:t>
        </w:r>
      </w:hyperlink>
      <w:r>
        <w:rPr>
          <w:color w:val="000000"/>
        </w:rPr>
        <w:t>; participation in the ERA Forum Subgroup on Integrating Gender Equality in the ERA.</w:t>
      </w:r>
    </w:p>
  </w:footnote>
  <w:footnote w:id="122">
    <w:p w14:paraId="5E7BF9AD" w14:textId="77777777" w:rsidR="00721C98" w:rsidRDefault="00AE7B71">
      <w:pPr>
        <w:pStyle w:val="footnote1"/>
      </w:pPr>
      <w:r>
        <w:rPr>
          <w:vertAlign w:val="superscript"/>
        </w:rPr>
        <w:footnoteRef/>
      </w:r>
      <w:r>
        <w:rPr>
          <w:vertAlign w:val="superscript"/>
        </w:rPr>
        <w:tab/>
      </w:r>
      <w:r>
        <w:rPr>
          <w:color w:val="000000"/>
        </w:rPr>
        <w:t xml:space="preserve">HR Excellence in Research Award, </w:t>
      </w:r>
      <w:hyperlink r:id="rId152">
        <w:r w:rsidR="00721C98">
          <w:rPr>
            <w:szCs w:val="20"/>
            <w:u w:val="single"/>
          </w:rPr>
          <w:t>https://euraxess.ec.europa.eu/jobs/hrs4r</w:t>
        </w:r>
      </w:hyperlink>
      <w:r>
        <w:rPr>
          <w:color w:val="000000"/>
        </w:rPr>
        <w:t>.</w:t>
      </w:r>
    </w:p>
  </w:footnote>
  <w:footnote w:id="123">
    <w:p w14:paraId="55264A72" w14:textId="77777777" w:rsidR="00721C98" w:rsidRDefault="00AE7B71">
      <w:pPr>
        <w:pStyle w:val="footnote1"/>
      </w:pPr>
      <w:r>
        <w:rPr>
          <w:vertAlign w:val="superscript"/>
        </w:rPr>
        <w:footnoteRef/>
      </w:r>
      <w:r>
        <w:rPr>
          <w:vertAlign w:val="superscript"/>
        </w:rPr>
        <w:tab/>
      </w:r>
      <w:r>
        <w:rPr>
          <w:color w:val="000000"/>
        </w:rPr>
        <w:t xml:space="preserve">Charter for Researchers, annexed to the Council Recommendation of 18 December 2023 on a European framework to attract and retain research, innovation and entrepreneurial talents in Europe, </w:t>
      </w:r>
      <w:hyperlink r:id="rId153">
        <w:r w:rsidR="00721C98">
          <w:rPr>
            <w:szCs w:val="20"/>
            <w:u w:val="single"/>
          </w:rPr>
          <w:t>https://eur-lex.europa.eu/eli/C/2023/1640/oj</w:t>
        </w:r>
      </w:hyperlink>
      <w:r>
        <w:rPr>
          <w:color w:val="000000"/>
        </w:rPr>
        <w:t>.</w:t>
      </w:r>
    </w:p>
  </w:footnote>
  <w:footnote w:id="124">
    <w:p w14:paraId="3902E722" w14:textId="77777777" w:rsidR="00721C98" w:rsidRDefault="00AE7B71">
      <w:pPr>
        <w:pStyle w:val="footnote1"/>
      </w:pPr>
      <w:r>
        <w:rPr>
          <w:vertAlign w:val="superscript"/>
        </w:rPr>
        <w:footnoteRef/>
      </w:r>
      <w:r>
        <w:rPr>
          <w:vertAlign w:val="superscript"/>
        </w:rPr>
        <w:tab/>
      </w:r>
      <w:hyperlink r:id="rId154">
        <w:r w:rsidR="00721C98">
          <w:rPr>
            <w:szCs w:val="20"/>
            <w:u w:val="single"/>
          </w:rPr>
          <w:t>https://ec.europa.eu/research-and-innovation/en/statistics/policy-support-facility</w:t>
        </w:r>
      </w:hyperlink>
      <w:r>
        <w:rPr>
          <w:color w:val="000000"/>
        </w:rPr>
        <w:t>.</w:t>
      </w:r>
    </w:p>
  </w:footnote>
  <w:footnote w:id="125">
    <w:p w14:paraId="3F69D686" w14:textId="77777777" w:rsidR="00721C98" w:rsidRDefault="00AE7B71">
      <w:pPr>
        <w:pStyle w:val="footnote1"/>
      </w:pPr>
      <w:r>
        <w:rPr>
          <w:vertAlign w:val="superscript"/>
        </w:rPr>
        <w:footnoteRef/>
      </w:r>
      <w:r>
        <w:rPr>
          <w:vertAlign w:val="superscript"/>
        </w:rPr>
        <w:tab/>
      </w:r>
      <w:hyperlink r:id="rId155">
        <w:r w:rsidR="00721C98">
          <w:rPr>
            <w:szCs w:val="20"/>
            <w:u w:val="single"/>
          </w:rPr>
          <w:t>https://research-and-innovation.ec.europa.eu/research-area/industrial-research-and-innovation/eu-valorisation-policy/knowledge-valorisation-platform/guiding-principles-knowledge-valorisation-and-implementing-codes-practice_en</w:t>
        </w:r>
      </w:hyperlink>
      <w:r>
        <w:rPr>
          <w:color w:val="000000"/>
        </w:rPr>
        <w:t>.</w:t>
      </w:r>
    </w:p>
  </w:footnote>
  <w:footnote w:id="126">
    <w:p w14:paraId="5A579DFB" w14:textId="77777777" w:rsidR="00721C98" w:rsidRDefault="00AE7B71">
      <w:pPr>
        <w:pStyle w:val="footnote1"/>
      </w:pPr>
      <w:r>
        <w:rPr>
          <w:vertAlign w:val="superscript"/>
        </w:rPr>
        <w:footnoteRef/>
      </w:r>
      <w:r>
        <w:rPr>
          <w:vertAlign w:val="superscript"/>
        </w:rPr>
        <w:tab/>
      </w:r>
      <w:r>
        <w:rPr>
          <w:color w:val="000000"/>
        </w:rPr>
        <w:t>COST (European Co-operation in Science and Technology) - Framework Partnership Agreement no. 101052382</w:t>
      </w:r>
    </w:p>
  </w:footnote>
  <w:footnote w:id="127">
    <w:p w14:paraId="6E549513" w14:textId="77777777" w:rsidR="00721C98" w:rsidRDefault="00AE7B71">
      <w:pPr>
        <w:pStyle w:val="footnote1"/>
      </w:pPr>
      <w:r>
        <w:rPr>
          <w:vertAlign w:val="superscript"/>
        </w:rPr>
        <w:footnoteRef/>
      </w:r>
      <w:r>
        <w:rPr>
          <w:vertAlign w:val="superscript"/>
        </w:rPr>
        <w:tab/>
      </w:r>
      <w:r>
        <w:rPr>
          <w:color w:val="000000"/>
        </w:rPr>
        <w:t>Implementation costs are in this context defined as the ratio of the total grant amount minus financial support to third parties, to the financial support provided to third parties.</w:t>
      </w:r>
    </w:p>
  </w:footnote>
  <w:footnote w:id="128">
    <w:p w14:paraId="3DE7F383" w14:textId="77777777" w:rsidR="00721C98" w:rsidRDefault="00AE7B71">
      <w:pPr>
        <w:pStyle w:val="footnote1"/>
      </w:pPr>
      <w:r>
        <w:rPr>
          <w:vertAlign w:val="superscript"/>
        </w:rPr>
        <w:footnoteRef/>
      </w:r>
      <w:r>
        <w:rPr>
          <w:vertAlign w:val="superscript"/>
        </w:rPr>
        <w:tab/>
      </w:r>
      <w:r>
        <w:rPr>
          <w:color w:val="000000"/>
        </w:rPr>
        <w:t>The budget figures given in this table are rounded to two decimal places.</w:t>
      </w:r>
    </w:p>
    <w:p w14:paraId="0675BAF1" w14:textId="77777777" w:rsidR="00721C98" w:rsidRDefault="00AE7B71">
      <w:pPr>
        <w:pStyle w:val="footnote2"/>
      </w:pPr>
      <w:r>
        <w:rPr>
          <w:color w:val="000000"/>
        </w:rPr>
        <w:t>The budget amounts are subject to the availability of the appropriations provided for in the general budget of the Union for 2026 and 2027.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51B9" w14:textId="77777777" w:rsidR="00254CB4" w:rsidRDefault="00254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F52A" w14:textId="77777777" w:rsidR="00942B6D" w:rsidRPr="00645F70" w:rsidRDefault="00AE7B71" w:rsidP="00645F70">
    <w:pPr>
      <w:pStyle w:val="HeaderStyle"/>
    </w:pPr>
    <w:sdt>
      <w:sdtPr>
        <w:id w:val="384768709"/>
        <w:docPartObj>
          <w:docPartGallery w:val="Watermarks"/>
          <w:docPartUnique/>
        </w:docPartObj>
      </w:sdtPr>
      <w:sdtEndPr/>
      <w:sdtContent>
        <w:r>
          <w:rPr>
            <w:noProof/>
            <w:lang w:val="en-US" w:eastAsia="zh-TW"/>
          </w:rPr>
          <w:pict w14:anchorId="126F94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7"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33EAE">
      <w:t>Horizon Europe - Work Programme 2026-2027</w:t>
    </w:r>
    <w:r w:rsidR="00F33EAE">
      <w:cr/>
      <w:t>Widening participation and strengthening the European Research Area</w:t>
    </w:r>
    <w:r w:rsidR="002357B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668E" w14:textId="77777777" w:rsidR="006A6038" w:rsidRDefault="00AE7B71" w:rsidP="00F37A29">
    <w:pPr>
      <w:pStyle w:val="Header"/>
      <w:tabs>
        <w:tab w:val="clear" w:pos="4536"/>
        <w:tab w:val="clear" w:pos="9072"/>
        <w:tab w:val="left" w:pos="2265"/>
      </w:tabs>
    </w:pPr>
    <w:r>
      <w:rPr>
        <w:noProof/>
      </w:rPr>
      <w:pict w14:anchorId="5D90F7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32.6pt;margin-top:257.45pt;width:412.4pt;height:247.45pt;rotation:315;z-index:-251656192;mso-position-horizontal-relative:margin;mso-position-vertical-relative:margin" o:allowincell="f" fillcolor="silver" stroked="f">
          <v:fill opacity=".5"/>
          <v:textpath style="font-family:&quot;Calibri&quot;;font-size:1pt" string="DRAFT"/>
          <w10:wrap anchorx="margin" anchory="margin"/>
        </v:shape>
      </w:pict>
    </w:r>
    <w:r w:rsidR="006A60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D06"/>
    <w:multiLevelType w:val="hybridMultilevel"/>
    <w:tmpl w:val="0E9CCD44"/>
    <w:name w:val="CPSNumberingScheme"/>
    <w:lvl w:ilvl="0" w:tplc="3636126E">
      <w:start w:val="1"/>
      <w:numFmt w:val="decimal"/>
      <w:lvlText w:val="%1."/>
      <w:lvlJc w:val="right"/>
      <w:pPr>
        <w:ind w:left="500" w:hanging="180"/>
      </w:pPr>
    </w:lvl>
    <w:lvl w:ilvl="1" w:tplc="4468D5AC">
      <w:start w:val="1"/>
      <w:numFmt w:val="decimal"/>
      <w:lvlText w:val="%2."/>
      <w:lvlJc w:val="right"/>
      <w:pPr>
        <w:ind w:left="1000" w:hanging="180"/>
      </w:pPr>
    </w:lvl>
    <w:lvl w:ilvl="2" w:tplc="A612AFAA">
      <w:start w:val="1"/>
      <w:numFmt w:val="decimal"/>
      <w:lvlText w:val="%3."/>
      <w:lvlJc w:val="right"/>
      <w:pPr>
        <w:ind w:left="1500" w:hanging="180"/>
      </w:pPr>
    </w:lvl>
    <w:lvl w:ilvl="3" w:tplc="B474558A">
      <w:start w:val="1"/>
      <w:numFmt w:val="decimal"/>
      <w:lvlText w:val="%4."/>
      <w:lvlJc w:val="right"/>
      <w:pPr>
        <w:ind w:left="2000" w:hanging="180"/>
      </w:pPr>
    </w:lvl>
    <w:lvl w:ilvl="4" w:tplc="FF5043DA">
      <w:start w:val="1"/>
      <w:numFmt w:val="decimal"/>
      <w:lvlText w:val="%5."/>
      <w:lvlJc w:val="right"/>
      <w:pPr>
        <w:ind w:left="2500" w:hanging="180"/>
      </w:pPr>
    </w:lvl>
    <w:lvl w:ilvl="5" w:tplc="82CC4C16">
      <w:start w:val="1"/>
      <w:numFmt w:val="decimal"/>
      <w:lvlText w:val="%6."/>
      <w:lvlJc w:val="right"/>
      <w:pPr>
        <w:ind w:left="3000" w:hanging="180"/>
      </w:pPr>
    </w:lvl>
    <w:lvl w:ilvl="6" w:tplc="39AE5320">
      <w:start w:val="1"/>
      <w:numFmt w:val="decimal"/>
      <w:lvlText w:val="%7."/>
      <w:lvlJc w:val="right"/>
      <w:pPr>
        <w:ind w:left="3500" w:hanging="180"/>
      </w:pPr>
    </w:lvl>
    <w:lvl w:ilvl="7" w:tplc="4C6EB036">
      <w:start w:val="1"/>
      <w:numFmt w:val="decimal"/>
      <w:lvlText w:val="%8."/>
      <w:lvlJc w:val="right"/>
      <w:pPr>
        <w:ind w:left="4000" w:hanging="180"/>
      </w:pPr>
    </w:lvl>
    <w:lvl w:ilvl="8" w:tplc="B8F28E5C">
      <w:start w:val="1"/>
      <w:numFmt w:val="decimal"/>
      <w:lvlText w:val="%9."/>
      <w:lvlJc w:val="right"/>
      <w:pPr>
        <w:ind w:left="4500" w:hanging="180"/>
      </w:pPr>
    </w:lvl>
  </w:abstractNum>
  <w:abstractNum w:abstractNumId="1" w15:restartNumberingAfterBreak="0">
    <w:nsid w:val="060B0B4F"/>
    <w:multiLevelType w:val="hybridMultilevel"/>
    <w:tmpl w:val="EFC865AA"/>
    <w:lvl w:ilvl="0" w:tplc="E64A2C4E">
      <w:start w:val="1"/>
      <w:numFmt w:val="decimal"/>
      <w:pStyle w:val="NumberParagraphLevel2"/>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6233E"/>
    <w:multiLevelType w:val="hybridMultilevel"/>
    <w:tmpl w:val="83EED2AA"/>
    <w:name w:val="CPSNumberingScheme"/>
    <w:lvl w:ilvl="0" w:tplc="56C8A1C6">
      <w:start w:val="1"/>
      <w:numFmt w:val="decimal"/>
      <w:lvlText w:val="%1."/>
      <w:lvlJc w:val="right"/>
      <w:pPr>
        <w:ind w:left="500" w:hanging="180"/>
      </w:pPr>
    </w:lvl>
    <w:lvl w:ilvl="1" w:tplc="B01C9FFA">
      <w:start w:val="1"/>
      <w:numFmt w:val="decimal"/>
      <w:lvlText w:val="%2."/>
      <w:lvlJc w:val="right"/>
      <w:pPr>
        <w:ind w:left="1000" w:hanging="180"/>
      </w:pPr>
    </w:lvl>
    <w:lvl w:ilvl="2" w:tplc="BC48A916">
      <w:start w:val="1"/>
      <w:numFmt w:val="decimal"/>
      <w:lvlText w:val="%3."/>
      <w:lvlJc w:val="right"/>
      <w:pPr>
        <w:ind w:left="1500" w:hanging="180"/>
      </w:pPr>
    </w:lvl>
    <w:lvl w:ilvl="3" w:tplc="2246211C">
      <w:start w:val="1"/>
      <w:numFmt w:val="decimal"/>
      <w:lvlText w:val="%4."/>
      <w:lvlJc w:val="right"/>
      <w:pPr>
        <w:ind w:left="2000" w:hanging="180"/>
      </w:pPr>
    </w:lvl>
    <w:lvl w:ilvl="4" w:tplc="95D229A4">
      <w:start w:val="1"/>
      <w:numFmt w:val="decimal"/>
      <w:lvlText w:val="%5."/>
      <w:lvlJc w:val="right"/>
      <w:pPr>
        <w:ind w:left="2500" w:hanging="180"/>
      </w:pPr>
    </w:lvl>
    <w:lvl w:ilvl="5" w:tplc="F1A01622">
      <w:start w:val="1"/>
      <w:numFmt w:val="decimal"/>
      <w:lvlText w:val="%6."/>
      <w:lvlJc w:val="right"/>
      <w:pPr>
        <w:ind w:left="3000" w:hanging="180"/>
      </w:pPr>
    </w:lvl>
    <w:lvl w:ilvl="6" w:tplc="941A134E">
      <w:start w:val="1"/>
      <w:numFmt w:val="decimal"/>
      <w:lvlText w:val="%7."/>
      <w:lvlJc w:val="right"/>
      <w:pPr>
        <w:ind w:left="3500" w:hanging="180"/>
      </w:pPr>
    </w:lvl>
    <w:lvl w:ilvl="7" w:tplc="E7F05F12">
      <w:start w:val="1"/>
      <w:numFmt w:val="decimal"/>
      <w:lvlText w:val="%8."/>
      <w:lvlJc w:val="right"/>
      <w:pPr>
        <w:ind w:left="4000" w:hanging="180"/>
      </w:pPr>
    </w:lvl>
    <w:lvl w:ilvl="8" w:tplc="C7441DE8">
      <w:start w:val="1"/>
      <w:numFmt w:val="decimal"/>
      <w:lvlText w:val="%9."/>
      <w:lvlJc w:val="right"/>
      <w:pPr>
        <w:ind w:left="4500" w:hanging="180"/>
      </w:pPr>
    </w:lvl>
  </w:abstractNum>
  <w:abstractNum w:abstractNumId="3" w15:restartNumberingAfterBreak="0">
    <w:nsid w:val="07E81083"/>
    <w:multiLevelType w:val="hybridMultilevel"/>
    <w:tmpl w:val="539AB86C"/>
    <w:name w:val="CPSNumberingScheme"/>
    <w:lvl w:ilvl="0" w:tplc="AF2225CE">
      <w:start w:val="1"/>
      <w:numFmt w:val="decimal"/>
      <w:lvlText w:val="%1."/>
      <w:lvlJc w:val="right"/>
      <w:pPr>
        <w:ind w:left="500" w:hanging="180"/>
      </w:pPr>
    </w:lvl>
    <w:lvl w:ilvl="1" w:tplc="D0EA4F68">
      <w:start w:val="1"/>
      <w:numFmt w:val="decimal"/>
      <w:lvlText w:val="%2."/>
      <w:lvlJc w:val="right"/>
      <w:pPr>
        <w:ind w:left="1000" w:hanging="180"/>
      </w:pPr>
    </w:lvl>
    <w:lvl w:ilvl="2" w:tplc="CDDE46FE">
      <w:start w:val="1"/>
      <w:numFmt w:val="decimal"/>
      <w:lvlText w:val="%3."/>
      <w:lvlJc w:val="right"/>
      <w:pPr>
        <w:ind w:left="1500" w:hanging="180"/>
      </w:pPr>
    </w:lvl>
    <w:lvl w:ilvl="3" w:tplc="0EB6DD0E">
      <w:start w:val="1"/>
      <w:numFmt w:val="decimal"/>
      <w:lvlText w:val="%4."/>
      <w:lvlJc w:val="right"/>
      <w:pPr>
        <w:ind w:left="2000" w:hanging="180"/>
      </w:pPr>
    </w:lvl>
    <w:lvl w:ilvl="4" w:tplc="F7BA592E">
      <w:start w:val="1"/>
      <w:numFmt w:val="decimal"/>
      <w:lvlText w:val="%5."/>
      <w:lvlJc w:val="right"/>
      <w:pPr>
        <w:ind w:left="2500" w:hanging="180"/>
      </w:pPr>
    </w:lvl>
    <w:lvl w:ilvl="5" w:tplc="C3DA375E">
      <w:start w:val="1"/>
      <w:numFmt w:val="decimal"/>
      <w:lvlText w:val="%6."/>
      <w:lvlJc w:val="right"/>
      <w:pPr>
        <w:ind w:left="3000" w:hanging="180"/>
      </w:pPr>
    </w:lvl>
    <w:lvl w:ilvl="6" w:tplc="91DE741C">
      <w:start w:val="1"/>
      <w:numFmt w:val="decimal"/>
      <w:lvlText w:val="%7."/>
      <w:lvlJc w:val="right"/>
      <w:pPr>
        <w:ind w:left="3500" w:hanging="180"/>
      </w:pPr>
    </w:lvl>
    <w:lvl w:ilvl="7" w:tplc="F8BA9A98">
      <w:start w:val="1"/>
      <w:numFmt w:val="decimal"/>
      <w:lvlText w:val="%8."/>
      <w:lvlJc w:val="right"/>
      <w:pPr>
        <w:ind w:left="4000" w:hanging="180"/>
      </w:pPr>
    </w:lvl>
    <w:lvl w:ilvl="8" w:tplc="4734007A">
      <w:start w:val="1"/>
      <w:numFmt w:val="decimal"/>
      <w:lvlText w:val="%9."/>
      <w:lvlJc w:val="right"/>
      <w:pPr>
        <w:ind w:left="4500" w:hanging="180"/>
      </w:pPr>
    </w:lvl>
  </w:abstractNum>
  <w:abstractNum w:abstractNumId="4" w15:restartNumberingAfterBreak="0">
    <w:nsid w:val="09B231B0"/>
    <w:multiLevelType w:val="hybridMultilevel"/>
    <w:tmpl w:val="D154FA98"/>
    <w:name w:val="CPSNumberingScheme"/>
    <w:lvl w:ilvl="0" w:tplc="21D090D6">
      <w:start w:val="1"/>
      <w:numFmt w:val="decimal"/>
      <w:lvlText w:val="%1."/>
      <w:lvlJc w:val="right"/>
      <w:pPr>
        <w:ind w:left="500" w:hanging="180"/>
      </w:pPr>
    </w:lvl>
    <w:lvl w:ilvl="1" w:tplc="FD80BF72">
      <w:start w:val="1"/>
      <w:numFmt w:val="decimal"/>
      <w:lvlText w:val="%2."/>
      <w:lvlJc w:val="right"/>
      <w:pPr>
        <w:ind w:left="1000" w:hanging="180"/>
      </w:pPr>
    </w:lvl>
    <w:lvl w:ilvl="2" w:tplc="2390D024">
      <w:start w:val="1"/>
      <w:numFmt w:val="decimal"/>
      <w:lvlText w:val="%3."/>
      <w:lvlJc w:val="right"/>
      <w:pPr>
        <w:ind w:left="1500" w:hanging="180"/>
      </w:pPr>
    </w:lvl>
    <w:lvl w:ilvl="3" w:tplc="AFE44BF8">
      <w:start w:val="1"/>
      <w:numFmt w:val="decimal"/>
      <w:lvlText w:val="%4."/>
      <w:lvlJc w:val="right"/>
      <w:pPr>
        <w:ind w:left="2000" w:hanging="180"/>
      </w:pPr>
    </w:lvl>
    <w:lvl w:ilvl="4" w:tplc="D10C58F4">
      <w:start w:val="1"/>
      <w:numFmt w:val="decimal"/>
      <w:lvlText w:val="%5."/>
      <w:lvlJc w:val="right"/>
      <w:pPr>
        <w:ind w:left="2500" w:hanging="180"/>
      </w:pPr>
    </w:lvl>
    <w:lvl w:ilvl="5" w:tplc="04D4AC36">
      <w:start w:val="1"/>
      <w:numFmt w:val="decimal"/>
      <w:lvlText w:val="%6."/>
      <w:lvlJc w:val="right"/>
      <w:pPr>
        <w:ind w:left="3000" w:hanging="180"/>
      </w:pPr>
    </w:lvl>
    <w:lvl w:ilvl="6" w:tplc="301870CC">
      <w:start w:val="1"/>
      <w:numFmt w:val="decimal"/>
      <w:lvlText w:val="%7."/>
      <w:lvlJc w:val="right"/>
      <w:pPr>
        <w:ind w:left="3500" w:hanging="180"/>
      </w:pPr>
    </w:lvl>
    <w:lvl w:ilvl="7" w:tplc="BC2A11CC">
      <w:start w:val="1"/>
      <w:numFmt w:val="decimal"/>
      <w:lvlText w:val="%8."/>
      <w:lvlJc w:val="right"/>
      <w:pPr>
        <w:ind w:left="4000" w:hanging="180"/>
      </w:pPr>
    </w:lvl>
    <w:lvl w:ilvl="8" w:tplc="413C1886">
      <w:start w:val="1"/>
      <w:numFmt w:val="decimal"/>
      <w:lvlText w:val="%9."/>
      <w:lvlJc w:val="right"/>
      <w:pPr>
        <w:ind w:left="4500" w:hanging="180"/>
      </w:pPr>
    </w:lvl>
  </w:abstractNum>
  <w:abstractNum w:abstractNumId="5" w15:restartNumberingAfterBreak="0">
    <w:nsid w:val="0F9C0570"/>
    <w:multiLevelType w:val="hybridMultilevel"/>
    <w:tmpl w:val="3496E118"/>
    <w:lvl w:ilvl="0" w:tplc="E786B0D0">
      <w:start w:val="1"/>
      <w:numFmt w:val="bullet"/>
      <w:pStyle w:val="Bulle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EC078E"/>
    <w:multiLevelType w:val="hybridMultilevel"/>
    <w:tmpl w:val="E4C04618"/>
    <w:name w:val="CPSNumberingScheme"/>
    <w:lvl w:ilvl="0" w:tplc="5F0011B8">
      <w:start w:val="1"/>
      <w:numFmt w:val="decimal"/>
      <w:lvlText w:val="%1."/>
      <w:lvlJc w:val="right"/>
      <w:pPr>
        <w:ind w:left="500" w:hanging="180"/>
      </w:pPr>
    </w:lvl>
    <w:lvl w:ilvl="1" w:tplc="00AC388C">
      <w:start w:val="1"/>
      <w:numFmt w:val="decimal"/>
      <w:lvlText w:val="%2."/>
      <w:lvlJc w:val="right"/>
      <w:pPr>
        <w:ind w:left="1000" w:hanging="180"/>
      </w:pPr>
    </w:lvl>
    <w:lvl w:ilvl="2" w:tplc="D38E74E8">
      <w:start w:val="1"/>
      <w:numFmt w:val="decimal"/>
      <w:lvlText w:val="%3."/>
      <w:lvlJc w:val="right"/>
      <w:pPr>
        <w:ind w:left="1500" w:hanging="180"/>
      </w:pPr>
    </w:lvl>
    <w:lvl w:ilvl="3" w:tplc="82F8D04A">
      <w:start w:val="1"/>
      <w:numFmt w:val="decimal"/>
      <w:lvlText w:val="%4."/>
      <w:lvlJc w:val="right"/>
      <w:pPr>
        <w:ind w:left="2000" w:hanging="180"/>
      </w:pPr>
    </w:lvl>
    <w:lvl w:ilvl="4" w:tplc="39861BC0">
      <w:start w:val="1"/>
      <w:numFmt w:val="decimal"/>
      <w:lvlText w:val="%5."/>
      <w:lvlJc w:val="right"/>
      <w:pPr>
        <w:ind w:left="2500" w:hanging="180"/>
      </w:pPr>
    </w:lvl>
    <w:lvl w:ilvl="5" w:tplc="E354AD04">
      <w:start w:val="1"/>
      <w:numFmt w:val="decimal"/>
      <w:lvlText w:val="%6."/>
      <w:lvlJc w:val="right"/>
      <w:pPr>
        <w:ind w:left="3000" w:hanging="180"/>
      </w:pPr>
    </w:lvl>
    <w:lvl w:ilvl="6" w:tplc="0480ED18">
      <w:start w:val="1"/>
      <w:numFmt w:val="decimal"/>
      <w:lvlText w:val="%7."/>
      <w:lvlJc w:val="right"/>
      <w:pPr>
        <w:ind w:left="3500" w:hanging="180"/>
      </w:pPr>
    </w:lvl>
    <w:lvl w:ilvl="7" w:tplc="7A929B12">
      <w:start w:val="1"/>
      <w:numFmt w:val="decimal"/>
      <w:lvlText w:val="%8."/>
      <w:lvlJc w:val="right"/>
      <w:pPr>
        <w:ind w:left="4000" w:hanging="180"/>
      </w:pPr>
    </w:lvl>
    <w:lvl w:ilvl="8" w:tplc="96441686">
      <w:start w:val="1"/>
      <w:numFmt w:val="decimal"/>
      <w:lvlText w:val="%9."/>
      <w:lvlJc w:val="right"/>
      <w:pPr>
        <w:ind w:left="4500" w:hanging="180"/>
      </w:pPr>
    </w:lvl>
  </w:abstractNum>
  <w:abstractNum w:abstractNumId="7" w15:restartNumberingAfterBreak="0">
    <w:nsid w:val="167F4C6D"/>
    <w:multiLevelType w:val="hybridMultilevel"/>
    <w:tmpl w:val="932C87DC"/>
    <w:name w:val="CPSNumberingScheme"/>
    <w:lvl w:ilvl="0" w:tplc="8D52F5F6">
      <w:start w:val="1"/>
      <w:numFmt w:val="decimal"/>
      <w:lvlText w:val="%1."/>
      <w:lvlJc w:val="right"/>
      <w:pPr>
        <w:ind w:left="500" w:hanging="180"/>
      </w:pPr>
    </w:lvl>
    <w:lvl w:ilvl="1" w:tplc="7DEAF406">
      <w:start w:val="1"/>
      <w:numFmt w:val="decimal"/>
      <w:lvlText w:val="%2."/>
      <w:lvlJc w:val="right"/>
      <w:pPr>
        <w:ind w:left="1000" w:hanging="180"/>
      </w:pPr>
    </w:lvl>
    <w:lvl w:ilvl="2" w:tplc="42CAC9D8">
      <w:start w:val="1"/>
      <w:numFmt w:val="decimal"/>
      <w:lvlText w:val="%3."/>
      <w:lvlJc w:val="right"/>
      <w:pPr>
        <w:ind w:left="1500" w:hanging="180"/>
      </w:pPr>
    </w:lvl>
    <w:lvl w:ilvl="3" w:tplc="ED1AA2BA">
      <w:start w:val="1"/>
      <w:numFmt w:val="decimal"/>
      <w:lvlText w:val="%4."/>
      <w:lvlJc w:val="right"/>
      <w:pPr>
        <w:ind w:left="2000" w:hanging="180"/>
      </w:pPr>
    </w:lvl>
    <w:lvl w:ilvl="4" w:tplc="5C66479E">
      <w:start w:val="1"/>
      <w:numFmt w:val="decimal"/>
      <w:lvlText w:val="%5."/>
      <w:lvlJc w:val="right"/>
      <w:pPr>
        <w:ind w:left="2500" w:hanging="180"/>
      </w:pPr>
    </w:lvl>
    <w:lvl w:ilvl="5" w:tplc="035AEA5A">
      <w:start w:val="1"/>
      <w:numFmt w:val="decimal"/>
      <w:lvlText w:val="%6."/>
      <w:lvlJc w:val="right"/>
      <w:pPr>
        <w:ind w:left="3000" w:hanging="180"/>
      </w:pPr>
    </w:lvl>
    <w:lvl w:ilvl="6" w:tplc="425C3942">
      <w:start w:val="1"/>
      <w:numFmt w:val="decimal"/>
      <w:lvlText w:val="%7."/>
      <w:lvlJc w:val="right"/>
      <w:pPr>
        <w:ind w:left="3500" w:hanging="180"/>
      </w:pPr>
    </w:lvl>
    <w:lvl w:ilvl="7" w:tplc="1A8E027E">
      <w:start w:val="1"/>
      <w:numFmt w:val="decimal"/>
      <w:lvlText w:val="%8."/>
      <w:lvlJc w:val="right"/>
      <w:pPr>
        <w:ind w:left="4000" w:hanging="180"/>
      </w:pPr>
    </w:lvl>
    <w:lvl w:ilvl="8" w:tplc="1C9A863C">
      <w:start w:val="1"/>
      <w:numFmt w:val="decimal"/>
      <w:lvlText w:val="%9."/>
      <w:lvlJc w:val="right"/>
      <w:pPr>
        <w:ind w:left="4500" w:hanging="180"/>
      </w:pPr>
    </w:lvl>
  </w:abstractNum>
  <w:abstractNum w:abstractNumId="8" w15:restartNumberingAfterBreak="0">
    <w:nsid w:val="19342019"/>
    <w:multiLevelType w:val="hybridMultilevel"/>
    <w:tmpl w:val="1882ACD6"/>
    <w:name w:val="CPSNumberingScheme"/>
    <w:lvl w:ilvl="0" w:tplc="3CD07F72">
      <w:start w:val="1"/>
      <w:numFmt w:val="decimal"/>
      <w:lvlText w:val="%1."/>
      <w:lvlJc w:val="right"/>
      <w:pPr>
        <w:ind w:left="500" w:hanging="180"/>
      </w:pPr>
    </w:lvl>
    <w:lvl w:ilvl="1" w:tplc="9B84A3DC">
      <w:start w:val="1"/>
      <w:numFmt w:val="decimal"/>
      <w:lvlText w:val="%2."/>
      <w:lvlJc w:val="right"/>
      <w:pPr>
        <w:ind w:left="1000" w:hanging="180"/>
      </w:pPr>
    </w:lvl>
    <w:lvl w:ilvl="2" w:tplc="A28E8CFA">
      <w:start w:val="1"/>
      <w:numFmt w:val="decimal"/>
      <w:lvlText w:val="%3."/>
      <w:lvlJc w:val="right"/>
      <w:pPr>
        <w:ind w:left="1500" w:hanging="180"/>
      </w:pPr>
    </w:lvl>
    <w:lvl w:ilvl="3" w:tplc="DD4C5200">
      <w:start w:val="1"/>
      <w:numFmt w:val="decimal"/>
      <w:lvlText w:val="%4."/>
      <w:lvlJc w:val="right"/>
      <w:pPr>
        <w:ind w:left="2000" w:hanging="180"/>
      </w:pPr>
    </w:lvl>
    <w:lvl w:ilvl="4" w:tplc="387A2654">
      <w:start w:val="1"/>
      <w:numFmt w:val="decimal"/>
      <w:lvlText w:val="%5."/>
      <w:lvlJc w:val="right"/>
      <w:pPr>
        <w:ind w:left="2500" w:hanging="180"/>
      </w:pPr>
    </w:lvl>
    <w:lvl w:ilvl="5" w:tplc="E9DE6A8A">
      <w:start w:val="1"/>
      <w:numFmt w:val="decimal"/>
      <w:lvlText w:val="%6."/>
      <w:lvlJc w:val="right"/>
      <w:pPr>
        <w:ind w:left="3000" w:hanging="180"/>
      </w:pPr>
    </w:lvl>
    <w:lvl w:ilvl="6" w:tplc="C10EB840">
      <w:start w:val="1"/>
      <w:numFmt w:val="decimal"/>
      <w:lvlText w:val="%7."/>
      <w:lvlJc w:val="right"/>
      <w:pPr>
        <w:ind w:left="3500" w:hanging="180"/>
      </w:pPr>
    </w:lvl>
    <w:lvl w:ilvl="7" w:tplc="283E2F36">
      <w:start w:val="1"/>
      <w:numFmt w:val="decimal"/>
      <w:lvlText w:val="%8."/>
      <w:lvlJc w:val="right"/>
      <w:pPr>
        <w:ind w:left="4000" w:hanging="180"/>
      </w:pPr>
    </w:lvl>
    <w:lvl w:ilvl="8" w:tplc="94109128">
      <w:start w:val="1"/>
      <w:numFmt w:val="decimal"/>
      <w:lvlText w:val="%9."/>
      <w:lvlJc w:val="right"/>
      <w:pPr>
        <w:ind w:left="4500" w:hanging="180"/>
      </w:pPr>
    </w:lvl>
  </w:abstractNum>
  <w:abstractNum w:abstractNumId="9" w15:restartNumberingAfterBreak="0">
    <w:nsid w:val="1C4C5776"/>
    <w:multiLevelType w:val="hybridMultilevel"/>
    <w:tmpl w:val="01044DA2"/>
    <w:name w:val="CPSNumberingScheme"/>
    <w:lvl w:ilvl="0" w:tplc="D8D061D0">
      <w:start w:val="1"/>
      <w:numFmt w:val="decimal"/>
      <w:lvlText w:val="%1."/>
      <w:lvlJc w:val="right"/>
      <w:pPr>
        <w:ind w:left="500" w:hanging="180"/>
      </w:pPr>
    </w:lvl>
    <w:lvl w:ilvl="1" w:tplc="D64CDE40">
      <w:start w:val="1"/>
      <w:numFmt w:val="decimal"/>
      <w:lvlText w:val="%2."/>
      <w:lvlJc w:val="right"/>
      <w:pPr>
        <w:ind w:left="1000" w:hanging="180"/>
      </w:pPr>
    </w:lvl>
    <w:lvl w:ilvl="2" w:tplc="FB6885EC">
      <w:start w:val="1"/>
      <w:numFmt w:val="decimal"/>
      <w:lvlText w:val="%3."/>
      <w:lvlJc w:val="right"/>
      <w:pPr>
        <w:ind w:left="1500" w:hanging="180"/>
      </w:pPr>
    </w:lvl>
    <w:lvl w:ilvl="3" w:tplc="2070D712">
      <w:start w:val="1"/>
      <w:numFmt w:val="decimal"/>
      <w:lvlText w:val="%4."/>
      <w:lvlJc w:val="right"/>
      <w:pPr>
        <w:ind w:left="2000" w:hanging="180"/>
      </w:pPr>
    </w:lvl>
    <w:lvl w:ilvl="4" w:tplc="61E27B34">
      <w:start w:val="1"/>
      <w:numFmt w:val="decimal"/>
      <w:lvlText w:val="%5."/>
      <w:lvlJc w:val="right"/>
      <w:pPr>
        <w:ind w:left="2500" w:hanging="180"/>
      </w:pPr>
    </w:lvl>
    <w:lvl w:ilvl="5" w:tplc="0EE0F2C4">
      <w:start w:val="1"/>
      <w:numFmt w:val="decimal"/>
      <w:lvlText w:val="%6."/>
      <w:lvlJc w:val="right"/>
      <w:pPr>
        <w:ind w:left="3000" w:hanging="180"/>
      </w:pPr>
    </w:lvl>
    <w:lvl w:ilvl="6" w:tplc="E2B4BF98">
      <w:start w:val="1"/>
      <w:numFmt w:val="decimal"/>
      <w:lvlText w:val="%7."/>
      <w:lvlJc w:val="right"/>
      <w:pPr>
        <w:ind w:left="3500" w:hanging="180"/>
      </w:pPr>
    </w:lvl>
    <w:lvl w:ilvl="7" w:tplc="BFB07384">
      <w:start w:val="1"/>
      <w:numFmt w:val="decimal"/>
      <w:lvlText w:val="%8."/>
      <w:lvlJc w:val="right"/>
      <w:pPr>
        <w:ind w:left="4000" w:hanging="180"/>
      </w:pPr>
    </w:lvl>
    <w:lvl w:ilvl="8" w:tplc="1BF6FDA4">
      <w:start w:val="1"/>
      <w:numFmt w:val="decimal"/>
      <w:lvlText w:val="%9."/>
      <w:lvlJc w:val="right"/>
      <w:pPr>
        <w:ind w:left="4500" w:hanging="180"/>
      </w:pPr>
    </w:lvl>
  </w:abstractNum>
  <w:abstractNum w:abstractNumId="10" w15:restartNumberingAfterBreak="0">
    <w:nsid w:val="20242B2B"/>
    <w:multiLevelType w:val="hybridMultilevel"/>
    <w:tmpl w:val="7C1A60F0"/>
    <w:name w:val="CPSNumberingScheme"/>
    <w:lvl w:ilvl="0" w:tplc="6E3EA81E">
      <w:start w:val="1"/>
      <w:numFmt w:val="decimal"/>
      <w:lvlText w:val="%1."/>
      <w:lvlJc w:val="right"/>
      <w:pPr>
        <w:ind w:left="500" w:hanging="180"/>
      </w:pPr>
    </w:lvl>
    <w:lvl w:ilvl="1" w:tplc="28362D9C">
      <w:start w:val="1"/>
      <w:numFmt w:val="decimal"/>
      <w:pStyle w:val="BulletParagraphLevel2"/>
      <w:lvlText w:val="%2."/>
      <w:lvlJc w:val="right"/>
      <w:pPr>
        <w:ind w:left="1000" w:hanging="180"/>
      </w:pPr>
    </w:lvl>
    <w:lvl w:ilvl="2" w:tplc="4078CFAE">
      <w:start w:val="1"/>
      <w:numFmt w:val="decimal"/>
      <w:lvlText w:val="%3."/>
      <w:lvlJc w:val="right"/>
      <w:pPr>
        <w:ind w:left="1500" w:hanging="180"/>
      </w:pPr>
    </w:lvl>
    <w:lvl w:ilvl="3" w:tplc="FE2EDAFE">
      <w:start w:val="1"/>
      <w:numFmt w:val="decimal"/>
      <w:lvlText w:val="%4."/>
      <w:lvlJc w:val="right"/>
      <w:pPr>
        <w:ind w:left="2000" w:hanging="180"/>
      </w:pPr>
    </w:lvl>
    <w:lvl w:ilvl="4" w:tplc="E3527C78">
      <w:start w:val="1"/>
      <w:numFmt w:val="decimal"/>
      <w:lvlText w:val="%5."/>
      <w:lvlJc w:val="right"/>
      <w:pPr>
        <w:ind w:left="2500" w:hanging="180"/>
      </w:pPr>
    </w:lvl>
    <w:lvl w:ilvl="5" w:tplc="87369D1A">
      <w:start w:val="1"/>
      <w:numFmt w:val="decimal"/>
      <w:lvlText w:val="%6."/>
      <w:lvlJc w:val="right"/>
      <w:pPr>
        <w:ind w:left="3000" w:hanging="180"/>
      </w:pPr>
    </w:lvl>
    <w:lvl w:ilvl="6" w:tplc="6E169A58">
      <w:start w:val="1"/>
      <w:numFmt w:val="decimal"/>
      <w:lvlText w:val="%7."/>
      <w:lvlJc w:val="right"/>
      <w:pPr>
        <w:ind w:left="3500" w:hanging="180"/>
      </w:pPr>
    </w:lvl>
    <w:lvl w:ilvl="7" w:tplc="BBAC5D68">
      <w:start w:val="1"/>
      <w:numFmt w:val="decimal"/>
      <w:lvlText w:val="%8."/>
      <w:lvlJc w:val="right"/>
      <w:pPr>
        <w:ind w:left="4000" w:hanging="180"/>
      </w:pPr>
    </w:lvl>
    <w:lvl w:ilvl="8" w:tplc="FB860BC6">
      <w:start w:val="1"/>
      <w:numFmt w:val="decimal"/>
      <w:lvlText w:val="%9."/>
      <w:lvlJc w:val="right"/>
      <w:pPr>
        <w:ind w:left="4500" w:hanging="180"/>
      </w:pPr>
    </w:lvl>
  </w:abstractNum>
  <w:abstractNum w:abstractNumId="11" w15:restartNumberingAfterBreak="0">
    <w:nsid w:val="23E704BD"/>
    <w:multiLevelType w:val="hybridMultilevel"/>
    <w:tmpl w:val="0FE062D2"/>
    <w:name w:val="CPSNumberingScheme"/>
    <w:lvl w:ilvl="0" w:tplc="6DFCF0CC">
      <w:start w:val="1"/>
      <w:numFmt w:val="decimal"/>
      <w:lvlText w:val="%1."/>
      <w:lvlJc w:val="right"/>
      <w:pPr>
        <w:ind w:left="500" w:hanging="180"/>
      </w:pPr>
    </w:lvl>
    <w:lvl w:ilvl="1" w:tplc="4EEE7EDC">
      <w:start w:val="1"/>
      <w:numFmt w:val="decimal"/>
      <w:lvlText w:val="%2."/>
      <w:lvlJc w:val="right"/>
      <w:pPr>
        <w:ind w:left="1000" w:hanging="180"/>
      </w:pPr>
    </w:lvl>
    <w:lvl w:ilvl="2" w:tplc="58C8725C">
      <w:start w:val="1"/>
      <w:numFmt w:val="decimal"/>
      <w:lvlText w:val="%3."/>
      <w:lvlJc w:val="right"/>
      <w:pPr>
        <w:ind w:left="1500" w:hanging="180"/>
      </w:pPr>
    </w:lvl>
    <w:lvl w:ilvl="3" w:tplc="D30AD24C">
      <w:start w:val="1"/>
      <w:numFmt w:val="decimal"/>
      <w:lvlText w:val="%4."/>
      <w:lvlJc w:val="right"/>
      <w:pPr>
        <w:ind w:left="2000" w:hanging="180"/>
      </w:pPr>
    </w:lvl>
    <w:lvl w:ilvl="4" w:tplc="344CA5CA">
      <w:start w:val="1"/>
      <w:numFmt w:val="decimal"/>
      <w:lvlText w:val="%5."/>
      <w:lvlJc w:val="right"/>
      <w:pPr>
        <w:ind w:left="2500" w:hanging="180"/>
      </w:pPr>
    </w:lvl>
    <w:lvl w:ilvl="5" w:tplc="C81ECBE2">
      <w:start w:val="1"/>
      <w:numFmt w:val="decimal"/>
      <w:lvlText w:val="%6."/>
      <w:lvlJc w:val="right"/>
      <w:pPr>
        <w:ind w:left="3000" w:hanging="180"/>
      </w:pPr>
    </w:lvl>
    <w:lvl w:ilvl="6" w:tplc="5CDCBDAA">
      <w:start w:val="1"/>
      <w:numFmt w:val="decimal"/>
      <w:lvlText w:val="%7."/>
      <w:lvlJc w:val="right"/>
      <w:pPr>
        <w:ind w:left="3500" w:hanging="180"/>
      </w:pPr>
    </w:lvl>
    <w:lvl w:ilvl="7" w:tplc="C4266572">
      <w:start w:val="1"/>
      <w:numFmt w:val="decimal"/>
      <w:lvlText w:val="%8."/>
      <w:lvlJc w:val="right"/>
      <w:pPr>
        <w:ind w:left="4000" w:hanging="180"/>
      </w:pPr>
    </w:lvl>
    <w:lvl w:ilvl="8" w:tplc="5BA099B2">
      <w:start w:val="1"/>
      <w:numFmt w:val="decimal"/>
      <w:lvlText w:val="%9."/>
      <w:lvlJc w:val="right"/>
      <w:pPr>
        <w:ind w:left="4500" w:hanging="180"/>
      </w:pPr>
    </w:lvl>
  </w:abstractNum>
  <w:abstractNum w:abstractNumId="12" w15:restartNumberingAfterBreak="0">
    <w:nsid w:val="24C317E7"/>
    <w:multiLevelType w:val="hybridMultilevel"/>
    <w:tmpl w:val="43300E6E"/>
    <w:name w:val="CPSNumberingScheme"/>
    <w:lvl w:ilvl="0" w:tplc="E8328B18">
      <w:start w:val="1"/>
      <w:numFmt w:val="decimal"/>
      <w:lvlText w:val="%1."/>
      <w:lvlJc w:val="right"/>
      <w:pPr>
        <w:ind w:left="500" w:hanging="180"/>
      </w:pPr>
    </w:lvl>
    <w:lvl w:ilvl="1" w:tplc="9B00D052">
      <w:start w:val="1"/>
      <w:numFmt w:val="decimal"/>
      <w:lvlText w:val="%2."/>
      <w:lvlJc w:val="right"/>
      <w:pPr>
        <w:ind w:left="1000" w:hanging="180"/>
      </w:pPr>
    </w:lvl>
    <w:lvl w:ilvl="2" w:tplc="617076E4">
      <w:start w:val="1"/>
      <w:numFmt w:val="decimal"/>
      <w:lvlText w:val="%3."/>
      <w:lvlJc w:val="right"/>
      <w:pPr>
        <w:ind w:left="1500" w:hanging="180"/>
      </w:pPr>
    </w:lvl>
    <w:lvl w:ilvl="3" w:tplc="A60C8B0A">
      <w:start w:val="1"/>
      <w:numFmt w:val="decimal"/>
      <w:lvlText w:val="%4."/>
      <w:lvlJc w:val="right"/>
      <w:pPr>
        <w:ind w:left="2000" w:hanging="180"/>
      </w:pPr>
    </w:lvl>
    <w:lvl w:ilvl="4" w:tplc="65481B58">
      <w:start w:val="1"/>
      <w:numFmt w:val="decimal"/>
      <w:lvlText w:val="%5."/>
      <w:lvlJc w:val="right"/>
      <w:pPr>
        <w:ind w:left="2500" w:hanging="180"/>
      </w:pPr>
    </w:lvl>
    <w:lvl w:ilvl="5" w:tplc="531A7DC2">
      <w:start w:val="1"/>
      <w:numFmt w:val="decimal"/>
      <w:lvlText w:val="%6."/>
      <w:lvlJc w:val="right"/>
      <w:pPr>
        <w:ind w:left="3000" w:hanging="180"/>
      </w:pPr>
    </w:lvl>
    <w:lvl w:ilvl="6" w:tplc="EF508EC2">
      <w:start w:val="1"/>
      <w:numFmt w:val="decimal"/>
      <w:lvlText w:val="%7."/>
      <w:lvlJc w:val="right"/>
      <w:pPr>
        <w:ind w:left="3500" w:hanging="180"/>
      </w:pPr>
    </w:lvl>
    <w:lvl w:ilvl="7" w:tplc="1634338A">
      <w:start w:val="1"/>
      <w:numFmt w:val="decimal"/>
      <w:lvlText w:val="%8."/>
      <w:lvlJc w:val="right"/>
      <w:pPr>
        <w:ind w:left="4000" w:hanging="180"/>
      </w:pPr>
    </w:lvl>
    <w:lvl w:ilvl="8" w:tplc="ABFC7786">
      <w:start w:val="1"/>
      <w:numFmt w:val="decimal"/>
      <w:lvlText w:val="%9."/>
      <w:lvlJc w:val="right"/>
      <w:pPr>
        <w:ind w:left="4500" w:hanging="180"/>
      </w:pPr>
    </w:lvl>
  </w:abstractNum>
  <w:abstractNum w:abstractNumId="13" w15:restartNumberingAfterBreak="0">
    <w:nsid w:val="287973EF"/>
    <w:multiLevelType w:val="hybridMultilevel"/>
    <w:tmpl w:val="B3648E8A"/>
    <w:name w:val="CPSNumberingScheme"/>
    <w:lvl w:ilvl="0" w:tplc="EDD80EEE">
      <w:start w:val="1"/>
      <w:numFmt w:val="decimal"/>
      <w:lvlText w:val="%1."/>
      <w:lvlJc w:val="right"/>
      <w:pPr>
        <w:ind w:left="500" w:hanging="180"/>
      </w:pPr>
    </w:lvl>
    <w:lvl w:ilvl="1" w:tplc="44BC3CD4">
      <w:start w:val="1"/>
      <w:numFmt w:val="decimal"/>
      <w:lvlText w:val="%2."/>
      <w:lvlJc w:val="right"/>
      <w:pPr>
        <w:ind w:left="1000" w:hanging="180"/>
      </w:pPr>
    </w:lvl>
    <w:lvl w:ilvl="2" w:tplc="0F2A3CF0">
      <w:start w:val="1"/>
      <w:numFmt w:val="decimal"/>
      <w:lvlText w:val="%3."/>
      <w:lvlJc w:val="right"/>
      <w:pPr>
        <w:ind w:left="1500" w:hanging="180"/>
      </w:pPr>
    </w:lvl>
    <w:lvl w:ilvl="3" w:tplc="4DC62EB6">
      <w:start w:val="1"/>
      <w:numFmt w:val="decimal"/>
      <w:lvlText w:val="%4."/>
      <w:lvlJc w:val="right"/>
      <w:pPr>
        <w:ind w:left="2000" w:hanging="180"/>
      </w:pPr>
    </w:lvl>
    <w:lvl w:ilvl="4" w:tplc="70E692BC">
      <w:start w:val="1"/>
      <w:numFmt w:val="decimal"/>
      <w:lvlText w:val="%5."/>
      <w:lvlJc w:val="right"/>
      <w:pPr>
        <w:ind w:left="2500" w:hanging="180"/>
      </w:pPr>
    </w:lvl>
    <w:lvl w:ilvl="5" w:tplc="E01C12E4">
      <w:start w:val="1"/>
      <w:numFmt w:val="decimal"/>
      <w:lvlText w:val="%6."/>
      <w:lvlJc w:val="right"/>
      <w:pPr>
        <w:ind w:left="3000" w:hanging="180"/>
      </w:pPr>
    </w:lvl>
    <w:lvl w:ilvl="6" w:tplc="21FC1E70">
      <w:start w:val="1"/>
      <w:numFmt w:val="decimal"/>
      <w:lvlText w:val="%7."/>
      <w:lvlJc w:val="right"/>
      <w:pPr>
        <w:ind w:left="3500" w:hanging="180"/>
      </w:pPr>
    </w:lvl>
    <w:lvl w:ilvl="7" w:tplc="1506EFCC">
      <w:start w:val="1"/>
      <w:numFmt w:val="decimal"/>
      <w:lvlText w:val="%8."/>
      <w:lvlJc w:val="right"/>
      <w:pPr>
        <w:ind w:left="4000" w:hanging="180"/>
      </w:pPr>
    </w:lvl>
    <w:lvl w:ilvl="8" w:tplc="2F60C84A">
      <w:start w:val="1"/>
      <w:numFmt w:val="decimal"/>
      <w:lvlText w:val="%9."/>
      <w:lvlJc w:val="right"/>
      <w:pPr>
        <w:ind w:left="4500" w:hanging="180"/>
      </w:pPr>
    </w:lvl>
  </w:abstractNum>
  <w:abstractNum w:abstractNumId="14" w15:restartNumberingAfterBreak="0">
    <w:nsid w:val="2D7A571D"/>
    <w:multiLevelType w:val="hybridMultilevel"/>
    <w:tmpl w:val="7CA0668A"/>
    <w:name w:val="CPSNumberingScheme"/>
    <w:lvl w:ilvl="0" w:tplc="57E4625E">
      <w:start w:val="1"/>
      <w:numFmt w:val="decimal"/>
      <w:lvlText w:val="%1."/>
      <w:lvlJc w:val="right"/>
      <w:pPr>
        <w:ind w:left="500" w:hanging="180"/>
      </w:pPr>
    </w:lvl>
    <w:lvl w:ilvl="1" w:tplc="48A09D36">
      <w:start w:val="1"/>
      <w:numFmt w:val="decimal"/>
      <w:lvlText w:val="%2."/>
      <w:lvlJc w:val="right"/>
      <w:pPr>
        <w:ind w:left="1000" w:hanging="180"/>
      </w:pPr>
    </w:lvl>
    <w:lvl w:ilvl="2" w:tplc="8CA40E1A">
      <w:start w:val="1"/>
      <w:numFmt w:val="decimal"/>
      <w:lvlText w:val="%3."/>
      <w:lvlJc w:val="right"/>
      <w:pPr>
        <w:ind w:left="1500" w:hanging="180"/>
      </w:pPr>
    </w:lvl>
    <w:lvl w:ilvl="3" w:tplc="5D342826">
      <w:start w:val="1"/>
      <w:numFmt w:val="decimal"/>
      <w:lvlText w:val="%4."/>
      <w:lvlJc w:val="right"/>
      <w:pPr>
        <w:ind w:left="2000" w:hanging="180"/>
      </w:pPr>
    </w:lvl>
    <w:lvl w:ilvl="4" w:tplc="96DE4898">
      <w:start w:val="1"/>
      <w:numFmt w:val="decimal"/>
      <w:lvlText w:val="%5."/>
      <w:lvlJc w:val="right"/>
      <w:pPr>
        <w:ind w:left="2500" w:hanging="180"/>
      </w:pPr>
    </w:lvl>
    <w:lvl w:ilvl="5" w:tplc="6A98D62E">
      <w:start w:val="1"/>
      <w:numFmt w:val="decimal"/>
      <w:lvlText w:val="%6."/>
      <w:lvlJc w:val="right"/>
      <w:pPr>
        <w:ind w:left="3000" w:hanging="180"/>
      </w:pPr>
    </w:lvl>
    <w:lvl w:ilvl="6" w:tplc="561E2706">
      <w:start w:val="1"/>
      <w:numFmt w:val="decimal"/>
      <w:lvlText w:val="%7."/>
      <w:lvlJc w:val="right"/>
      <w:pPr>
        <w:ind w:left="3500" w:hanging="180"/>
      </w:pPr>
    </w:lvl>
    <w:lvl w:ilvl="7" w:tplc="608AF578">
      <w:start w:val="1"/>
      <w:numFmt w:val="decimal"/>
      <w:lvlText w:val="%8."/>
      <w:lvlJc w:val="right"/>
      <w:pPr>
        <w:ind w:left="4000" w:hanging="180"/>
      </w:pPr>
    </w:lvl>
    <w:lvl w:ilvl="8" w:tplc="7E7032FC">
      <w:start w:val="1"/>
      <w:numFmt w:val="decimal"/>
      <w:lvlText w:val="%9."/>
      <w:lvlJc w:val="right"/>
      <w:pPr>
        <w:ind w:left="4500" w:hanging="180"/>
      </w:pPr>
    </w:lvl>
  </w:abstractNum>
  <w:abstractNum w:abstractNumId="15" w15:restartNumberingAfterBreak="0">
    <w:nsid w:val="2E076C08"/>
    <w:multiLevelType w:val="hybridMultilevel"/>
    <w:tmpl w:val="9BE65E78"/>
    <w:name w:val="CPSNumberingScheme"/>
    <w:lvl w:ilvl="0" w:tplc="C04CBD50">
      <w:start w:val="1"/>
      <w:numFmt w:val="decimal"/>
      <w:lvlText w:val="%1."/>
      <w:lvlJc w:val="right"/>
      <w:pPr>
        <w:ind w:left="500" w:hanging="180"/>
      </w:pPr>
    </w:lvl>
    <w:lvl w:ilvl="1" w:tplc="3412267A">
      <w:start w:val="1"/>
      <w:numFmt w:val="decimal"/>
      <w:lvlText w:val="%2."/>
      <w:lvlJc w:val="right"/>
      <w:pPr>
        <w:ind w:left="1000" w:hanging="180"/>
      </w:pPr>
    </w:lvl>
    <w:lvl w:ilvl="2" w:tplc="77F6BAE2">
      <w:start w:val="1"/>
      <w:numFmt w:val="decimal"/>
      <w:lvlText w:val="%3."/>
      <w:lvlJc w:val="right"/>
      <w:pPr>
        <w:ind w:left="1500" w:hanging="180"/>
      </w:pPr>
    </w:lvl>
    <w:lvl w:ilvl="3" w:tplc="E5A6AB06">
      <w:start w:val="1"/>
      <w:numFmt w:val="decimal"/>
      <w:lvlText w:val="%4."/>
      <w:lvlJc w:val="right"/>
      <w:pPr>
        <w:ind w:left="2000" w:hanging="180"/>
      </w:pPr>
    </w:lvl>
    <w:lvl w:ilvl="4" w:tplc="834EE334">
      <w:start w:val="1"/>
      <w:numFmt w:val="decimal"/>
      <w:lvlText w:val="%5."/>
      <w:lvlJc w:val="right"/>
      <w:pPr>
        <w:ind w:left="2500" w:hanging="180"/>
      </w:pPr>
    </w:lvl>
    <w:lvl w:ilvl="5" w:tplc="E14CA790">
      <w:start w:val="1"/>
      <w:numFmt w:val="decimal"/>
      <w:lvlText w:val="%6."/>
      <w:lvlJc w:val="right"/>
      <w:pPr>
        <w:ind w:left="3000" w:hanging="180"/>
      </w:pPr>
    </w:lvl>
    <w:lvl w:ilvl="6" w:tplc="B6E283E4">
      <w:start w:val="1"/>
      <w:numFmt w:val="decimal"/>
      <w:lvlText w:val="%7."/>
      <w:lvlJc w:val="right"/>
      <w:pPr>
        <w:ind w:left="3500" w:hanging="180"/>
      </w:pPr>
    </w:lvl>
    <w:lvl w:ilvl="7" w:tplc="2C703822">
      <w:start w:val="1"/>
      <w:numFmt w:val="decimal"/>
      <w:lvlText w:val="%8."/>
      <w:lvlJc w:val="right"/>
      <w:pPr>
        <w:ind w:left="4000" w:hanging="180"/>
      </w:pPr>
    </w:lvl>
    <w:lvl w:ilvl="8" w:tplc="BEDE0120">
      <w:start w:val="1"/>
      <w:numFmt w:val="decimal"/>
      <w:lvlText w:val="%9."/>
      <w:lvlJc w:val="right"/>
      <w:pPr>
        <w:ind w:left="4500" w:hanging="180"/>
      </w:pPr>
    </w:lvl>
  </w:abstractNum>
  <w:abstractNum w:abstractNumId="16" w15:restartNumberingAfterBreak="0">
    <w:nsid w:val="2F6E5A6D"/>
    <w:multiLevelType w:val="hybridMultilevel"/>
    <w:tmpl w:val="A4B43EAA"/>
    <w:name w:val="CPSNumberingScheme"/>
    <w:lvl w:ilvl="0" w:tplc="94C4BDDA">
      <w:start w:val="1"/>
      <w:numFmt w:val="decimal"/>
      <w:lvlText w:val="%1."/>
      <w:lvlJc w:val="right"/>
      <w:pPr>
        <w:ind w:left="500" w:hanging="180"/>
      </w:pPr>
    </w:lvl>
    <w:lvl w:ilvl="1" w:tplc="D3EED5F0">
      <w:start w:val="1"/>
      <w:numFmt w:val="decimal"/>
      <w:lvlText w:val="%2."/>
      <w:lvlJc w:val="right"/>
      <w:pPr>
        <w:ind w:left="1000" w:hanging="180"/>
      </w:pPr>
    </w:lvl>
    <w:lvl w:ilvl="2" w:tplc="E2346132">
      <w:start w:val="1"/>
      <w:numFmt w:val="decimal"/>
      <w:lvlText w:val="%3."/>
      <w:lvlJc w:val="right"/>
      <w:pPr>
        <w:ind w:left="1500" w:hanging="180"/>
      </w:pPr>
    </w:lvl>
    <w:lvl w:ilvl="3" w:tplc="20B06FC2">
      <w:start w:val="1"/>
      <w:numFmt w:val="decimal"/>
      <w:lvlText w:val="%4."/>
      <w:lvlJc w:val="right"/>
      <w:pPr>
        <w:ind w:left="2000" w:hanging="180"/>
      </w:pPr>
    </w:lvl>
    <w:lvl w:ilvl="4" w:tplc="EA0A1CF4">
      <w:start w:val="1"/>
      <w:numFmt w:val="decimal"/>
      <w:lvlText w:val="%5."/>
      <w:lvlJc w:val="right"/>
      <w:pPr>
        <w:ind w:left="2500" w:hanging="180"/>
      </w:pPr>
    </w:lvl>
    <w:lvl w:ilvl="5" w:tplc="1292DCB4">
      <w:start w:val="1"/>
      <w:numFmt w:val="decimal"/>
      <w:lvlText w:val="%6."/>
      <w:lvlJc w:val="right"/>
      <w:pPr>
        <w:ind w:left="3000" w:hanging="180"/>
      </w:pPr>
    </w:lvl>
    <w:lvl w:ilvl="6" w:tplc="93C6BF74">
      <w:start w:val="1"/>
      <w:numFmt w:val="decimal"/>
      <w:lvlText w:val="%7."/>
      <w:lvlJc w:val="right"/>
      <w:pPr>
        <w:ind w:left="3500" w:hanging="180"/>
      </w:pPr>
    </w:lvl>
    <w:lvl w:ilvl="7" w:tplc="5D120048">
      <w:start w:val="1"/>
      <w:numFmt w:val="decimal"/>
      <w:lvlText w:val="%8."/>
      <w:lvlJc w:val="right"/>
      <w:pPr>
        <w:ind w:left="4000" w:hanging="180"/>
      </w:pPr>
    </w:lvl>
    <w:lvl w:ilvl="8" w:tplc="3E0CA39E">
      <w:start w:val="1"/>
      <w:numFmt w:val="decimal"/>
      <w:lvlText w:val="%9."/>
      <w:lvlJc w:val="right"/>
      <w:pPr>
        <w:ind w:left="4500" w:hanging="180"/>
      </w:pPr>
    </w:lvl>
  </w:abstractNum>
  <w:abstractNum w:abstractNumId="17" w15:restartNumberingAfterBreak="0">
    <w:nsid w:val="3020782F"/>
    <w:multiLevelType w:val="hybridMultilevel"/>
    <w:tmpl w:val="DCF07742"/>
    <w:name w:val="CPSNumberingScheme"/>
    <w:lvl w:ilvl="0" w:tplc="A80448C4">
      <w:start w:val="1"/>
      <w:numFmt w:val="decimal"/>
      <w:lvlText w:val="%1."/>
      <w:lvlJc w:val="right"/>
      <w:pPr>
        <w:ind w:left="500" w:hanging="180"/>
      </w:pPr>
    </w:lvl>
    <w:lvl w:ilvl="1" w:tplc="DBF86DC4">
      <w:start w:val="1"/>
      <w:numFmt w:val="decimal"/>
      <w:lvlText w:val="%2."/>
      <w:lvlJc w:val="right"/>
      <w:pPr>
        <w:ind w:left="1000" w:hanging="180"/>
      </w:pPr>
    </w:lvl>
    <w:lvl w:ilvl="2" w:tplc="536E16A2">
      <w:start w:val="1"/>
      <w:numFmt w:val="decimal"/>
      <w:lvlText w:val="%3."/>
      <w:lvlJc w:val="right"/>
      <w:pPr>
        <w:ind w:left="1500" w:hanging="180"/>
      </w:pPr>
    </w:lvl>
    <w:lvl w:ilvl="3" w:tplc="91D0673A">
      <w:start w:val="1"/>
      <w:numFmt w:val="decimal"/>
      <w:lvlText w:val="%4."/>
      <w:lvlJc w:val="right"/>
      <w:pPr>
        <w:ind w:left="2000" w:hanging="180"/>
      </w:pPr>
    </w:lvl>
    <w:lvl w:ilvl="4" w:tplc="A7306E04">
      <w:start w:val="1"/>
      <w:numFmt w:val="decimal"/>
      <w:lvlText w:val="%5."/>
      <w:lvlJc w:val="right"/>
      <w:pPr>
        <w:ind w:left="2500" w:hanging="180"/>
      </w:pPr>
    </w:lvl>
    <w:lvl w:ilvl="5" w:tplc="00EE1806">
      <w:start w:val="1"/>
      <w:numFmt w:val="decimal"/>
      <w:lvlText w:val="%6."/>
      <w:lvlJc w:val="right"/>
      <w:pPr>
        <w:ind w:left="3000" w:hanging="180"/>
      </w:pPr>
    </w:lvl>
    <w:lvl w:ilvl="6" w:tplc="24E4B4E2">
      <w:start w:val="1"/>
      <w:numFmt w:val="decimal"/>
      <w:lvlText w:val="%7."/>
      <w:lvlJc w:val="right"/>
      <w:pPr>
        <w:ind w:left="3500" w:hanging="180"/>
      </w:pPr>
    </w:lvl>
    <w:lvl w:ilvl="7" w:tplc="E38E4BF8">
      <w:start w:val="1"/>
      <w:numFmt w:val="decimal"/>
      <w:lvlText w:val="%8."/>
      <w:lvlJc w:val="right"/>
      <w:pPr>
        <w:ind w:left="4000" w:hanging="180"/>
      </w:pPr>
    </w:lvl>
    <w:lvl w:ilvl="8" w:tplc="CA2EEC2E">
      <w:start w:val="1"/>
      <w:numFmt w:val="decimal"/>
      <w:lvlText w:val="%9."/>
      <w:lvlJc w:val="right"/>
      <w:pPr>
        <w:ind w:left="4500" w:hanging="180"/>
      </w:pPr>
    </w:lvl>
  </w:abstractNum>
  <w:abstractNum w:abstractNumId="18" w15:restartNumberingAfterBreak="0">
    <w:nsid w:val="33A32190"/>
    <w:multiLevelType w:val="hybridMultilevel"/>
    <w:tmpl w:val="4A48FB76"/>
    <w:lvl w:ilvl="0" w:tplc="7CA40BC8">
      <w:start w:val="1"/>
      <w:numFmt w:val="lowerLetter"/>
      <w:pStyle w:val="NumberParagraphAlpha"/>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D95E13"/>
    <w:multiLevelType w:val="hybridMultilevel"/>
    <w:tmpl w:val="87728AC4"/>
    <w:name w:val="CPSNumberingScheme"/>
    <w:lvl w:ilvl="0" w:tplc="205E0C4C">
      <w:start w:val="1"/>
      <w:numFmt w:val="decimal"/>
      <w:lvlText w:val="%1."/>
      <w:lvlJc w:val="right"/>
      <w:pPr>
        <w:ind w:left="500" w:hanging="180"/>
      </w:pPr>
    </w:lvl>
    <w:lvl w:ilvl="1" w:tplc="18C45A12">
      <w:start w:val="1"/>
      <w:numFmt w:val="decimal"/>
      <w:lvlText w:val="%2."/>
      <w:lvlJc w:val="right"/>
      <w:pPr>
        <w:ind w:left="1000" w:hanging="180"/>
      </w:pPr>
    </w:lvl>
    <w:lvl w:ilvl="2" w:tplc="FD30B004">
      <w:start w:val="1"/>
      <w:numFmt w:val="decimal"/>
      <w:lvlText w:val="%3."/>
      <w:lvlJc w:val="right"/>
      <w:pPr>
        <w:ind w:left="1500" w:hanging="180"/>
      </w:pPr>
    </w:lvl>
    <w:lvl w:ilvl="3" w:tplc="0D0CD6C2">
      <w:start w:val="1"/>
      <w:numFmt w:val="decimal"/>
      <w:lvlText w:val="%4."/>
      <w:lvlJc w:val="right"/>
      <w:pPr>
        <w:ind w:left="2000" w:hanging="180"/>
      </w:pPr>
    </w:lvl>
    <w:lvl w:ilvl="4" w:tplc="47E0EA06">
      <w:start w:val="1"/>
      <w:numFmt w:val="decimal"/>
      <w:lvlText w:val="%5."/>
      <w:lvlJc w:val="right"/>
      <w:pPr>
        <w:ind w:left="2500" w:hanging="180"/>
      </w:pPr>
    </w:lvl>
    <w:lvl w:ilvl="5" w:tplc="9342B8EA">
      <w:start w:val="1"/>
      <w:numFmt w:val="decimal"/>
      <w:lvlText w:val="%6."/>
      <w:lvlJc w:val="right"/>
      <w:pPr>
        <w:ind w:left="3000" w:hanging="180"/>
      </w:pPr>
    </w:lvl>
    <w:lvl w:ilvl="6" w:tplc="64720832">
      <w:start w:val="1"/>
      <w:numFmt w:val="decimal"/>
      <w:lvlText w:val="%7."/>
      <w:lvlJc w:val="right"/>
      <w:pPr>
        <w:ind w:left="3500" w:hanging="180"/>
      </w:pPr>
    </w:lvl>
    <w:lvl w:ilvl="7" w:tplc="D0028C9E">
      <w:start w:val="1"/>
      <w:numFmt w:val="decimal"/>
      <w:lvlText w:val="%8."/>
      <w:lvlJc w:val="right"/>
      <w:pPr>
        <w:ind w:left="4000" w:hanging="180"/>
      </w:pPr>
    </w:lvl>
    <w:lvl w:ilvl="8" w:tplc="0AC47AB6">
      <w:start w:val="1"/>
      <w:numFmt w:val="decimal"/>
      <w:lvlText w:val="%9."/>
      <w:lvlJc w:val="right"/>
      <w:pPr>
        <w:ind w:left="4500" w:hanging="180"/>
      </w:pPr>
    </w:lvl>
  </w:abstractNum>
  <w:abstractNum w:abstractNumId="20" w15:restartNumberingAfterBreak="0">
    <w:nsid w:val="388176B4"/>
    <w:multiLevelType w:val="hybridMultilevel"/>
    <w:tmpl w:val="65C0EF5C"/>
    <w:name w:val="CPSNumberingScheme"/>
    <w:lvl w:ilvl="0" w:tplc="24EE49C8">
      <w:start w:val="1"/>
      <w:numFmt w:val="decimal"/>
      <w:lvlText w:val="%1."/>
      <w:lvlJc w:val="right"/>
      <w:pPr>
        <w:ind w:left="500" w:hanging="180"/>
      </w:pPr>
    </w:lvl>
    <w:lvl w:ilvl="1" w:tplc="155A8E22">
      <w:start w:val="1"/>
      <w:numFmt w:val="decimal"/>
      <w:lvlText w:val="%2."/>
      <w:lvlJc w:val="right"/>
      <w:pPr>
        <w:ind w:left="1000" w:hanging="180"/>
      </w:pPr>
    </w:lvl>
    <w:lvl w:ilvl="2" w:tplc="4792122C">
      <w:start w:val="1"/>
      <w:numFmt w:val="decimal"/>
      <w:lvlText w:val="%3."/>
      <w:lvlJc w:val="right"/>
      <w:pPr>
        <w:ind w:left="1500" w:hanging="180"/>
      </w:pPr>
    </w:lvl>
    <w:lvl w:ilvl="3" w:tplc="8E26C8E2">
      <w:start w:val="1"/>
      <w:numFmt w:val="decimal"/>
      <w:lvlText w:val="%4."/>
      <w:lvlJc w:val="right"/>
      <w:pPr>
        <w:ind w:left="2000" w:hanging="180"/>
      </w:pPr>
    </w:lvl>
    <w:lvl w:ilvl="4" w:tplc="3BD272EC">
      <w:start w:val="1"/>
      <w:numFmt w:val="decimal"/>
      <w:lvlText w:val="%5."/>
      <w:lvlJc w:val="right"/>
      <w:pPr>
        <w:ind w:left="2500" w:hanging="180"/>
      </w:pPr>
    </w:lvl>
    <w:lvl w:ilvl="5" w:tplc="453429D4">
      <w:start w:val="1"/>
      <w:numFmt w:val="decimal"/>
      <w:lvlText w:val="%6."/>
      <w:lvlJc w:val="right"/>
      <w:pPr>
        <w:ind w:left="3000" w:hanging="180"/>
      </w:pPr>
    </w:lvl>
    <w:lvl w:ilvl="6" w:tplc="F21827CE">
      <w:start w:val="1"/>
      <w:numFmt w:val="decimal"/>
      <w:lvlText w:val="%7."/>
      <w:lvlJc w:val="right"/>
      <w:pPr>
        <w:ind w:left="3500" w:hanging="180"/>
      </w:pPr>
    </w:lvl>
    <w:lvl w:ilvl="7" w:tplc="6472036E">
      <w:start w:val="1"/>
      <w:numFmt w:val="decimal"/>
      <w:lvlText w:val="%8."/>
      <w:lvlJc w:val="right"/>
      <w:pPr>
        <w:ind w:left="4000" w:hanging="180"/>
      </w:pPr>
    </w:lvl>
    <w:lvl w:ilvl="8" w:tplc="DF3CA8D0">
      <w:start w:val="1"/>
      <w:numFmt w:val="decimal"/>
      <w:lvlText w:val="%9."/>
      <w:lvlJc w:val="right"/>
      <w:pPr>
        <w:ind w:left="4500" w:hanging="180"/>
      </w:pPr>
    </w:lvl>
  </w:abstractNum>
  <w:abstractNum w:abstractNumId="21" w15:restartNumberingAfterBreak="0">
    <w:nsid w:val="397D345F"/>
    <w:multiLevelType w:val="hybridMultilevel"/>
    <w:tmpl w:val="CC7A14B2"/>
    <w:name w:val="CPSNumberingScheme"/>
    <w:lvl w:ilvl="0" w:tplc="390E35F4">
      <w:start w:val="1"/>
      <w:numFmt w:val="decimal"/>
      <w:lvlText w:val="%1."/>
      <w:lvlJc w:val="right"/>
      <w:pPr>
        <w:ind w:left="500" w:hanging="180"/>
      </w:pPr>
    </w:lvl>
    <w:lvl w:ilvl="1" w:tplc="32F42E28">
      <w:start w:val="1"/>
      <w:numFmt w:val="decimal"/>
      <w:lvlText w:val="%2."/>
      <w:lvlJc w:val="right"/>
      <w:pPr>
        <w:ind w:left="1000" w:hanging="180"/>
      </w:pPr>
    </w:lvl>
    <w:lvl w:ilvl="2" w:tplc="41060F38">
      <w:start w:val="1"/>
      <w:numFmt w:val="decimal"/>
      <w:lvlText w:val="%3."/>
      <w:lvlJc w:val="right"/>
      <w:pPr>
        <w:ind w:left="1500" w:hanging="180"/>
      </w:pPr>
    </w:lvl>
    <w:lvl w:ilvl="3" w:tplc="46DCCBCC">
      <w:start w:val="1"/>
      <w:numFmt w:val="decimal"/>
      <w:lvlText w:val="%4."/>
      <w:lvlJc w:val="right"/>
      <w:pPr>
        <w:ind w:left="2000" w:hanging="180"/>
      </w:pPr>
    </w:lvl>
    <w:lvl w:ilvl="4" w:tplc="D9900310">
      <w:start w:val="1"/>
      <w:numFmt w:val="decimal"/>
      <w:lvlText w:val="%5."/>
      <w:lvlJc w:val="right"/>
      <w:pPr>
        <w:ind w:left="2500" w:hanging="180"/>
      </w:pPr>
    </w:lvl>
    <w:lvl w:ilvl="5" w:tplc="C85CE5B0">
      <w:start w:val="1"/>
      <w:numFmt w:val="decimal"/>
      <w:lvlText w:val="%6."/>
      <w:lvlJc w:val="right"/>
      <w:pPr>
        <w:ind w:left="3000" w:hanging="180"/>
      </w:pPr>
    </w:lvl>
    <w:lvl w:ilvl="6" w:tplc="42566126">
      <w:start w:val="1"/>
      <w:numFmt w:val="decimal"/>
      <w:lvlText w:val="%7."/>
      <w:lvlJc w:val="right"/>
      <w:pPr>
        <w:ind w:left="3500" w:hanging="180"/>
      </w:pPr>
    </w:lvl>
    <w:lvl w:ilvl="7" w:tplc="77B82F1A">
      <w:start w:val="1"/>
      <w:numFmt w:val="decimal"/>
      <w:lvlText w:val="%8."/>
      <w:lvlJc w:val="right"/>
      <w:pPr>
        <w:ind w:left="4000" w:hanging="180"/>
      </w:pPr>
    </w:lvl>
    <w:lvl w:ilvl="8" w:tplc="658633A0">
      <w:start w:val="1"/>
      <w:numFmt w:val="decimal"/>
      <w:lvlText w:val="%9."/>
      <w:lvlJc w:val="right"/>
      <w:pPr>
        <w:ind w:left="4500" w:hanging="180"/>
      </w:pPr>
    </w:lvl>
  </w:abstractNum>
  <w:abstractNum w:abstractNumId="22" w15:restartNumberingAfterBreak="0">
    <w:nsid w:val="3BBB441F"/>
    <w:multiLevelType w:val="hybridMultilevel"/>
    <w:tmpl w:val="278A4F86"/>
    <w:name w:val="CPSNumberingScheme"/>
    <w:lvl w:ilvl="0" w:tplc="3F16BF7C">
      <w:start w:val="1"/>
      <w:numFmt w:val="decimal"/>
      <w:lvlText w:val="%1."/>
      <w:lvlJc w:val="right"/>
      <w:pPr>
        <w:ind w:left="500" w:hanging="180"/>
      </w:pPr>
    </w:lvl>
    <w:lvl w:ilvl="1" w:tplc="70169AB4">
      <w:start w:val="1"/>
      <w:numFmt w:val="decimal"/>
      <w:lvlText w:val="%2."/>
      <w:lvlJc w:val="right"/>
      <w:pPr>
        <w:ind w:left="1000" w:hanging="180"/>
      </w:pPr>
    </w:lvl>
    <w:lvl w:ilvl="2" w:tplc="935804A4">
      <w:start w:val="1"/>
      <w:numFmt w:val="decimal"/>
      <w:lvlText w:val="%3."/>
      <w:lvlJc w:val="right"/>
      <w:pPr>
        <w:ind w:left="1500" w:hanging="180"/>
      </w:pPr>
    </w:lvl>
    <w:lvl w:ilvl="3" w:tplc="7BAA959C">
      <w:start w:val="1"/>
      <w:numFmt w:val="decimal"/>
      <w:lvlText w:val="%4."/>
      <w:lvlJc w:val="right"/>
      <w:pPr>
        <w:ind w:left="2000" w:hanging="180"/>
      </w:pPr>
    </w:lvl>
    <w:lvl w:ilvl="4" w:tplc="27BA733C">
      <w:start w:val="1"/>
      <w:numFmt w:val="decimal"/>
      <w:lvlText w:val="%5."/>
      <w:lvlJc w:val="right"/>
      <w:pPr>
        <w:ind w:left="2500" w:hanging="180"/>
      </w:pPr>
    </w:lvl>
    <w:lvl w:ilvl="5" w:tplc="1E62E28C">
      <w:start w:val="1"/>
      <w:numFmt w:val="decimal"/>
      <w:lvlText w:val="%6."/>
      <w:lvlJc w:val="right"/>
      <w:pPr>
        <w:ind w:left="3000" w:hanging="180"/>
      </w:pPr>
    </w:lvl>
    <w:lvl w:ilvl="6" w:tplc="DB0AB2EC">
      <w:start w:val="1"/>
      <w:numFmt w:val="decimal"/>
      <w:lvlText w:val="%7."/>
      <w:lvlJc w:val="right"/>
      <w:pPr>
        <w:ind w:left="3500" w:hanging="180"/>
      </w:pPr>
    </w:lvl>
    <w:lvl w:ilvl="7" w:tplc="A3C43656">
      <w:start w:val="1"/>
      <w:numFmt w:val="decimal"/>
      <w:lvlText w:val="%8."/>
      <w:lvlJc w:val="right"/>
      <w:pPr>
        <w:ind w:left="4000" w:hanging="180"/>
      </w:pPr>
    </w:lvl>
    <w:lvl w:ilvl="8" w:tplc="10D8B282">
      <w:start w:val="1"/>
      <w:numFmt w:val="decimal"/>
      <w:lvlText w:val="%9."/>
      <w:lvlJc w:val="right"/>
      <w:pPr>
        <w:ind w:left="4500" w:hanging="180"/>
      </w:pPr>
    </w:lvl>
  </w:abstractNum>
  <w:abstractNum w:abstractNumId="23" w15:restartNumberingAfterBreak="0">
    <w:nsid w:val="3E212B9C"/>
    <w:multiLevelType w:val="hybridMultilevel"/>
    <w:tmpl w:val="73D067E6"/>
    <w:name w:val="CPSNumberingScheme"/>
    <w:lvl w:ilvl="0" w:tplc="578AC1C0">
      <w:start w:val="1"/>
      <w:numFmt w:val="decimal"/>
      <w:lvlText w:val="%1."/>
      <w:lvlJc w:val="right"/>
      <w:pPr>
        <w:ind w:left="500" w:hanging="180"/>
      </w:pPr>
    </w:lvl>
    <w:lvl w:ilvl="1" w:tplc="92125D08">
      <w:start w:val="1"/>
      <w:numFmt w:val="decimal"/>
      <w:lvlText w:val="%2."/>
      <w:lvlJc w:val="right"/>
      <w:pPr>
        <w:ind w:left="1000" w:hanging="180"/>
      </w:pPr>
    </w:lvl>
    <w:lvl w:ilvl="2" w:tplc="52B42B36">
      <w:start w:val="1"/>
      <w:numFmt w:val="decimal"/>
      <w:lvlText w:val="%3."/>
      <w:lvlJc w:val="right"/>
      <w:pPr>
        <w:ind w:left="1500" w:hanging="180"/>
      </w:pPr>
    </w:lvl>
    <w:lvl w:ilvl="3" w:tplc="22BA85D2">
      <w:start w:val="1"/>
      <w:numFmt w:val="decimal"/>
      <w:lvlText w:val="%4."/>
      <w:lvlJc w:val="right"/>
      <w:pPr>
        <w:ind w:left="2000" w:hanging="180"/>
      </w:pPr>
    </w:lvl>
    <w:lvl w:ilvl="4" w:tplc="2A460E94">
      <w:start w:val="1"/>
      <w:numFmt w:val="decimal"/>
      <w:lvlText w:val="%5."/>
      <w:lvlJc w:val="right"/>
      <w:pPr>
        <w:ind w:left="2500" w:hanging="180"/>
      </w:pPr>
    </w:lvl>
    <w:lvl w:ilvl="5" w:tplc="7E8E710E">
      <w:start w:val="1"/>
      <w:numFmt w:val="decimal"/>
      <w:lvlText w:val="%6."/>
      <w:lvlJc w:val="right"/>
      <w:pPr>
        <w:ind w:left="3000" w:hanging="180"/>
      </w:pPr>
    </w:lvl>
    <w:lvl w:ilvl="6" w:tplc="9558C810">
      <w:start w:val="1"/>
      <w:numFmt w:val="decimal"/>
      <w:lvlText w:val="%7."/>
      <w:lvlJc w:val="right"/>
      <w:pPr>
        <w:ind w:left="3500" w:hanging="180"/>
      </w:pPr>
    </w:lvl>
    <w:lvl w:ilvl="7" w:tplc="A544A3F6">
      <w:start w:val="1"/>
      <w:numFmt w:val="decimal"/>
      <w:lvlText w:val="%8."/>
      <w:lvlJc w:val="right"/>
      <w:pPr>
        <w:ind w:left="4000" w:hanging="180"/>
      </w:pPr>
    </w:lvl>
    <w:lvl w:ilvl="8" w:tplc="BF3A8C10">
      <w:start w:val="1"/>
      <w:numFmt w:val="decimal"/>
      <w:lvlText w:val="%9."/>
      <w:lvlJc w:val="right"/>
      <w:pPr>
        <w:ind w:left="4500" w:hanging="180"/>
      </w:pPr>
    </w:lvl>
  </w:abstractNum>
  <w:abstractNum w:abstractNumId="24" w15:restartNumberingAfterBreak="0">
    <w:nsid w:val="410941A6"/>
    <w:multiLevelType w:val="hybridMultilevel"/>
    <w:tmpl w:val="5B227BB6"/>
    <w:name w:val="CPSNumberingScheme"/>
    <w:lvl w:ilvl="0" w:tplc="83A27B0E">
      <w:start w:val="1"/>
      <w:numFmt w:val="decimal"/>
      <w:lvlText w:val="%1."/>
      <w:lvlJc w:val="right"/>
      <w:pPr>
        <w:ind w:left="500" w:hanging="180"/>
      </w:pPr>
    </w:lvl>
    <w:lvl w:ilvl="1" w:tplc="642E9D78">
      <w:start w:val="1"/>
      <w:numFmt w:val="decimal"/>
      <w:lvlText w:val="%2."/>
      <w:lvlJc w:val="right"/>
      <w:pPr>
        <w:ind w:left="1000" w:hanging="180"/>
      </w:pPr>
    </w:lvl>
    <w:lvl w:ilvl="2" w:tplc="B316E9CA">
      <w:start w:val="1"/>
      <w:numFmt w:val="decimal"/>
      <w:lvlText w:val="%3."/>
      <w:lvlJc w:val="right"/>
      <w:pPr>
        <w:ind w:left="1500" w:hanging="180"/>
      </w:pPr>
    </w:lvl>
    <w:lvl w:ilvl="3" w:tplc="919EEA8A">
      <w:start w:val="1"/>
      <w:numFmt w:val="decimal"/>
      <w:lvlText w:val="%4."/>
      <w:lvlJc w:val="right"/>
      <w:pPr>
        <w:ind w:left="2000" w:hanging="180"/>
      </w:pPr>
    </w:lvl>
    <w:lvl w:ilvl="4" w:tplc="722C7ABC">
      <w:start w:val="1"/>
      <w:numFmt w:val="decimal"/>
      <w:lvlText w:val="%5."/>
      <w:lvlJc w:val="right"/>
      <w:pPr>
        <w:ind w:left="2500" w:hanging="180"/>
      </w:pPr>
    </w:lvl>
    <w:lvl w:ilvl="5" w:tplc="114C17CC">
      <w:start w:val="1"/>
      <w:numFmt w:val="decimal"/>
      <w:lvlText w:val="%6."/>
      <w:lvlJc w:val="right"/>
      <w:pPr>
        <w:ind w:left="3000" w:hanging="180"/>
      </w:pPr>
    </w:lvl>
    <w:lvl w:ilvl="6" w:tplc="51802EE6">
      <w:start w:val="1"/>
      <w:numFmt w:val="decimal"/>
      <w:lvlText w:val="%7."/>
      <w:lvlJc w:val="right"/>
      <w:pPr>
        <w:ind w:left="3500" w:hanging="180"/>
      </w:pPr>
    </w:lvl>
    <w:lvl w:ilvl="7" w:tplc="7FCC1C98">
      <w:start w:val="1"/>
      <w:numFmt w:val="decimal"/>
      <w:lvlText w:val="%8."/>
      <w:lvlJc w:val="right"/>
      <w:pPr>
        <w:ind w:left="4000" w:hanging="180"/>
      </w:pPr>
    </w:lvl>
    <w:lvl w:ilvl="8" w:tplc="56B84640">
      <w:start w:val="1"/>
      <w:numFmt w:val="decimal"/>
      <w:lvlText w:val="%9."/>
      <w:lvlJc w:val="right"/>
      <w:pPr>
        <w:ind w:left="4500" w:hanging="180"/>
      </w:pPr>
    </w:lvl>
  </w:abstractNum>
  <w:abstractNum w:abstractNumId="25" w15:restartNumberingAfterBreak="0">
    <w:nsid w:val="44117F4B"/>
    <w:multiLevelType w:val="hybridMultilevel"/>
    <w:tmpl w:val="7976047C"/>
    <w:name w:val="CPSNumberingScheme"/>
    <w:lvl w:ilvl="0" w:tplc="4976B7C6">
      <w:start w:val="1"/>
      <w:numFmt w:val="decimal"/>
      <w:lvlText w:val="%1."/>
      <w:lvlJc w:val="right"/>
      <w:pPr>
        <w:ind w:left="500" w:hanging="180"/>
      </w:pPr>
    </w:lvl>
    <w:lvl w:ilvl="1" w:tplc="DD6E3E56">
      <w:start w:val="1"/>
      <w:numFmt w:val="decimal"/>
      <w:lvlText w:val="%2."/>
      <w:lvlJc w:val="right"/>
      <w:pPr>
        <w:ind w:left="1000" w:hanging="180"/>
      </w:pPr>
    </w:lvl>
    <w:lvl w:ilvl="2" w:tplc="E1CE542C">
      <w:start w:val="1"/>
      <w:numFmt w:val="decimal"/>
      <w:lvlText w:val="%3."/>
      <w:lvlJc w:val="right"/>
      <w:pPr>
        <w:ind w:left="1500" w:hanging="180"/>
      </w:pPr>
    </w:lvl>
    <w:lvl w:ilvl="3" w:tplc="8342EDB4">
      <w:start w:val="1"/>
      <w:numFmt w:val="decimal"/>
      <w:lvlText w:val="%4."/>
      <w:lvlJc w:val="right"/>
      <w:pPr>
        <w:ind w:left="2000" w:hanging="180"/>
      </w:pPr>
    </w:lvl>
    <w:lvl w:ilvl="4" w:tplc="AEDEE74E">
      <w:start w:val="1"/>
      <w:numFmt w:val="decimal"/>
      <w:lvlText w:val="%5."/>
      <w:lvlJc w:val="right"/>
      <w:pPr>
        <w:ind w:left="2500" w:hanging="180"/>
      </w:pPr>
    </w:lvl>
    <w:lvl w:ilvl="5" w:tplc="2CFADCF4">
      <w:start w:val="1"/>
      <w:numFmt w:val="decimal"/>
      <w:lvlText w:val="%6."/>
      <w:lvlJc w:val="right"/>
      <w:pPr>
        <w:ind w:left="3000" w:hanging="180"/>
      </w:pPr>
    </w:lvl>
    <w:lvl w:ilvl="6" w:tplc="18CA684C">
      <w:start w:val="1"/>
      <w:numFmt w:val="decimal"/>
      <w:lvlText w:val="%7."/>
      <w:lvlJc w:val="right"/>
      <w:pPr>
        <w:ind w:left="3500" w:hanging="180"/>
      </w:pPr>
    </w:lvl>
    <w:lvl w:ilvl="7" w:tplc="8FB463B0">
      <w:start w:val="1"/>
      <w:numFmt w:val="decimal"/>
      <w:lvlText w:val="%8."/>
      <w:lvlJc w:val="right"/>
      <w:pPr>
        <w:ind w:left="4000" w:hanging="180"/>
      </w:pPr>
    </w:lvl>
    <w:lvl w:ilvl="8" w:tplc="CD3AD250">
      <w:start w:val="1"/>
      <w:numFmt w:val="decimal"/>
      <w:lvlText w:val="%9."/>
      <w:lvlJc w:val="right"/>
      <w:pPr>
        <w:ind w:left="4500" w:hanging="180"/>
      </w:pPr>
    </w:lvl>
  </w:abstractNum>
  <w:abstractNum w:abstractNumId="26" w15:restartNumberingAfterBreak="0">
    <w:nsid w:val="44A777DF"/>
    <w:multiLevelType w:val="hybridMultilevel"/>
    <w:tmpl w:val="EBF84D7A"/>
    <w:name w:val="CPSNumberingScheme"/>
    <w:lvl w:ilvl="0" w:tplc="D78EEEE6">
      <w:start w:val="1"/>
      <w:numFmt w:val="decimal"/>
      <w:lvlText w:val="%1."/>
      <w:lvlJc w:val="right"/>
      <w:pPr>
        <w:ind w:left="500" w:hanging="180"/>
      </w:pPr>
    </w:lvl>
    <w:lvl w:ilvl="1" w:tplc="87786D64">
      <w:start w:val="1"/>
      <w:numFmt w:val="decimal"/>
      <w:lvlText w:val="%2."/>
      <w:lvlJc w:val="right"/>
      <w:pPr>
        <w:ind w:left="1000" w:hanging="180"/>
      </w:pPr>
    </w:lvl>
    <w:lvl w:ilvl="2" w:tplc="01403F52">
      <w:start w:val="1"/>
      <w:numFmt w:val="decimal"/>
      <w:lvlText w:val="%3."/>
      <w:lvlJc w:val="right"/>
      <w:pPr>
        <w:ind w:left="1500" w:hanging="180"/>
      </w:pPr>
    </w:lvl>
    <w:lvl w:ilvl="3" w:tplc="80606F84">
      <w:start w:val="1"/>
      <w:numFmt w:val="decimal"/>
      <w:lvlText w:val="%4."/>
      <w:lvlJc w:val="right"/>
      <w:pPr>
        <w:ind w:left="2000" w:hanging="180"/>
      </w:pPr>
    </w:lvl>
    <w:lvl w:ilvl="4" w:tplc="AB8CC612">
      <w:start w:val="1"/>
      <w:numFmt w:val="decimal"/>
      <w:lvlText w:val="%5."/>
      <w:lvlJc w:val="right"/>
      <w:pPr>
        <w:ind w:left="2500" w:hanging="180"/>
      </w:pPr>
    </w:lvl>
    <w:lvl w:ilvl="5" w:tplc="404AAAD4">
      <w:start w:val="1"/>
      <w:numFmt w:val="decimal"/>
      <w:lvlText w:val="%6."/>
      <w:lvlJc w:val="right"/>
      <w:pPr>
        <w:ind w:left="3000" w:hanging="180"/>
      </w:pPr>
    </w:lvl>
    <w:lvl w:ilvl="6" w:tplc="F16A22FA">
      <w:start w:val="1"/>
      <w:numFmt w:val="decimal"/>
      <w:lvlText w:val="%7."/>
      <w:lvlJc w:val="right"/>
      <w:pPr>
        <w:ind w:left="3500" w:hanging="180"/>
      </w:pPr>
    </w:lvl>
    <w:lvl w:ilvl="7" w:tplc="5BB0EACC">
      <w:start w:val="1"/>
      <w:numFmt w:val="decimal"/>
      <w:lvlText w:val="%8."/>
      <w:lvlJc w:val="right"/>
      <w:pPr>
        <w:ind w:left="4000" w:hanging="180"/>
      </w:pPr>
    </w:lvl>
    <w:lvl w:ilvl="8" w:tplc="5008A45E">
      <w:start w:val="1"/>
      <w:numFmt w:val="decimal"/>
      <w:lvlText w:val="%9."/>
      <w:lvlJc w:val="right"/>
      <w:pPr>
        <w:ind w:left="4500" w:hanging="180"/>
      </w:pPr>
    </w:lvl>
  </w:abstractNum>
  <w:abstractNum w:abstractNumId="27" w15:restartNumberingAfterBreak="0">
    <w:nsid w:val="458D758F"/>
    <w:multiLevelType w:val="hybridMultilevel"/>
    <w:tmpl w:val="9BF461AC"/>
    <w:name w:val="CPSNumberingScheme"/>
    <w:lvl w:ilvl="0" w:tplc="7D70D244">
      <w:start w:val="1"/>
      <w:numFmt w:val="decimal"/>
      <w:lvlText w:val="%1."/>
      <w:lvlJc w:val="right"/>
      <w:pPr>
        <w:ind w:left="500" w:hanging="180"/>
      </w:pPr>
    </w:lvl>
    <w:lvl w:ilvl="1" w:tplc="EFF414A6">
      <w:start w:val="1"/>
      <w:numFmt w:val="decimal"/>
      <w:lvlText w:val="%2."/>
      <w:lvlJc w:val="right"/>
      <w:pPr>
        <w:ind w:left="1000" w:hanging="180"/>
      </w:pPr>
    </w:lvl>
    <w:lvl w:ilvl="2" w:tplc="6DCED98A">
      <w:start w:val="1"/>
      <w:numFmt w:val="decimal"/>
      <w:lvlText w:val="%3."/>
      <w:lvlJc w:val="right"/>
      <w:pPr>
        <w:ind w:left="1500" w:hanging="180"/>
      </w:pPr>
    </w:lvl>
    <w:lvl w:ilvl="3" w:tplc="18060072">
      <w:start w:val="1"/>
      <w:numFmt w:val="decimal"/>
      <w:lvlText w:val="%4."/>
      <w:lvlJc w:val="right"/>
      <w:pPr>
        <w:ind w:left="2000" w:hanging="180"/>
      </w:pPr>
    </w:lvl>
    <w:lvl w:ilvl="4" w:tplc="549A0FC8">
      <w:start w:val="1"/>
      <w:numFmt w:val="decimal"/>
      <w:lvlText w:val="%5."/>
      <w:lvlJc w:val="right"/>
      <w:pPr>
        <w:ind w:left="2500" w:hanging="180"/>
      </w:pPr>
    </w:lvl>
    <w:lvl w:ilvl="5" w:tplc="E8D4CCDE">
      <w:start w:val="1"/>
      <w:numFmt w:val="decimal"/>
      <w:lvlText w:val="%6."/>
      <w:lvlJc w:val="right"/>
      <w:pPr>
        <w:ind w:left="3000" w:hanging="180"/>
      </w:pPr>
    </w:lvl>
    <w:lvl w:ilvl="6" w:tplc="E4342B04">
      <w:start w:val="1"/>
      <w:numFmt w:val="decimal"/>
      <w:lvlText w:val="%7."/>
      <w:lvlJc w:val="right"/>
      <w:pPr>
        <w:ind w:left="3500" w:hanging="180"/>
      </w:pPr>
    </w:lvl>
    <w:lvl w:ilvl="7" w:tplc="A1326444">
      <w:start w:val="1"/>
      <w:numFmt w:val="decimal"/>
      <w:lvlText w:val="%8."/>
      <w:lvlJc w:val="right"/>
      <w:pPr>
        <w:ind w:left="4000" w:hanging="180"/>
      </w:pPr>
    </w:lvl>
    <w:lvl w:ilvl="8" w:tplc="E610741E">
      <w:start w:val="1"/>
      <w:numFmt w:val="decimal"/>
      <w:lvlText w:val="%9."/>
      <w:lvlJc w:val="right"/>
      <w:pPr>
        <w:ind w:left="4500" w:hanging="180"/>
      </w:pPr>
    </w:lvl>
  </w:abstractNum>
  <w:abstractNum w:abstractNumId="28" w15:restartNumberingAfterBreak="0">
    <w:nsid w:val="4822728B"/>
    <w:multiLevelType w:val="hybridMultilevel"/>
    <w:tmpl w:val="F9EA4052"/>
    <w:name w:val="CPSNumberingScheme"/>
    <w:lvl w:ilvl="0" w:tplc="EF32FCA6">
      <w:start w:val="1"/>
      <w:numFmt w:val="decimal"/>
      <w:lvlText w:val="%1."/>
      <w:lvlJc w:val="right"/>
      <w:pPr>
        <w:ind w:left="500" w:hanging="180"/>
      </w:pPr>
    </w:lvl>
    <w:lvl w:ilvl="1" w:tplc="1AE41BB0">
      <w:start w:val="1"/>
      <w:numFmt w:val="decimal"/>
      <w:lvlText w:val="%2."/>
      <w:lvlJc w:val="right"/>
      <w:pPr>
        <w:ind w:left="1000" w:hanging="180"/>
      </w:pPr>
    </w:lvl>
    <w:lvl w:ilvl="2" w:tplc="98F2EB9C">
      <w:start w:val="1"/>
      <w:numFmt w:val="decimal"/>
      <w:lvlText w:val="%3."/>
      <w:lvlJc w:val="right"/>
      <w:pPr>
        <w:ind w:left="1500" w:hanging="180"/>
      </w:pPr>
    </w:lvl>
    <w:lvl w:ilvl="3" w:tplc="3D1022A2">
      <w:start w:val="1"/>
      <w:numFmt w:val="decimal"/>
      <w:lvlText w:val="%4."/>
      <w:lvlJc w:val="right"/>
      <w:pPr>
        <w:ind w:left="2000" w:hanging="180"/>
      </w:pPr>
    </w:lvl>
    <w:lvl w:ilvl="4" w:tplc="0A88592C">
      <w:start w:val="1"/>
      <w:numFmt w:val="decimal"/>
      <w:lvlText w:val="%5."/>
      <w:lvlJc w:val="right"/>
      <w:pPr>
        <w:ind w:left="2500" w:hanging="180"/>
      </w:pPr>
    </w:lvl>
    <w:lvl w:ilvl="5" w:tplc="49C80308">
      <w:start w:val="1"/>
      <w:numFmt w:val="decimal"/>
      <w:lvlText w:val="%6."/>
      <w:lvlJc w:val="right"/>
      <w:pPr>
        <w:ind w:left="3000" w:hanging="180"/>
      </w:pPr>
    </w:lvl>
    <w:lvl w:ilvl="6" w:tplc="9AD679E2">
      <w:start w:val="1"/>
      <w:numFmt w:val="decimal"/>
      <w:lvlText w:val="%7."/>
      <w:lvlJc w:val="right"/>
      <w:pPr>
        <w:ind w:left="3500" w:hanging="180"/>
      </w:pPr>
    </w:lvl>
    <w:lvl w:ilvl="7" w:tplc="678259E6">
      <w:start w:val="1"/>
      <w:numFmt w:val="decimal"/>
      <w:lvlText w:val="%8."/>
      <w:lvlJc w:val="right"/>
      <w:pPr>
        <w:ind w:left="4000" w:hanging="180"/>
      </w:pPr>
    </w:lvl>
    <w:lvl w:ilvl="8" w:tplc="281E6930">
      <w:start w:val="1"/>
      <w:numFmt w:val="decimal"/>
      <w:lvlText w:val="%9."/>
      <w:lvlJc w:val="right"/>
      <w:pPr>
        <w:ind w:left="4500" w:hanging="180"/>
      </w:pPr>
    </w:lvl>
  </w:abstractNum>
  <w:abstractNum w:abstractNumId="29" w15:restartNumberingAfterBreak="0">
    <w:nsid w:val="49772C74"/>
    <w:multiLevelType w:val="hybridMultilevel"/>
    <w:tmpl w:val="27FE93D2"/>
    <w:name w:val="CPSNumberingScheme"/>
    <w:lvl w:ilvl="0" w:tplc="49CA61F8">
      <w:start w:val="1"/>
      <w:numFmt w:val="decimal"/>
      <w:lvlText w:val="%1."/>
      <w:lvlJc w:val="right"/>
      <w:pPr>
        <w:ind w:left="500" w:hanging="180"/>
      </w:pPr>
    </w:lvl>
    <w:lvl w:ilvl="1" w:tplc="C6F2C462">
      <w:start w:val="1"/>
      <w:numFmt w:val="decimal"/>
      <w:lvlText w:val="%2."/>
      <w:lvlJc w:val="right"/>
      <w:pPr>
        <w:ind w:left="1000" w:hanging="180"/>
      </w:pPr>
    </w:lvl>
    <w:lvl w:ilvl="2" w:tplc="61E4DB04">
      <w:start w:val="1"/>
      <w:numFmt w:val="decimal"/>
      <w:lvlText w:val="%3."/>
      <w:lvlJc w:val="right"/>
      <w:pPr>
        <w:ind w:left="1500" w:hanging="180"/>
      </w:pPr>
    </w:lvl>
    <w:lvl w:ilvl="3" w:tplc="A4E465F2">
      <w:start w:val="1"/>
      <w:numFmt w:val="decimal"/>
      <w:lvlText w:val="%4."/>
      <w:lvlJc w:val="right"/>
      <w:pPr>
        <w:ind w:left="2000" w:hanging="180"/>
      </w:pPr>
    </w:lvl>
    <w:lvl w:ilvl="4" w:tplc="55FE6C40">
      <w:start w:val="1"/>
      <w:numFmt w:val="decimal"/>
      <w:lvlText w:val="%5."/>
      <w:lvlJc w:val="right"/>
      <w:pPr>
        <w:ind w:left="2500" w:hanging="180"/>
      </w:pPr>
    </w:lvl>
    <w:lvl w:ilvl="5" w:tplc="2ECEFC74">
      <w:start w:val="1"/>
      <w:numFmt w:val="decimal"/>
      <w:lvlText w:val="%6."/>
      <w:lvlJc w:val="right"/>
      <w:pPr>
        <w:ind w:left="3000" w:hanging="180"/>
      </w:pPr>
    </w:lvl>
    <w:lvl w:ilvl="6" w:tplc="BA04A578">
      <w:start w:val="1"/>
      <w:numFmt w:val="decimal"/>
      <w:lvlText w:val="%7."/>
      <w:lvlJc w:val="right"/>
      <w:pPr>
        <w:ind w:left="3500" w:hanging="180"/>
      </w:pPr>
    </w:lvl>
    <w:lvl w:ilvl="7" w:tplc="54E6772C">
      <w:start w:val="1"/>
      <w:numFmt w:val="decimal"/>
      <w:lvlText w:val="%8."/>
      <w:lvlJc w:val="right"/>
      <w:pPr>
        <w:ind w:left="4000" w:hanging="180"/>
      </w:pPr>
    </w:lvl>
    <w:lvl w:ilvl="8" w:tplc="504A7832">
      <w:start w:val="1"/>
      <w:numFmt w:val="decimal"/>
      <w:lvlText w:val="%9."/>
      <w:lvlJc w:val="right"/>
      <w:pPr>
        <w:ind w:left="4500" w:hanging="180"/>
      </w:pPr>
    </w:lvl>
  </w:abstractNum>
  <w:abstractNum w:abstractNumId="30" w15:restartNumberingAfterBreak="0">
    <w:nsid w:val="49C43136"/>
    <w:multiLevelType w:val="hybridMultilevel"/>
    <w:tmpl w:val="425081B4"/>
    <w:name w:val="CPSNumberingScheme"/>
    <w:lvl w:ilvl="0" w:tplc="630A068A">
      <w:start w:val="1"/>
      <w:numFmt w:val="decimal"/>
      <w:lvlText w:val="%1."/>
      <w:lvlJc w:val="right"/>
      <w:pPr>
        <w:ind w:left="500" w:hanging="180"/>
      </w:pPr>
    </w:lvl>
    <w:lvl w:ilvl="1" w:tplc="1D186F04">
      <w:start w:val="1"/>
      <w:numFmt w:val="decimal"/>
      <w:lvlText w:val="%2."/>
      <w:lvlJc w:val="right"/>
      <w:pPr>
        <w:ind w:left="1000" w:hanging="180"/>
      </w:pPr>
    </w:lvl>
    <w:lvl w:ilvl="2" w:tplc="626C3BA0">
      <w:start w:val="1"/>
      <w:numFmt w:val="decimal"/>
      <w:lvlText w:val="%3."/>
      <w:lvlJc w:val="right"/>
      <w:pPr>
        <w:ind w:left="1500" w:hanging="180"/>
      </w:pPr>
    </w:lvl>
    <w:lvl w:ilvl="3" w:tplc="C5304F12">
      <w:start w:val="1"/>
      <w:numFmt w:val="decimal"/>
      <w:lvlText w:val="%4."/>
      <w:lvlJc w:val="right"/>
      <w:pPr>
        <w:ind w:left="2000" w:hanging="180"/>
      </w:pPr>
    </w:lvl>
    <w:lvl w:ilvl="4" w:tplc="EC923658">
      <w:start w:val="1"/>
      <w:numFmt w:val="decimal"/>
      <w:lvlText w:val="%5."/>
      <w:lvlJc w:val="right"/>
      <w:pPr>
        <w:ind w:left="2500" w:hanging="180"/>
      </w:pPr>
    </w:lvl>
    <w:lvl w:ilvl="5" w:tplc="2DF0A1B6">
      <w:start w:val="1"/>
      <w:numFmt w:val="decimal"/>
      <w:lvlText w:val="%6."/>
      <w:lvlJc w:val="right"/>
      <w:pPr>
        <w:ind w:left="3000" w:hanging="180"/>
      </w:pPr>
    </w:lvl>
    <w:lvl w:ilvl="6" w:tplc="3D44D9B6">
      <w:start w:val="1"/>
      <w:numFmt w:val="decimal"/>
      <w:lvlText w:val="%7."/>
      <w:lvlJc w:val="right"/>
      <w:pPr>
        <w:ind w:left="3500" w:hanging="180"/>
      </w:pPr>
    </w:lvl>
    <w:lvl w:ilvl="7" w:tplc="D9D8DC88">
      <w:start w:val="1"/>
      <w:numFmt w:val="decimal"/>
      <w:lvlText w:val="%8."/>
      <w:lvlJc w:val="right"/>
      <w:pPr>
        <w:ind w:left="4000" w:hanging="180"/>
      </w:pPr>
    </w:lvl>
    <w:lvl w:ilvl="8" w:tplc="0F32701E">
      <w:start w:val="1"/>
      <w:numFmt w:val="decimal"/>
      <w:lvlText w:val="%9."/>
      <w:lvlJc w:val="right"/>
      <w:pPr>
        <w:ind w:left="4500" w:hanging="180"/>
      </w:pPr>
    </w:lvl>
  </w:abstractNum>
  <w:abstractNum w:abstractNumId="31" w15:restartNumberingAfterBreak="0">
    <w:nsid w:val="49E33DB1"/>
    <w:multiLevelType w:val="hybridMultilevel"/>
    <w:tmpl w:val="E9D658DA"/>
    <w:name w:val="CPSNumberingScheme"/>
    <w:lvl w:ilvl="0" w:tplc="F6FE1C0A">
      <w:start w:val="1"/>
      <w:numFmt w:val="decimal"/>
      <w:lvlText w:val="%1."/>
      <w:lvlJc w:val="right"/>
      <w:pPr>
        <w:ind w:left="500" w:hanging="180"/>
      </w:pPr>
    </w:lvl>
    <w:lvl w:ilvl="1" w:tplc="0166FF1E">
      <w:start w:val="1"/>
      <w:numFmt w:val="decimal"/>
      <w:lvlText w:val="%2."/>
      <w:lvlJc w:val="right"/>
      <w:pPr>
        <w:ind w:left="1000" w:hanging="180"/>
      </w:pPr>
    </w:lvl>
    <w:lvl w:ilvl="2" w:tplc="E73EECFE">
      <w:start w:val="1"/>
      <w:numFmt w:val="decimal"/>
      <w:lvlText w:val="%3."/>
      <w:lvlJc w:val="right"/>
      <w:pPr>
        <w:ind w:left="1500" w:hanging="180"/>
      </w:pPr>
    </w:lvl>
    <w:lvl w:ilvl="3" w:tplc="922061DE">
      <w:start w:val="1"/>
      <w:numFmt w:val="decimal"/>
      <w:lvlText w:val="%4."/>
      <w:lvlJc w:val="right"/>
      <w:pPr>
        <w:ind w:left="2000" w:hanging="180"/>
      </w:pPr>
    </w:lvl>
    <w:lvl w:ilvl="4" w:tplc="20329C4A">
      <w:start w:val="1"/>
      <w:numFmt w:val="decimal"/>
      <w:lvlText w:val="%5."/>
      <w:lvlJc w:val="right"/>
      <w:pPr>
        <w:ind w:left="2500" w:hanging="180"/>
      </w:pPr>
    </w:lvl>
    <w:lvl w:ilvl="5" w:tplc="5BA8A73E">
      <w:start w:val="1"/>
      <w:numFmt w:val="decimal"/>
      <w:lvlText w:val="%6."/>
      <w:lvlJc w:val="right"/>
      <w:pPr>
        <w:ind w:left="3000" w:hanging="180"/>
      </w:pPr>
    </w:lvl>
    <w:lvl w:ilvl="6" w:tplc="76365B30">
      <w:start w:val="1"/>
      <w:numFmt w:val="decimal"/>
      <w:lvlText w:val="%7."/>
      <w:lvlJc w:val="right"/>
      <w:pPr>
        <w:ind w:left="3500" w:hanging="180"/>
      </w:pPr>
    </w:lvl>
    <w:lvl w:ilvl="7" w:tplc="CA5CC786">
      <w:start w:val="1"/>
      <w:numFmt w:val="decimal"/>
      <w:lvlText w:val="%8."/>
      <w:lvlJc w:val="right"/>
      <w:pPr>
        <w:ind w:left="4000" w:hanging="180"/>
      </w:pPr>
    </w:lvl>
    <w:lvl w:ilvl="8" w:tplc="080C3326">
      <w:start w:val="1"/>
      <w:numFmt w:val="decimal"/>
      <w:lvlText w:val="%9."/>
      <w:lvlJc w:val="right"/>
      <w:pPr>
        <w:ind w:left="4500" w:hanging="180"/>
      </w:pPr>
    </w:lvl>
  </w:abstractNum>
  <w:abstractNum w:abstractNumId="32" w15:restartNumberingAfterBreak="0">
    <w:nsid w:val="4DC42EC9"/>
    <w:multiLevelType w:val="hybridMultilevel"/>
    <w:tmpl w:val="117C11CA"/>
    <w:name w:val="CPSNumberingScheme"/>
    <w:lvl w:ilvl="0" w:tplc="BD8C33E6">
      <w:start w:val="1"/>
      <w:numFmt w:val="decimal"/>
      <w:lvlText w:val="%1."/>
      <w:lvlJc w:val="right"/>
      <w:pPr>
        <w:ind w:left="500" w:hanging="180"/>
      </w:pPr>
    </w:lvl>
    <w:lvl w:ilvl="1" w:tplc="68EA713C">
      <w:start w:val="1"/>
      <w:numFmt w:val="decimal"/>
      <w:lvlText w:val="%2."/>
      <w:lvlJc w:val="right"/>
      <w:pPr>
        <w:ind w:left="1000" w:hanging="180"/>
      </w:pPr>
    </w:lvl>
    <w:lvl w:ilvl="2" w:tplc="A84AA472">
      <w:start w:val="1"/>
      <w:numFmt w:val="decimal"/>
      <w:lvlText w:val="%3."/>
      <w:lvlJc w:val="right"/>
      <w:pPr>
        <w:ind w:left="1500" w:hanging="180"/>
      </w:pPr>
    </w:lvl>
    <w:lvl w:ilvl="3" w:tplc="22E4078E">
      <w:start w:val="1"/>
      <w:numFmt w:val="decimal"/>
      <w:lvlText w:val="%4."/>
      <w:lvlJc w:val="right"/>
      <w:pPr>
        <w:ind w:left="2000" w:hanging="180"/>
      </w:pPr>
    </w:lvl>
    <w:lvl w:ilvl="4" w:tplc="3162F69C">
      <w:start w:val="1"/>
      <w:numFmt w:val="decimal"/>
      <w:lvlText w:val="%5."/>
      <w:lvlJc w:val="right"/>
      <w:pPr>
        <w:ind w:left="2500" w:hanging="180"/>
      </w:pPr>
    </w:lvl>
    <w:lvl w:ilvl="5" w:tplc="7B12D070">
      <w:start w:val="1"/>
      <w:numFmt w:val="decimal"/>
      <w:lvlText w:val="%6."/>
      <w:lvlJc w:val="right"/>
      <w:pPr>
        <w:ind w:left="3000" w:hanging="180"/>
      </w:pPr>
    </w:lvl>
    <w:lvl w:ilvl="6" w:tplc="09A0B77A">
      <w:start w:val="1"/>
      <w:numFmt w:val="decimal"/>
      <w:lvlText w:val="%7."/>
      <w:lvlJc w:val="right"/>
      <w:pPr>
        <w:ind w:left="3500" w:hanging="180"/>
      </w:pPr>
    </w:lvl>
    <w:lvl w:ilvl="7" w:tplc="403ED9E4">
      <w:start w:val="1"/>
      <w:numFmt w:val="decimal"/>
      <w:lvlText w:val="%8."/>
      <w:lvlJc w:val="right"/>
      <w:pPr>
        <w:ind w:left="4000" w:hanging="180"/>
      </w:pPr>
    </w:lvl>
    <w:lvl w:ilvl="8" w:tplc="97809014">
      <w:start w:val="1"/>
      <w:numFmt w:val="decimal"/>
      <w:lvlText w:val="%9."/>
      <w:lvlJc w:val="right"/>
      <w:pPr>
        <w:ind w:left="4500" w:hanging="180"/>
      </w:pPr>
    </w:lvl>
  </w:abstractNum>
  <w:abstractNum w:abstractNumId="33" w15:restartNumberingAfterBreak="0">
    <w:nsid w:val="520D0683"/>
    <w:multiLevelType w:val="multilevel"/>
    <w:tmpl w:val="FB92D0E6"/>
    <w:lvl w:ilvl="0">
      <w:start w:val="1"/>
      <w:numFmt w:val="decimal"/>
      <w:pStyle w:val="NumberParagraph"/>
      <w:lvlText w:val="%1."/>
      <w:lvlJc w:val="left"/>
      <w:pPr>
        <w:ind w:left="717"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2F72434"/>
    <w:multiLevelType w:val="hybridMultilevel"/>
    <w:tmpl w:val="374CCEAC"/>
    <w:name w:val="CPSNumberingScheme"/>
    <w:lvl w:ilvl="0" w:tplc="11868DDA">
      <w:start w:val="1"/>
      <w:numFmt w:val="decimal"/>
      <w:lvlText w:val="%1."/>
      <w:lvlJc w:val="right"/>
      <w:pPr>
        <w:ind w:left="500" w:hanging="180"/>
      </w:pPr>
    </w:lvl>
    <w:lvl w:ilvl="1" w:tplc="83A02B76">
      <w:start w:val="1"/>
      <w:numFmt w:val="decimal"/>
      <w:lvlText w:val="%2."/>
      <w:lvlJc w:val="right"/>
      <w:pPr>
        <w:ind w:left="1000" w:hanging="180"/>
      </w:pPr>
    </w:lvl>
    <w:lvl w:ilvl="2" w:tplc="D9701A62">
      <w:start w:val="1"/>
      <w:numFmt w:val="decimal"/>
      <w:lvlText w:val="%3."/>
      <w:lvlJc w:val="right"/>
      <w:pPr>
        <w:ind w:left="1500" w:hanging="180"/>
      </w:pPr>
    </w:lvl>
    <w:lvl w:ilvl="3" w:tplc="A5426CE0">
      <w:start w:val="1"/>
      <w:numFmt w:val="decimal"/>
      <w:lvlText w:val="%4."/>
      <w:lvlJc w:val="right"/>
      <w:pPr>
        <w:ind w:left="2000" w:hanging="180"/>
      </w:pPr>
    </w:lvl>
    <w:lvl w:ilvl="4" w:tplc="2690BA1A">
      <w:start w:val="1"/>
      <w:numFmt w:val="decimal"/>
      <w:lvlText w:val="%5."/>
      <w:lvlJc w:val="right"/>
      <w:pPr>
        <w:ind w:left="2500" w:hanging="180"/>
      </w:pPr>
    </w:lvl>
    <w:lvl w:ilvl="5" w:tplc="068A3824">
      <w:start w:val="1"/>
      <w:numFmt w:val="decimal"/>
      <w:lvlText w:val="%6."/>
      <w:lvlJc w:val="right"/>
      <w:pPr>
        <w:ind w:left="3000" w:hanging="180"/>
      </w:pPr>
    </w:lvl>
    <w:lvl w:ilvl="6" w:tplc="158273CC">
      <w:start w:val="1"/>
      <w:numFmt w:val="decimal"/>
      <w:lvlText w:val="%7."/>
      <w:lvlJc w:val="right"/>
      <w:pPr>
        <w:ind w:left="3500" w:hanging="180"/>
      </w:pPr>
    </w:lvl>
    <w:lvl w:ilvl="7" w:tplc="E97483BA">
      <w:start w:val="1"/>
      <w:numFmt w:val="decimal"/>
      <w:lvlText w:val="%8."/>
      <w:lvlJc w:val="right"/>
      <w:pPr>
        <w:ind w:left="4000" w:hanging="180"/>
      </w:pPr>
    </w:lvl>
    <w:lvl w:ilvl="8" w:tplc="07386A38">
      <w:start w:val="1"/>
      <w:numFmt w:val="decimal"/>
      <w:lvlText w:val="%9."/>
      <w:lvlJc w:val="right"/>
      <w:pPr>
        <w:ind w:left="4500" w:hanging="180"/>
      </w:pPr>
    </w:lvl>
  </w:abstractNum>
  <w:abstractNum w:abstractNumId="35" w15:restartNumberingAfterBreak="0">
    <w:nsid w:val="5BBC0CD5"/>
    <w:multiLevelType w:val="hybridMultilevel"/>
    <w:tmpl w:val="D0C6DE5C"/>
    <w:name w:val="CPSNumberingScheme"/>
    <w:lvl w:ilvl="0" w:tplc="EB2EE4CE">
      <w:start w:val="1"/>
      <w:numFmt w:val="decimal"/>
      <w:lvlText w:val="%1."/>
      <w:lvlJc w:val="right"/>
      <w:pPr>
        <w:ind w:left="500" w:hanging="180"/>
      </w:pPr>
    </w:lvl>
    <w:lvl w:ilvl="1" w:tplc="776ABF2C">
      <w:start w:val="1"/>
      <w:numFmt w:val="decimal"/>
      <w:lvlText w:val="%2."/>
      <w:lvlJc w:val="right"/>
      <w:pPr>
        <w:ind w:left="1000" w:hanging="180"/>
      </w:pPr>
    </w:lvl>
    <w:lvl w:ilvl="2" w:tplc="8E6EBBDC">
      <w:start w:val="1"/>
      <w:numFmt w:val="decimal"/>
      <w:lvlText w:val="%3."/>
      <w:lvlJc w:val="right"/>
      <w:pPr>
        <w:ind w:left="1500" w:hanging="180"/>
      </w:pPr>
    </w:lvl>
    <w:lvl w:ilvl="3" w:tplc="6534DB26">
      <w:start w:val="1"/>
      <w:numFmt w:val="decimal"/>
      <w:lvlText w:val="%4."/>
      <w:lvlJc w:val="right"/>
      <w:pPr>
        <w:ind w:left="2000" w:hanging="180"/>
      </w:pPr>
    </w:lvl>
    <w:lvl w:ilvl="4" w:tplc="CA9EA082">
      <w:start w:val="1"/>
      <w:numFmt w:val="decimal"/>
      <w:lvlText w:val="%5."/>
      <w:lvlJc w:val="right"/>
      <w:pPr>
        <w:ind w:left="2500" w:hanging="180"/>
      </w:pPr>
    </w:lvl>
    <w:lvl w:ilvl="5" w:tplc="29A648A0">
      <w:start w:val="1"/>
      <w:numFmt w:val="decimal"/>
      <w:lvlText w:val="%6."/>
      <w:lvlJc w:val="right"/>
      <w:pPr>
        <w:ind w:left="3000" w:hanging="180"/>
      </w:pPr>
    </w:lvl>
    <w:lvl w:ilvl="6" w:tplc="8812A11A">
      <w:start w:val="1"/>
      <w:numFmt w:val="decimal"/>
      <w:lvlText w:val="%7."/>
      <w:lvlJc w:val="right"/>
      <w:pPr>
        <w:ind w:left="3500" w:hanging="180"/>
      </w:pPr>
    </w:lvl>
    <w:lvl w:ilvl="7" w:tplc="CCE635C6">
      <w:start w:val="1"/>
      <w:numFmt w:val="decimal"/>
      <w:lvlText w:val="%8."/>
      <w:lvlJc w:val="right"/>
      <w:pPr>
        <w:ind w:left="4000" w:hanging="180"/>
      </w:pPr>
    </w:lvl>
    <w:lvl w:ilvl="8" w:tplc="68EC94B6">
      <w:start w:val="1"/>
      <w:numFmt w:val="decimal"/>
      <w:lvlText w:val="%9."/>
      <w:lvlJc w:val="right"/>
      <w:pPr>
        <w:ind w:left="4500" w:hanging="180"/>
      </w:pPr>
    </w:lvl>
  </w:abstractNum>
  <w:abstractNum w:abstractNumId="36" w15:restartNumberingAfterBreak="0">
    <w:nsid w:val="5BCE43A7"/>
    <w:multiLevelType w:val="hybridMultilevel"/>
    <w:tmpl w:val="3B965502"/>
    <w:name w:val="CPSNumberingScheme"/>
    <w:lvl w:ilvl="0" w:tplc="9C92161A">
      <w:start w:val="1"/>
      <w:numFmt w:val="decimal"/>
      <w:lvlText w:val="%1."/>
      <w:lvlJc w:val="right"/>
      <w:pPr>
        <w:ind w:left="500" w:hanging="180"/>
      </w:pPr>
    </w:lvl>
    <w:lvl w:ilvl="1" w:tplc="33D4BFAA">
      <w:start w:val="1"/>
      <w:numFmt w:val="decimal"/>
      <w:lvlText w:val="%2."/>
      <w:lvlJc w:val="right"/>
      <w:pPr>
        <w:ind w:left="1000" w:hanging="180"/>
      </w:pPr>
    </w:lvl>
    <w:lvl w:ilvl="2" w:tplc="7138F22A">
      <w:start w:val="1"/>
      <w:numFmt w:val="decimal"/>
      <w:lvlText w:val="%3."/>
      <w:lvlJc w:val="right"/>
      <w:pPr>
        <w:ind w:left="1500" w:hanging="180"/>
      </w:pPr>
    </w:lvl>
    <w:lvl w:ilvl="3" w:tplc="D3BA2D82">
      <w:start w:val="1"/>
      <w:numFmt w:val="decimal"/>
      <w:lvlText w:val="%4."/>
      <w:lvlJc w:val="right"/>
      <w:pPr>
        <w:ind w:left="2000" w:hanging="180"/>
      </w:pPr>
    </w:lvl>
    <w:lvl w:ilvl="4" w:tplc="1DC46172">
      <w:start w:val="1"/>
      <w:numFmt w:val="decimal"/>
      <w:lvlText w:val="%5."/>
      <w:lvlJc w:val="right"/>
      <w:pPr>
        <w:ind w:left="2500" w:hanging="180"/>
      </w:pPr>
    </w:lvl>
    <w:lvl w:ilvl="5" w:tplc="BE4CFBB4">
      <w:start w:val="1"/>
      <w:numFmt w:val="decimal"/>
      <w:lvlText w:val="%6."/>
      <w:lvlJc w:val="right"/>
      <w:pPr>
        <w:ind w:left="3000" w:hanging="180"/>
      </w:pPr>
    </w:lvl>
    <w:lvl w:ilvl="6" w:tplc="CB2AA5E0">
      <w:start w:val="1"/>
      <w:numFmt w:val="decimal"/>
      <w:lvlText w:val="%7."/>
      <w:lvlJc w:val="right"/>
      <w:pPr>
        <w:ind w:left="3500" w:hanging="180"/>
      </w:pPr>
    </w:lvl>
    <w:lvl w:ilvl="7" w:tplc="0D944C12">
      <w:start w:val="1"/>
      <w:numFmt w:val="decimal"/>
      <w:lvlText w:val="%8."/>
      <w:lvlJc w:val="right"/>
      <w:pPr>
        <w:ind w:left="4000" w:hanging="180"/>
      </w:pPr>
    </w:lvl>
    <w:lvl w:ilvl="8" w:tplc="A40498BE">
      <w:start w:val="1"/>
      <w:numFmt w:val="decimal"/>
      <w:lvlText w:val="%9."/>
      <w:lvlJc w:val="right"/>
      <w:pPr>
        <w:ind w:left="4500" w:hanging="180"/>
      </w:pPr>
    </w:lvl>
  </w:abstractNum>
  <w:abstractNum w:abstractNumId="37" w15:restartNumberingAfterBreak="0">
    <w:nsid w:val="5DCF0E67"/>
    <w:multiLevelType w:val="hybridMultilevel"/>
    <w:tmpl w:val="90E41A3E"/>
    <w:name w:val="CPSNumberingScheme"/>
    <w:lvl w:ilvl="0" w:tplc="1B7E0F46">
      <w:start w:val="1"/>
      <w:numFmt w:val="decimal"/>
      <w:lvlText w:val="%1."/>
      <w:lvlJc w:val="right"/>
      <w:pPr>
        <w:ind w:left="500" w:hanging="180"/>
      </w:pPr>
    </w:lvl>
    <w:lvl w:ilvl="1" w:tplc="6B620CFC">
      <w:start w:val="1"/>
      <w:numFmt w:val="decimal"/>
      <w:lvlText w:val="%2."/>
      <w:lvlJc w:val="right"/>
      <w:pPr>
        <w:ind w:left="1000" w:hanging="180"/>
      </w:pPr>
    </w:lvl>
    <w:lvl w:ilvl="2" w:tplc="757ED178">
      <w:start w:val="1"/>
      <w:numFmt w:val="decimal"/>
      <w:lvlText w:val="%3."/>
      <w:lvlJc w:val="right"/>
      <w:pPr>
        <w:ind w:left="1500" w:hanging="180"/>
      </w:pPr>
    </w:lvl>
    <w:lvl w:ilvl="3" w:tplc="9632971C">
      <w:start w:val="1"/>
      <w:numFmt w:val="decimal"/>
      <w:lvlText w:val="%4."/>
      <w:lvlJc w:val="right"/>
      <w:pPr>
        <w:ind w:left="2000" w:hanging="180"/>
      </w:pPr>
    </w:lvl>
    <w:lvl w:ilvl="4" w:tplc="74C04E0E">
      <w:start w:val="1"/>
      <w:numFmt w:val="decimal"/>
      <w:lvlText w:val="%5."/>
      <w:lvlJc w:val="right"/>
      <w:pPr>
        <w:ind w:left="2500" w:hanging="180"/>
      </w:pPr>
    </w:lvl>
    <w:lvl w:ilvl="5" w:tplc="DC6CDE06">
      <w:start w:val="1"/>
      <w:numFmt w:val="decimal"/>
      <w:lvlText w:val="%6."/>
      <w:lvlJc w:val="right"/>
      <w:pPr>
        <w:ind w:left="3000" w:hanging="180"/>
      </w:pPr>
    </w:lvl>
    <w:lvl w:ilvl="6" w:tplc="24F2AE3A">
      <w:start w:val="1"/>
      <w:numFmt w:val="decimal"/>
      <w:lvlText w:val="%7."/>
      <w:lvlJc w:val="right"/>
      <w:pPr>
        <w:ind w:left="3500" w:hanging="180"/>
      </w:pPr>
    </w:lvl>
    <w:lvl w:ilvl="7" w:tplc="9396848E">
      <w:start w:val="1"/>
      <w:numFmt w:val="decimal"/>
      <w:lvlText w:val="%8."/>
      <w:lvlJc w:val="right"/>
      <w:pPr>
        <w:ind w:left="4000" w:hanging="180"/>
      </w:pPr>
    </w:lvl>
    <w:lvl w:ilvl="8" w:tplc="A1AE3F40">
      <w:start w:val="1"/>
      <w:numFmt w:val="decimal"/>
      <w:lvlText w:val="%9."/>
      <w:lvlJc w:val="right"/>
      <w:pPr>
        <w:ind w:left="4500" w:hanging="180"/>
      </w:pPr>
    </w:lvl>
  </w:abstractNum>
  <w:abstractNum w:abstractNumId="38" w15:restartNumberingAfterBreak="0">
    <w:nsid w:val="5DE146EF"/>
    <w:multiLevelType w:val="hybridMultilevel"/>
    <w:tmpl w:val="1A92C702"/>
    <w:name w:val="CPSNumberingScheme"/>
    <w:lvl w:ilvl="0" w:tplc="4C28F626">
      <w:start w:val="1"/>
      <w:numFmt w:val="decimal"/>
      <w:lvlText w:val="%1."/>
      <w:lvlJc w:val="right"/>
      <w:pPr>
        <w:ind w:left="500" w:hanging="180"/>
      </w:pPr>
    </w:lvl>
    <w:lvl w:ilvl="1" w:tplc="B330E570">
      <w:start w:val="1"/>
      <w:numFmt w:val="decimal"/>
      <w:lvlText w:val="%2."/>
      <w:lvlJc w:val="right"/>
      <w:pPr>
        <w:ind w:left="1000" w:hanging="180"/>
      </w:pPr>
    </w:lvl>
    <w:lvl w:ilvl="2" w:tplc="A03E0CD4">
      <w:start w:val="1"/>
      <w:numFmt w:val="decimal"/>
      <w:lvlText w:val="%3."/>
      <w:lvlJc w:val="right"/>
      <w:pPr>
        <w:ind w:left="1500" w:hanging="180"/>
      </w:pPr>
    </w:lvl>
    <w:lvl w:ilvl="3" w:tplc="5D0AA0D4">
      <w:start w:val="1"/>
      <w:numFmt w:val="decimal"/>
      <w:lvlText w:val="%4."/>
      <w:lvlJc w:val="right"/>
      <w:pPr>
        <w:ind w:left="2000" w:hanging="180"/>
      </w:pPr>
    </w:lvl>
    <w:lvl w:ilvl="4" w:tplc="74987632">
      <w:start w:val="1"/>
      <w:numFmt w:val="decimal"/>
      <w:lvlText w:val="%5."/>
      <w:lvlJc w:val="right"/>
      <w:pPr>
        <w:ind w:left="2500" w:hanging="180"/>
      </w:pPr>
    </w:lvl>
    <w:lvl w:ilvl="5" w:tplc="F278A0D6">
      <w:start w:val="1"/>
      <w:numFmt w:val="decimal"/>
      <w:lvlText w:val="%6."/>
      <w:lvlJc w:val="right"/>
      <w:pPr>
        <w:ind w:left="3000" w:hanging="180"/>
      </w:pPr>
    </w:lvl>
    <w:lvl w:ilvl="6" w:tplc="A802D81E">
      <w:start w:val="1"/>
      <w:numFmt w:val="decimal"/>
      <w:lvlText w:val="%7."/>
      <w:lvlJc w:val="right"/>
      <w:pPr>
        <w:ind w:left="3500" w:hanging="180"/>
      </w:pPr>
    </w:lvl>
    <w:lvl w:ilvl="7" w:tplc="7B9A41C4">
      <w:start w:val="1"/>
      <w:numFmt w:val="decimal"/>
      <w:lvlText w:val="%8."/>
      <w:lvlJc w:val="right"/>
      <w:pPr>
        <w:ind w:left="4000" w:hanging="180"/>
      </w:pPr>
    </w:lvl>
    <w:lvl w:ilvl="8" w:tplc="914ED958">
      <w:start w:val="1"/>
      <w:numFmt w:val="decimal"/>
      <w:lvlText w:val="%9."/>
      <w:lvlJc w:val="right"/>
      <w:pPr>
        <w:ind w:left="4500" w:hanging="180"/>
      </w:pPr>
    </w:lvl>
  </w:abstractNum>
  <w:abstractNum w:abstractNumId="39" w15:restartNumberingAfterBreak="0">
    <w:nsid w:val="5E622F82"/>
    <w:multiLevelType w:val="hybridMultilevel"/>
    <w:tmpl w:val="81DA1660"/>
    <w:name w:val="CPSNumberingScheme"/>
    <w:lvl w:ilvl="0" w:tplc="A6C41DB8">
      <w:start w:val="1"/>
      <w:numFmt w:val="decimal"/>
      <w:lvlText w:val="%1."/>
      <w:lvlJc w:val="right"/>
      <w:pPr>
        <w:ind w:left="500" w:hanging="180"/>
      </w:pPr>
    </w:lvl>
    <w:lvl w:ilvl="1" w:tplc="7D14C4C4">
      <w:start w:val="1"/>
      <w:numFmt w:val="decimal"/>
      <w:lvlText w:val="%2."/>
      <w:lvlJc w:val="right"/>
      <w:pPr>
        <w:ind w:left="1000" w:hanging="180"/>
      </w:pPr>
    </w:lvl>
    <w:lvl w:ilvl="2" w:tplc="050E6372">
      <w:start w:val="1"/>
      <w:numFmt w:val="decimal"/>
      <w:lvlText w:val="%3."/>
      <w:lvlJc w:val="right"/>
      <w:pPr>
        <w:ind w:left="1500" w:hanging="180"/>
      </w:pPr>
    </w:lvl>
    <w:lvl w:ilvl="3" w:tplc="7744EB40">
      <w:start w:val="1"/>
      <w:numFmt w:val="decimal"/>
      <w:lvlText w:val="%4."/>
      <w:lvlJc w:val="right"/>
      <w:pPr>
        <w:ind w:left="2000" w:hanging="180"/>
      </w:pPr>
    </w:lvl>
    <w:lvl w:ilvl="4" w:tplc="BC94128E">
      <w:start w:val="1"/>
      <w:numFmt w:val="decimal"/>
      <w:lvlText w:val="%5."/>
      <w:lvlJc w:val="right"/>
      <w:pPr>
        <w:ind w:left="2500" w:hanging="180"/>
      </w:pPr>
    </w:lvl>
    <w:lvl w:ilvl="5" w:tplc="27D208BC">
      <w:start w:val="1"/>
      <w:numFmt w:val="decimal"/>
      <w:lvlText w:val="%6."/>
      <w:lvlJc w:val="right"/>
      <w:pPr>
        <w:ind w:left="3000" w:hanging="180"/>
      </w:pPr>
    </w:lvl>
    <w:lvl w:ilvl="6" w:tplc="7C927F64">
      <w:start w:val="1"/>
      <w:numFmt w:val="decimal"/>
      <w:lvlText w:val="%7."/>
      <w:lvlJc w:val="right"/>
      <w:pPr>
        <w:ind w:left="3500" w:hanging="180"/>
      </w:pPr>
    </w:lvl>
    <w:lvl w:ilvl="7" w:tplc="A790D26C">
      <w:start w:val="1"/>
      <w:numFmt w:val="decimal"/>
      <w:lvlText w:val="%8."/>
      <w:lvlJc w:val="right"/>
      <w:pPr>
        <w:ind w:left="4000" w:hanging="180"/>
      </w:pPr>
    </w:lvl>
    <w:lvl w:ilvl="8" w:tplc="361C21A6">
      <w:start w:val="1"/>
      <w:numFmt w:val="decimal"/>
      <w:lvlText w:val="%9."/>
      <w:lvlJc w:val="right"/>
      <w:pPr>
        <w:ind w:left="4500" w:hanging="180"/>
      </w:pPr>
    </w:lvl>
  </w:abstractNum>
  <w:abstractNum w:abstractNumId="40" w15:restartNumberingAfterBreak="0">
    <w:nsid w:val="5FE06A82"/>
    <w:multiLevelType w:val="hybridMultilevel"/>
    <w:tmpl w:val="95DC9E04"/>
    <w:name w:val="CPSNumberingScheme"/>
    <w:lvl w:ilvl="0" w:tplc="9D787CCA">
      <w:start w:val="1"/>
      <w:numFmt w:val="decimal"/>
      <w:lvlText w:val="%1."/>
      <w:lvlJc w:val="right"/>
      <w:pPr>
        <w:ind w:left="500" w:hanging="180"/>
      </w:pPr>
    </w:lvl>
    <w:lvl w:ilvl="1" w:tplc="CD78F6E0">
      <w:start w:val="1"/>
      <w:numFmt w:val="decimal"/>
      <w:lvlText w:val="%2."/>
      <w:lvlJc w:val="right"/>
      <w:pPr>
        <w:ind w:left="1000" w:hanging="180"/>
      </w:pPr>
    </w:lvl>
    <w:lvl w:ilvl="2" w:tplc="936AAC70">
      <w:start w:val="1"/>
      <w:numFmt w:val="decimal"/>
      <w:lvlText w:val="%3."/>
      <w:lvlJc w:val="right"/>
      <w:pPr>
        <w:ind w:left="1500" w:hanging="180"/>
      </w:pPr>
    </w:lvl>
    <w:lvl w:ilvl="3" w:tplc="D2E64D8C">
      <w:start w:val="1"/>
      <w:numFmt w:val="decimal"/>
      <w:lvlText w:val="%4."/>
      <w:lvlJc w:val="right"/>
      <w:pPr>
        <w:ind w:left="2000" w:hanging="180"/>
      </w:pPr>
    </w:lvl>
    <w:lvl w:ilvl="4" w:tplc="65D62C80">
      <w:start w:val="1"/>
      <w:numFmt w:val="decimal"/>
      <w:lvlText w:val="%5."/>
      <w:lvlJc w:val="right"/>
      <w:pPr>
        <w:ind w:left="2500" w:hanging="180"/>
      </w:pPr>
    </w:lvl>
    <w:lvl w:ilvl="5" w:tplc="B0F8B1EA">
      <w:start w:val="1"/>
      <w:numFmt w:val="decimal"/>
      <w:lvlText w:val="%6."/>
      <w:lvlJc w:val="right"/>
      <w:pPr>
        <w:ind w:left="3000" w:hanging="180"/>
      </w:pPr>
    </w:lvl>
    <w:lvl w:ilvl="6" w:tplc="05528F8A">
      <w:start w:val="1"/>
      <w:numFmt w:val="decimal"/>
      <w:lvlText w:val="%7."/>
      <w:lvlJc w:val="right"/>
      <w:pPr>
        <w:ind w:left="3500" w:hanging="180"/>
      </w:pPr>
    </w:lvl>
    <w:lvl w:ilvl="7" w:tplc="1E9CA330">
      <w:start w:val="1"/>
      <w:numFmt w:val="decimal"/>
      <w:lvlText w:val="%8."/>
      <w:lvlJc w:val="right"/>
      <w:pPr>
        <w:ind w:left="4000" w:hanging="180"/>
      </w:pPr>
    </w:lvl>
    <w:lvl w:ilvl="8" w:tplc="ECCE57D0">
      <w:start w:val="1"/>
      <w:numFmt w:val="decimal"/>
      <w:lvlText w:val="%9."/>
      <w:lvlJc w:val="right"/>
      <w:pPr>
        <w:ind w:left="4500" w:hanging="180"/>
      </w:pPr>
    </w:lvl>
  </w:abstractNum>
  <w:abstractNum w:abstractNumId="41" w15:restartNumberingAfterBreak="0">
    <w:nsid w:val="63C96B41"/>
    <w:multiLevelType w:val="hybridMultilevel"/>
    <w:tmpl w:val="F03CB196"/>
    <w:name w:val="CPSNumberingScheme"/>
    <w:lvl w:ilvl="0" w:tplc="75E2EA54">
      <w:start w:val="1"/>
      <w:numFmt w:val="decimal"/>
      <w:lvlText w:val="%1."/>
      <w:lvlJc w:val="right"/>
      <w:pPr>
        <w:ind w:left="500" w:hanging="180"/>
      </w:pPr>
    </w:lvl>
    <w:lvl w:ilvl="1" w:tplc="455EB348">
      <w:start w:val="1"/>
      <w:numFmt w:val="decimal"/>
      <w:lvlText w:val="%2."/>
      <w:lvlJc w:val="right"/>
      <w:pPr>
        <w:ind w:left="1000" w:hanging="180"/>
      </w:pPr>
    </w:lvl>
    <w:lvl w:ilvl="2" w:tplc="6AE8C614">
      <w:start w:val="1"/>
      <w:numFmt w:val="decimal"/>
      <w:lvlText w:val="%3."/>
      <w:lvlJc w:val="right"/>
      <w:pPr>
        <w:ind w:left="1500" w:hanging="180"/>
      </w:pPr>
    </w:lvl>
    <w:lvl w:ilvl="3" w:tplc="AA5C225C">
      <w:start w:val="1"/>
      <w:numFmt w:val="decimal"/>
      <w:lvlText w:val="%4."/>
      <w:lvlJc w:val="right"/>
      <w:pPr>
        <w:ind w:left="2000" w:hanging="180"/>
      </w:pPr>
    </w:lvl>
    <w:lvl w:ilvl="4" w:tplc="86829058">
      <w:start w:val="1"/>
      <w:numFmt w:val="decimal"/>
      <w:lvlText w:val="%5."/>
      <w:lvlJc w:val="right"/>
      <w:pPr>
        <w:ind w:left="2500" w:hanging="180"/>
      </w:pPr>
    </w:lvl>
    <w:lvl w:ilvl="5" w:tplc="E46A46CC">
      <w:start w:val="1"/>
      <w:numFmt w:val="decimal"/>
      <w:lvlText w:val="%6."/>
      <w:lvlJc w:val="right"/>
      <w:pPr>
        <w:ind w:left="3000" w:hanging="180"/>
      </w:pPr>
    </w:lvl>
    <w:lvl w:ilvl="6" w:tplc="8AF6874C">
      <w:start w:val="1"/>
      <w:numFmt w:val="decimal"/>
      <w:lvlText w:val="%7."/>
      <w:lvlJc w:val="right"/>
      <w:pPr>
        <w:ind w:left="3500" w:hanging="180"/>
      </w:pPr>
    </w:lvl>
    <w:lvl w:ilvl="7" w:tplc="EBA82728">
      <w:start w:val="1"/>
      <w:numFmt w:val="decimal"/>
      <w:lvlText w:val="%8."/>
      <w:lvlJc w:val="right"/>
      <w:pPr>
        <w:ind w:left="4000" w:hanging="180"/>
      </w:pPr>
    </w:lvl>
    <w:lvl w:ilvl="8" w:tplc="B23C2D48">
      <w:start w:val="1"/>
      <w:numFmt w:val="decimal"/>
      <w:lvlText w:val="%9."/>
      <w:lvlJc w:val="right"/>
      <w:pPr>
        <w:ind w:left="4500" w:hanging="180"/>
      </w:pPr>
    </w:lvl>
  </w:abstractNum>
  <w:abstractNum w:abstractNumId="42" w15:restartNumberingAfterBreak="0">
    <w:nsid w:val="65D32C79"/>
    <w:multiLevelType w:val="hybridMultilevel"/>
    <w:tmpl w:val="B0066CEC"/>
    <w:name w:val="CPSNumberingScheme"/>
    <w:lvl w:ilvl="0" w:tplc="19CACAF2">
      <w:start w:val="1"/>
      <w:numFmt w:val="decimal"/>
      <w:lvlText w:val="%1."/>
      <w:lvlJc w:val="right"/>
      <w:pPr>
        <w:ind w:left="500" w:hanging="180"/>
      </w:pPr>
    </w:lvl>
    <w:lvl w:ilvl="1" w:tplc="51161404">
      <w:start w:val="1"/>
      <w:numFmt w:val="decimal"/>
      <w:lvlText w:val="%2."/>
      <w:lvlJc w:val="right"/>
      <w:pPr>
        <w:ind w:left="1000" w:hanging="180"/>
      </w:pPr>
    </w:lvl>
    <w:lvl w:ilvl="2" w:tplc="5FB05060">
      <w:start w:val="1"/>
      <w:numFmt w:val="decimal"/>
      <w:lvlText w:val="%3."/>
      <w:lvlJc w:val="right"/>
      <w:pPr>
        <w:ind w:left="1500" w:hanging="180"/>
      </w:pPr>
    </w:lvl>
    <w:lvl w:ilvl="3" w:tplc="D2AEE5C4">
      <w:start w:val="1"/>
      <w:numFmt w:val="decimal"/>
      <w:lvlText w:val="%4."/>
      <w:lvlJc w:val="right"/>
      <w:pPr>
        <w:ind w:left="2000" w:hanging="180"/>
      </w:pPr>
    </w:lvl>
    <w:lvl w:ilvl="4" w:tplc="1E24C2F2">
      <w:start w:val="1"/>
      <w:numFmt w:val="decimal"/>
      <w:lvlText w:val="%5."/>
      <w:lvlJc w:val="right"/>
      <w:pPr>
        <w:ind w:left="2500" w:hanging="180"/>
      </w:pPr>
    </w:lvl>
    <w:lvl w:ilvl="5" w:tplc="55506088">
      <w:start w:val="1"/>
      <w:numFmt w:val="decimal"/>
      <w:lvlText w:val="%6."/>
      <w:lvlJc w:val="right"/>
      <w:pPr>
        <w:ind w:left="3000" w:hanging="180"/>
      </w:pPr>
    </w:lvl>
    <w:lvl w:ilvl="6" w:tplc="C23E4D46">
      <w:start w:val="1"/>
      <w:numFmt w:val="decimal"/>
      <w:lvlText w:val="%7."/>
      <w:lvlJc w:val="right"/>
      <w:pPr>
        <w:ind w:left="3500" w:hanging="180"/>
      </w:pPr>
    </w:lvl>
    <w:lvl w:ilvl="7" w:tplc="0CFED358">
      <w:start w:val="1"/>
      <w:numFmt w:val="decimal"/>
      <w:lvlText w:val="%8."/>
      <w:lvlJc w:val="right"/>
      <w:pPr>
        <w:ind w:left="4000" w:hanging="180"/>
      </w:pPr>
    </w:lvl>
    <w:lvl w:ilvl="8" w:tplc="950204F6">
      <w:start w:val="1"/>
      <w:numFmt w:val="decimal"/>
      <w:lvlText w:val="%9."/>
      <w:lvlJc w:val="right"/>
      <w:pPr>
        <w:ind w:left="4500" w:hanging="180"/>
      </w:pPr>
    </w:lvl>
  </w:abstractNum>
  <w:abstractNum w:abstractNumId="43" w15:restartNumberingAfterBreak="0">
    <w:nsid w:val="67241042"/>
    <w:multiLevelType w:val="hybridMultilevel"/>
    <w:tmpl w:val="DA7C6056"/>
    <w:name w:val="CPSNumberingScheme"/>
    <w:lvl w:ilvl="0" w:tplc="24229EF4">
      <w:start w:val="1"/>
      <w:numFmt w:val="decimal"/>
      <w:lvlText w:val="%1."/>
      <w:lvlJc w:val="right"/>
      <w:pPr>
        <w:ind w:left="500" w:hanging="180"/>
      </w:pPr>
    </w:lvl>
    <w:lvl w:ilvl="1" w:tplc="9DEE3CB6">
      <w:start w:val="1"/>
      <w:numFmt w:val="decimal"/>
      <w:lvlText w:val="%2."/>
      <w:lvlJc w:val="right"/>
      <w:pPr>
        <w:ind w:left="1000" w:hanging="180"/>
      </w:pPr>
    </w:lvl>
    <w:lvl w:ilvl="2" w:tplc="837499A8">
      <w:start w:val="1"/>
      <w:numFmt w:val="decimal"/>
      <w:lvlText w:val="%3."/>
      <w:lvlJc w:val="right"/>
      <w:pPr>
        <w:ind w:left="1500" w:hanging="180"/>
      </w:pPr>
    </w:lvl>
    <w:lvl w:ilvl="3" w:tplc="2F90ED6C">
      <w:start w:val="1"/>
      <w:numFmt w:val="decimal"/>
      <w:lvlText w:val="%4."/>
      <w:lvlJc w:val="right"/>
      <w:pPr>
        <w:ind w:left="2000" w:hanging="180"/>
      </w:pPr>
    </w:lvl>
    <w:lvl w:ilvl="4" w:tplc="D01A2510">
      <w:start w:val="1"/>
      <w:numFmt w:val="decimal"/>
      <w:lvlText w:val="%5."/>
      <w:lvlJc w:val="right"/>
      <w:pPr>
        <w:ind w:left="2500" w:hanging="180"/>
      </w:pPr>
    </w:lvl>
    <w:lvl w:ilvl="5" w:tplc="62442BE4">
      <w:start w:val="1"/>
      <w:numFmt w:val="decimal"/>
      <w:lvlText w:val="%6."/>
      <w:lvlJc w:val="right"/>
      <w:pPr>
        <w:ind w:left="3000" w:hanging="180"/>
      </w:pPr>
    </w:lvl>
    <w:lvl w:ilvl="6" w:tplc="3AFA18B4">
      <w:start w:val="1"/>
      <w:numFmt w:val="decimal"/>
      <w:lvlText w:val="%7."/>
      <w:lvlJc w:val="right"/>
      <w:pPr>
        <w:ind w:left="3500" w:hanging="180"/>
      </w:pPr>
    </w:lvl>
    <w:lvl w:ilvl="7" w:tplc="2C32D12E">
      <w:start w:val="1"/>
      <w:numFmt w:val="decimal"/>
      <w:lvlText w:val="%8."/>
      <w:lvlJc w:val="right"/>
      <w:pPr>
        <w:ind w:left="4000" w:hanging="180"/>
      </w:pPr>
    </w:lvl>
    <w:lvl w:ilvl="8" w:tplc="8222FAFA">
      <w:start w:val="1"/>
      <w:numFmt w:val="decimal"/>
      <w:lvlText w:val="%9."/>
      <w:lvlJc w:val="right"/>
      <w:pPr>
        <w:ind w:left="4500" w:hanging="180"/>
      </w:pPr>
    </w:lvl>
  </w:abstractNum>
  <w:abstractNum w:abstractNumId="44" w15:restartNumberingAfterBreak="0">
    <w:nsid w:val="6AA04D00"/>
    <w:multiLevelType w:val="hybridMultilevel"/>
    <w:tmpl w:val="6958C6F4"/>
    <w:name w:val="CPSNumberingScheme"/>
    <w:lvl w:ilvl="0" w:tplc="395E3ACE">
      <w:start w:val="1"/>
      <w:numFmt w:val="decimal"/>
      <w:lvlText w:val="%1."/>
      <w:lvlJc w:val="right"/>
      <w:pPr>
        <w:ind w:left="500" w:hanging="180"/>
      </w:pPr>
    </w:lvl>
    <w:lvl w:ilvl="1" w:tplc="65F830D6">
      <w:start w:val="1"/>
      <w:numFmt w:val="decimal"/>
      <w:lvlText w:val="%2."/>
      <w:lvlJc w:val="right"/>
      <w:pPr>
        <w:ind w:left="1000" w:hanging="180"/>
      </w:pPr>
    </w:lvl>
    <w:lvl w:ilvl="2" w:tplc="D07480B4">
      <w:start w:val="1"/>
      <w:numFmt w:val="decimal"/>
      <w:lvlText w:val="%3."/>
      <w:lvlJc w:val="right"/>
      <w:pPr>
        <w:ind w:left="1500" w:hanging="180"/>
      </w:pPr>
    </w:lvl>
    <w:lvl w:ilvl="3" w:tplc="0E7020D6">
      <w:start w:val="1"/>
      <w:numFmt w:val="decimal"/>
      <w:lvlText w:val="%4."/>
      <w:lvlJc w:val="right"/>
      <w:pPr>
        <w:ind w:left="2000" w:hanging="180"/>
      </w:pPr>
    </w:lvl>
    <w:lvl w:ilvl="4" w:tplc="13A06554">
      <w:start w:val="1"/>
      <w:numFmt w:val="decimal"/>
      <w:lvlText w:val="%5."/>
      <w:lvlJc w:val="right"/>
      <w:pPr>
        <w:ind w:left="2500" w:hanging="180"/>
      </w:pPr>
    </w:lvl>
    <w:lvl w:ilvl="5" w:tplc="E7565788">
      <w:start w:val="1"/>
      <w:numFmt w:val="decimal"/>
      <w:lvlText w:val="%6."/>
      <w:lvlJc w:val="right"/>
      <w:pPr>
        <w:ind w:left="3000" w:hanging="180"/>
      </w:pPr>
    </w:lvl>
    <w:lvl w:ilvl="6" w:tplc="97FC38E8">
      <w:start w:val="1"/>
      <w:numFmt w:val="decimal"/>
      <w:lvlText w:val="%7."/>
      <w:lvlJc w:val="right"/>
      <w:pPr>
        <w:ind w:left="3500" w:hanging="180"/>
      </w:pPr>
    </w:lvl>
    <w:lvl w:ilvl="7" w:tplc="97C04858">
      <w:start w:val="1"/>
      <w:numFmt w:val="decimal"/>
      <w:lvlText w:val="%8."/>
      <w:lvlJc w:val="right"/>
      <w:pPr>
        <w:ind w:left="4000" w:hanging="180"/>
      </w:pPr>
    </w:lvl>
    <w:lvl w:ilvl="8" w:tplc="E9EA7CEE">
      <w:start w:val="1"/>
      <w:numFmt w:val="decimal"/>
      <w:lvlText w:val="%9."/>
      <w:lvlJc w:val="right"/>
      <w:pPr>
        <w:ind w:left="4500" w:hanging="180"/>
      </w:pPr>
    </w:lvl>
  </w:abstractNum>
  <w:abstractNum w:abstractNumId="45" w15:restartNumberingAfterBreak="0">
    <w:nsid w:val="6E30667C"/>
    <w:multiLevelType w:val="hybridMultilevel"/>
    <w:tmpl w:val="D5E415D4"/>
    <w:name w:val="CPSNumberingScheme"/>
    <w:lvl w:ilvl="0" w:tplc="B4EAF53C">
      <w:start w:val="1"/>
      <w:numFmt w:val="decimal"/>
      <w:lvlText w:val="%1."/>
      <w:lvlJc w:val="right"/>
      <w:pPr>
        <w:ind w:left="500" w:hanging="180"/>
      </w:pPr>
    </w:lvl>
    <w:lvl w:ilvl="1" w:tplc="8C0EA0D6">
      <w:start w:val="1"/>
      <w:numFmt w:val="decimal"/>
      <w:lvlText w:val="%2."/>
      <w:lvlJc w:val="right"/>
      <w:pPr>
        <w:ind w:left="1000" w:hanging="180"/>
      </w:pPr>
    </w:lvl>
    <w:lvl w:ilvl="2" w:tplc="B58AE68E">
      <w:start w:val="1"/>
      <w:numFmt w:val="decimal"/>
      <w:lvlText w:val="%3."/>
      <w:lvlJc w:val="right"/>
      <w:pPr>
        <w:ind w:left="1500" w:hanging="180"/>
      </w:pPr>
    </w:lvl>
    <w:lvl w:ilvl="3" w:tplc="7E5E8442">
      <w:start w:val="1"/>
      <w:numFmt w:val="decimal"/>
      <w:lvlText w:val="%4."/>
      <w:lvlJc w:val="right"/>
      <w:pPr>
        <w:ind w:left="2000" w:hanging="180"/>
      </w:pPr>
    </w:lvl>
    <w:lvl w:ilvl="4" w:tplc="70EC8BEA">
      <w:start w:val="1"/>
      <w:numFmt w:val="decimal"/>
      <w:lvlText w:val="%5."/>
      <w:lvlJc w:val="right"/>
      <w:pPr>
        <w:ind w:left="2500" w:hanging="180"/>
      </w:pPr>
    </w:lvl>
    <w:lvl w:ilvl="5" w:tplc="2BA605A4">
      <w:start w:val="1"/>
      <w:numFmt w:val="decimal"/>
      <w:lvlText w:val="%6."/>
      <w:lvlJc w:val="right"/>
      <w:pPr>
        <w:ind w:left="3000" w:hanging="180"/>
      </w:pPr>
    </w:lvl>
    <w:lvl w:ilvl="6" w:tplc="BB08C46A">
      <w:start w:val="1"/>
      <w:numFmt w:val="decimal"/>
      <w:lvlText w:val="%7."/>
      <w:lvlJc w:val="right"/>
      <w:pPr>
        <w:ind w:left="3500" w:hanging="180"/>
      </w:pPr>
    </w:lvl>
    <w:lvl w:ilvl="7" w:tplc="95AED58C">
      <w:start w:val="1"/>
      <w:numFmt w:val="decimal"/>
      <w:lvlText w:val="%8."/>
      <w:lvlJc w:val="right"/>
      <w:pPr>
        <w:ind w:left="4000" w:hanging="180"/>
      </w:pPr>
    </w:lvl>
    <w:lvl w:ilvl="8" w:tplc="0274613E">
      <w:start w:val="1"/>
      <w:numFmt w:val="decimal"/>
      <w:lvlText w:val="%9."/>
      <w:lvlJc w:val="right"/>
      <w:pPr>
        <w:ind w:left="4500" w:hanging="180"/>
      </w:pPr>
    </w:lvl>
  </w:abstractNum>
  <w:abstractNum w:abstractNumId="46" w15:restartNumberingAfterBreak="0">
    <w:nsid w:val="6F167785"/>
    <w:multiLevelType w:val="hybridMultilevel"/>
    <w:tmpl w:val="D1121A72"/>
    <w:name w:val="CPSNumberingScheme"/>
    <w:lvl w:ilvl="0" w:tplc="E9982AE8">
      <w:start w:val="1"/>
      <w:numFmt w:val="decimal"/>
      <w:lvlText w:val="%1."/>
      <w:lvlJc w:val="right"/>
      <w:pPr>
        <w:ind w:left="500" w:hanging="180"/>
      </w:pPr>
    </w:lvl>
    <w:lvl w:ilvl="1" w:tplc="90BE4358">
      <w:start w:val="1"/>
      <w:numFmt w:val="decimal"/>
      <w:lvlText w:val="%2."/>
      <w:lvlJc w:val="right"/>
      <w:pPr>
        <w:ind w:left="1000" w:hanging="180"/>
      </w:pPr>
    </w:lvl>
    <w:lvl w:ilvl="2" w:tplc="0C265C4A">
      <w:start w:val="1"/>
      <w:numFmt w:val="decimal"/>
      <w:lvlText w:val="%3."/>
      <w:lvlJc w:val="right"/>
      <w:pPr>
        <w:ind w:left="1500" w:hanging="180"/>
      </w:pPr>
    </w:lvl>
    <w:lvl w:ilvl="3" w:tplc="E26270DE">
      <w:start w:val="1"/>
      <w:numFmt w:val="decimal"/>
      <w:lvlText w:val="%4."/>
      <w:lvlJc w:val="right"/>
      <w:pPr>
        <w:ind w:left="2000" w:hanging="180"/>
      </w:pPr>
    </w:lvl>
    <w:lvl w:ilvl="4" w:tplc="65AA9072">
      <w:start w:val="1"/>
      <w:numFmt w:val="decimal"/>
      <w:lvlText w:val="%5."/>
      <w:lvlJc w:val="right"/>
      <w:pPr>
        <w:ind w:left="2500" w:hanging="180"/>
      </w:pPr>
    </w:lvl>
    <w:lvl w:ilvl="5" w:tplc="0024BCAE">
      <w:start w:val="1"/>
      <w:numFmt w:val="decimal"/>
      <w:lvlText w:val="%6."/>
      <w:lvlJc w:val="right"/>
      <w:pPr>
        <w:ind w:left="3000" w:hanging="180"/>
      </w:pPr>
    </w:lvl>
    <w:lvl w:ilvl="6" w:tplc="F83CA78A">
      <w:start w:val="1"/>
      <w:numFmt w:val="decimal"/>
      <w:lvlText w:val="%7."/>
      <w:lvlJc w:val="right"/>
      <w:pPr>
        <w:ind w:left="3500" w:hanging="180"/>
      </w:pPr>
    </w:lvl>
    <w:lvl w:ilvl="7" w:tplc="DFEC1CE8">
      <w:start w:val="1"/>
      <w:numFmt w:val="decimal"/>
      <w:lvlText w:val="%8."/>
      <w:lvlJc w:val="right"/>
      <w:pPr>
        <w:ind w:left="4000" w:hanging="180"/>
      </w:pPr>
    </w:lvl>
    <w:lvl w:ilvl="8" w:tplc="4E101B5A">
      <w:start w:val="1"/>
      <w:numFmt w:val="decimal"/>
      <w:lvlText w:val="%9."/>
      <w:lvlJc w:val="right"/>
      <w:pPr>
        <w:ind w:left="4500" w:hanging="180"/>
      </w:pPr>
    </w:lvl>
  </w:abstractNum>
  <w:abstractNum w:abstractNumId="47" w15:restartNumberingAfterBreak="0">
    <w:nsid w:val="748B3F17"/>
    <w:multiLevelType w:val="hybridMultilevel"/>
    <w:tmpl w:val="2094214C"/>
    <w:name w:val="CPSNumberingScheme"/>
    <w:lvl w:ilvl="0" w:tplc="B3A2BE78">
      <w:start w:val="1"/>
      <w:numFmt w:val="decimal"/>
      <w:lvlText w:val="%1."/>
      <w:lvlJc w:val="right"/>
      <w:pPr>
        <w:ind w:left="500" w:hanging="180"/>
      </w:pPr>
    </w:lvl>
    <w:lvl w:ilvl="1" w:tplc="A4000B0C">
      <w:start w:val="1"/>
      <w:numFmt w:val="decimal"/>
      <w:lvlText w:val="%2."/>
      <w:lvlJc w:val="right"/>
      <w:pPr>
        <w:ind w:left="1000" w:hanging="180"/>
      </w:pPr>
    </w:lvl>
    <w:lvl w:ilvl="2" w:tplc="0F2E9F76">
      <w:start w:val="1"/>
      <w:numFmt w:val="decimal"/>
      <w:lvlText w:val="%3."/>
      <w:lvlJc w:val="right"/>
      <w:pPr>
        <w:ind w:left="1500" w:hanging="180"/>
      </w:pPr>
    </w:lvl>
    <w:lvl w:ilvl="3" w:tplc="24181662">
      <w:start w:val="1"/>
      <w:numFmt w:val="decimal"/>
      <w:lvlText w:val="%4."/>
      <w:lvlJc w:val="right"/>
      <w:pPr>
        <w:ind w:left="2000" w:hanging="180"/>
      </w:pPr>
    </w:lvl>
    <w:lvl w:ilvl="4" w:tplc="2418F3B6">
      <w:start w:val="1"/>
      <w:numFmt w:val="decimal"/>
      <w:lvlText w:val="%5."/>
      <w:lvlJc w:val="right"/>
      <w:pPr>
        <w:ind w:left="2500" w:hanging="180"/>
      </w:pPr>
    </w:lvl>
    <w:lvl w:ilvl="5" w:tplc="293439BE">
      <w:start w:val="1"/>
      <w:numFmt w:val="decimal"/>
      <w:lvlText w:val="%6."/>
      <w:lvlJc w:val="right"/>
      <w:pPr>
        <w:ind w:left="3000" w:hanging="180"/>
      </w:pPr>
    </w:lvl>
    <w:lvl w:ilvl="6" w:tplc="B7746536">
      <w:start w:val="1"/>
      <w:numFmt w:val="decimal"/>
      <w:lvlText w:val="%7."/>
      <w:lvlJc w:val="right"/>
      <w:pPr>
        <w:ind w:left="3500" w:hanging="180"/>
      </w:pPr>
    </w:lvl>
    <w:lvl w:ilvl="7" w:tplc="45E6EE1E">
      <w:start w:val="1"/>
      <w:numFmt w:val="decimal"/>
      <w:lvlText w:val="%8."/>
      <w:lvlJc w:val="right"/>
      <w:pPr>
        <w:ind w:left="4000" w:hanging="180"/>
      </w:pPr>
    </w:lvl>
    <w:lvl w:ilvl="8" w:tplc="949E0C68">
      <w:start w:val="1"/>
      <w:numFmt w:val="decimal"/>
      <w:lvlText w:val="%9."/>
      <w:lvlJc w:val="right"/>
      <w:pPr>
        <w:ind w:left="4500" w:hanging="180"/>
      </w:pPr>
    </w:lvl>
  </w:abstractNum>
  <w:abstractNum w:abstractNumId="48" w15:restartNumberingAfterBreak="0">
    <w:nsid w:val="74A533FB"/>
    <w:multiLevelType w:val="hybridMultilevel"/>
    <w:tmpl w:val="E81E4846"/>
    <w:name w:val="CPSNumberingScheme"/>
    <w:lvl w:ilvl="0" w:tplc="17BE2A46">
      <w:start w:val="1"/>
      <w:numFmt w:val="decimal"/>
      <w:lvlText w:val="%1."/>
      <w:lvlJc w:val="right"/>
      <w:pPr>
        <w:ind w:left="500" w:hanging="180"/>
      </w:pPr>
    </w:lvl>
    <w:lvl w:ilvl="1" w:tplc="26EA4772">
      <w:start w:val="1"/>
      <w:numFmt w:val="decimal"/>
      <w:lvlText w:val="%2."/>
      <w:lvlJc w:val="right"/>
      <w:pPr>
        <w:ind w:left="1000" w:hanging="180"/>
      </w:pPr>
    </w:lvl>
    <w:lvl w:ilvl="2" w:tplc="73A64184">
      <w:start w:val="1"/>
      <w:numFmt w:val="decimal"/>
      <w:lvlText w:val="%3."/>
      <w:lvlJc w:val="right"/>
      <w:pPr>
        <w:ind w:left="1500" w:hanging="180"/>
      </w:pPr>
    </w:lvl>
    <w:lvl w:ilvl="3" w:tplc="AFD05D86">
      <w:start w:val="1"/>
      <w:numFmt w:val="decimal"/>
      <w:lvlText w:val="%4."/>
      <w:lvlJc w:val="right"/>
      <w:pPr>
        <w:ind w:left="2000" w:hanging="180"/>
      </w:pPr>
    </w:lvl>
    <w:lvl w:ilvl="4" w:tplc="3CC80E6E">
      <w:start w:val="1"/>
      <w:numFmt w:val="decimal"/>
      <w:lvlText w:val="%5."/>
      <w:lvlJc w:val="right"/>
      <w:pPr>
        <w:ind w:left="2500" w:hanging="180"/>
      </w:pPr>
    </w:lvl>
    <w:lvl w:ilvl="5" w:tplc="D354BAD2">
      <w:start w:val="1"/>
      <w:numFmt w:val="decimal"/>
      <w:lvlText w:val="%6."/>
      <w:lvlJc w:val="right"/>
      <w:pPr>
        <w:ind w:left="3000" w:hanging="180"/>
      </w:pPr>
    </w:lvl>
    <w:lvl w:ilvl="6" w:tplc="839434CC">
      <w:start w:val="1"/>
      <w:numFmt w:val="decimal"/>
      <w:lvlText w:val="%7."/>
      <w:lvlJc w:val="right"/>
      <w:pPr>
        <w:ind w:left="3500" w:hanging="180"/>
      </w:pPr>
    </w:lvl>
    <w:lvl w:ilvl="7" w:tplc="BF629958">
      <w:start w:val="1"/>
      <w:numFmt w:val="decimal"/>
      <w:lvlText w:val="%8."/>
      <w:lvlJc w:val="right"/>
      <w:pPr>
        <w:ind w:left="4000" w:hanging="180"/>
      </w:pPr>
    </w:lvl>
    <w:lvl w:ilvl="8" w:tplc="6AC810BE">
      <w:start w:val="1"/>
      <w:numFmt w:val="decimal"/>
      <w:lvlText w:val="%9."/>
      <w:lvlJc w:val="right"/>
      <w:pPr>
        <w:ind w:left="4500" w:hanging="180"/>
      </w:pPr>
    </w:lvl>
  </w:abstractNum>
  <w:abstractNum w:abstractNumId="49" w15:restartNumberingAfterBreak="0">
    <w:nsid w:val="76D230FF"/>
    <w:multiLevelType w:val="hybridMultilevel"/>
    <w:tmpl w:val="ABBAB226"/>
    <w:name w:val="CPSNumberingScheme"/>
    <w:lvl w:ilvl="0" w:tplc="F3AA498E">
      <w:start w:val="1"/>
      <w:numFmt w:val="decimal"/>
      <w:lvlText w:val="%1."/>
      <w:lvlJc w:val="right"/>
      <w:pPr>
        <w:ind w:left="500" w:hanging="180"/>
      </w:pPr>
    </w:lvl>
    <w:lvl w:ilvl="1" w:tplc="1F50BDD0">
      <w:start w:val="1"/>
      <w:numFmt w:val="decimal"/>
      <w:lvlText w:val="%2."/>
      <w:lvlJc w:val="right"/>
      <w:pPr>
        <w:ind w:left="1000" w:hanging="180"/>
      </w:pPr>
    </w:lvl>
    <w:lvl w:ilvl="2" w:tplc="7A3842C6">
      <w:start w:val="1"/>
      <w:numFmt w:val="decimal"/>
      <w:lvlText w:val="%3."/>
      <w:lvlJc w:val="right"/>
      <w:pPr>
        <w:ind w:left="1500" w:hanging="180"/>
      </w:pPr>
    </w:lvl>
    <w:lvl w:ilvl="3" w:tplc="FD4CF51A">
      <w:start w:val="1"/>
      <w:numFmt w:val="decimal"/>
      <w:lvlText w:val="%4."/>
      <w:lvlJc w:val="right"/>
      <w:pPr>
        <w:ind w:left="2000" w:hanging="180"/>
      </w:pPr>
    </w:lvl>
    <w:lvl w:ilvl="4" w:tplc="A2E82FDE">
      <w:start w:val="1"/>
      <w:numFmt w:val="decimal"/>
      <w:lvlText w:val="%5."/>
      <w:lvlJc w:val="right"/>
      <w:pPr>
        <w:ind w:left="2500" w:hanging="180"/>
      </w:pPr>
    </w:lvl>
    <w:lvl w:ilvl="5" w:tplc="AB7C6032">
      <w:start w:val="1"/>
      <w:numFmt w:val="decimal"/>
      <w:lvlText w:val="%6."/>
      <w:lvlJc w:val="right"/>
      <w:pPr>
        <w:ind w:left="3000" w:hanging="180"/>
      </w:pPr>
    </w:lvl>
    <w:lvl w:ilvl="6" w:tplc="B6567544">
      <w:start w:val="1"/>
      <w:numFmt w:val="decimal"/>
      <w:lvlText w:val="%7."/>
      <w:lvlJc w:val="right"/>
      <w:pPr>
        <w:ind w:left="3500" w:hanging="180"/>
      </w:pPr>
    </w:lvl>
    <w:lvl w:ilvl="7" w:tplc="1068E592">
      <w:start w:val="1"/>
      <w:numFmt w:val="decimal"/>
      <w:lvlText w:val="%8."/>
      <w:lvlJc w:val="right"/>
      <w:pPr>
        <w:ind w:left="4000" w:hanging="180"/>
      </w:pPr>
    </w:lvl>
    <w:lvl w:ilvl="8" w:tplc="9B2ED5BE">
      <w:start w:val="1"/>
      <w:numFmt w:val="decimal"/>
      <w:lvlText w:val="%9."/>
      <w:lvlJc w:val="right"/>
      <w:pPr>
        <w:ind w:left="4500" w:hanging="180"/>
      </w:pPr>
    </w:lvl>
  </w:abstractNum>
  <w:abstractNum w:abstractNumId="50" w15:restartNumberingAfterBreak="0">
    <w:nsid w:val="77BF244F"/>
    <w:multiLevelType w:val="hybridMultilevel"/>
    <w:tmpl w:val="23A49BB4"/>
    <w:name w:val="CPSNumberingScheme"/>
    <w:lvl w:ilvl="0" w:tplc="B29C81CC">
      <w:start w:val="1"/>
      <w:numFmt w:val="decimal"/>
      <w:lvlText w:val="%1."/>
      <w:lvlJc w:val="right"/>
      <w:pPr>
        <w:ind w:left="500" w:hanging="180"/>
      </w:pPr>
    </w:lvl>
    <w:lvl w:ilvl="1" w:tplc="E174AF46">
      <w:start w:val="1"/>
      <w:numFmt w:val="decimal"/>
      <w:lvlText w:val="%2."/>
      <w:lvlJc w:val="right"/>
      <w:pPr>
        <w:ind w:left="1000" w:hanging="180"/>
      </w:pPr>
    </w:lvl>
    <w:lvl w:ilvl="2" w:tplc="8E76B486">
      <w:start w:val="1"/>
      <w:numFmt w:val="decimal"/>
      <w:lvlText w:val="%3."/>
      <w:lvlJc w:val="right"/>
      <w:pPr>
        <w:ind w:left="1500" w:hanging="180"/>
      </w:pPr>
    </w:lvl>
    <w:lvl w:ilvl="3" w:tplc="0192BE64">
      <w:start w:val="1"/>
      <w:numFmt w:val="decimal"/>
      <w:lvlText w:val="%4."/>
      <w:lvlJc w:val="right"/>
      <w:pPr>
        <w:ind w:left="2000" w:hanging="180"/>
      </w:pPr>
    </w:lvl>
    <w:lvl w:ilvl="4" w:tplc="9DB479B6">
      <w:start w:val="1"/>
      <w:numFmt w:val="decimal"/>
      <w:lvlText w:val="%5."/>
      <w:lvlJc w:val="right"/>
      <w:pPr>
        <w:ind w:left="2500" w:hanging="180"/>
      </w:pPr>
    </w:lvl>
    <w:lvl w:ilvl="5" w:tplc="A04282A0">
      <w:start w:val="1"/>
      <w:numFmt w:val="decimal"/>
      <w:lvlText w:val="%6."/>
      <w:lvlJc w:val="right"/>
      <w:pPr>
        <w:ind w:left="3000" w:hanging="180"/>
      </w:pPr>
    </w:lvl>
    <w:lvl w:ilvl="6" w:tplc="D4B49CFA">
      <w:start w:val="1"/>
      <w:numFmt w:val="decimal"/>
      <w:lvlText w:val="%7."/>
      <w:lvlJc w:val="right"/>
      <w:pPr>
        <w:ind w:left="3500" w:hanging="180"/>
      </w:pPr>
    </w:lvl>
    <w:lvl w:ilvl="7" w:tplc="A7888BD2">
      <w:start w:val="1"/>
      <w:numFmt w:val="decimal"/>
      <w:lvlText w:val="%8."/>
      <w:lvlJc w:val="right"/>
      <w:pPr>
        <w:ind w:left="4000" w:hanging="180"/>
      </w:pPr>
    </w:lvl>
    <w:lvl w:ilvl="8" w:tplc="8398EF1C">
      <w:start w:val="1"/>
      <w:numFmt w:val="decimal"/>
      <w:lvlText w:val="%9."/>
      <w:lvlJc w:val="right"/>
      <w:pPr>
        <w:ind w:left="4500" w:hanging="180"/>
      </w:pPr>
    </w:lvl>
  </w:abstractNum>
  <w:abstractNum w:abstractNumId="51" w15:restartNumberingAfterBreak="0">
    <w:nsid w:val="7F7459F6"/>
    <w:multiLevelType w:val="hybridMultilevel"/>
    <w:tmpl w:val="09148E8E"/>
    <w:name w:val="CPSNumberingScheme"/>
    <w:lvl w:ilvl="0" w:tplc="44B0A34E">
      <w:start w:val="1"/>
      <w:numFmt w:val="decimal"/>
      <w:lvlText w:val="%1."/>
      <w:lvlJc w:val="right"/>
      <w:pPr>
        <w:ind w:left="500" w:hanging="180"/>
      </w:pPr>
    </w:lvl>
    <w:lvl w:ilvl="1" w:tplc="63681E46">
      <w:start w:val="1"/>
      <w:numFmt w:val="decimal"/>
      <w:lvlText w:val="%2."/>
      <w:lvlJc w:val="right"/>
      <w:pPr>
        <w:ind w:left="1000" w:hanging="180"/>
      </w:pPr>
    </w:lvl>
    <w:lvl w:ilvl="2" w:tplc="E9889C02">
      <w:start w:val="1"/>
      <w:numFmt w:val="decimal"/>
      <w:lvlText w:val="%3."/>
      <w:lvlJc w:val="right"/>
      <w:pPr>
        <w:ind w:left="1500" w:hanging="180"/>
      </w:pPr>
    </w:lvl>
    <w:lvl w:ilvl="3" w:tplc="A39E7DC0">
      <w:start w:val="1"/>
      <w:numFmt w:val="decimal"/>
      <w:lvlText w:val="%4."/>
      <w:lvlJc w:val="right"/>
      <w:pPr>
        <w:ind w:left="2000" w:hanging="180"/>
      </w:pPr>
    </w:lvl>
    <w:lvl w:ilvl="4" w:tplc="D616BE5E">
      <w:start w:val="1"/>
      <w:numFmt w:val="decimal"/>
      <w:lvlText w:val="%5."/>
      <w:lvlJc w:val="right"/>
      <w:pPr>
        <w:ind w:left="2500" w:hanging="180"/>
      </w:pPr>
    </w:lvl>
    <w:lvl w:ilvl="5" w:tplc="9AD440F4">
      <w:start w:val="1"/>
      <w:numFmt w:val="decimal"/>
      <w:lvlText w:val="%6."/>
      <w:lvlJc w:val="right"/>
      <w:pPr>
        <w:ind w:left="3000" w:hanging="180"/>
      </w:pPr>
    </w:lvl>
    <w:lvl w:ilvl="6" w:tplc="3EC6A70E">
      <w:start w:val="1"/>
      <w:numFmt w:val="decimal"/>
      <w:lvlText w:val="%7."/>
      <w:lvlJc w:val="right"/>
      <w:pPr>
        <w:ind w:left="3500" w:hanging="180"/>
      </w:pPr>
    </w:lvl>
    <w:lvl w:ilvl="7" w:tplc="7570D504">
      <w:start w:val="1"/>
      <w:numFmt w:val="decimal"/>
      <w:lvlText w:val="%8."/>
      <w:lvlJc w:val="right"/>
      <w:pPr>
        <w:ind w:left="4000" w:hanging="180"/>
      </w:pPr>
    </w:lvl>
    <w:lvl w:ilvl="8" w:tplc="9B743022">
      <w:start w:val="1"/>
      <w:numFmt w:val="decimal"/>
      <w:lvlText w:val="%9."/>
      <w:lvlJc w:val="right"/>
      <w:pPr>
        <w:ind w:left="4500" w:hanging="180"/>
      </w:pPr>
    </w:lvl>
  </w:abstractNum>
  <w:num w:numId="1" w16cid:durableId="1736472579">
    <w:abstractNumId w:val="5"/>
  </w:num>
  <w:num w:numId="2" w16cid:durableId="2023822699">
    <w:abstractNumId w:val="10"/>
  </w:num>
  <w:num w:numId="3" w16cid:durableId="1387609630">
    <w:abstractNumId w:val="33"/>
  </w:num>
  <w:num w:numId="4" w16cid:durableId="898782258">
    <w:abstractNumId w:val="1"/>
  </w:num>
  <w:num w:numId="5" w16cid:durableId="1048262234">
    <w:abstractNumId w:val="18"/>
  </w:num>
  <w:num w:numId="6" w16cid:durableId="1002469704">
    <w:abstractNumId w:val="44"/>
    <w:lvlOverride w:ilvl="0">
      <w:startOverride w:val="1"/>
      <w:lvl w:ilvl="0" w:tplc="395E3ACE">
        <w:start w:val="1"/>
        <w:numFmt w:val="bullet"/>
        <w:lvlText w:val=""/>
        <w:lvlJc w:val="right"/>
        <w:pPr>
          <w:ind w:left="500" w:hanging="180"/>
        </w:pPr>
        <w:rPr>
          <w:rFonts w:ascii="Symbol" w:hAnsi="Symbol" w:hint="default"/>
        </w:rPr>
      </w:lvl>
    </w:lvlOverride>
    <w:lvlOverride w:ilvl="1">
      <w:startOverride w:val="1"/>
      <w:lvl w:ilvl="1" w:tplc="65F830D6">
        <w:start w:val="1"/>
        <w:numFmt w:val="decimal"/>
        <w:lvlText w:val="%2."/>
        <w:lvlJc w:val="right"/>
        <w:pPr>
          <w:ind w:left="1000" w:hanging="180"/>
        </w:pPr>
      </w:lvl>
    </w:lvlOverride>
    <w:lvlOverride w:ilvl="2">
      <w:startOverride w:val="1"/>
      <w:lvl w:ilvl="2" w:tplc="D07480B4">
        <w:start w:val="1"/>
        <w:numFmt w:val="decimal"/>
        <w:lvlText w:val="%3."/>
        <w:lvlJc w:val="right"/>
        <w:pPr>
          <w:ind w:left="1500" w:hanging="180"/>
        </w:pPr>
      </w:lvl>
    </w:lvlOverride>
    <w:lvlOverride w:ilvl="3">
      <w:startOverride w:val="1"/>
      <w:lvl w:ilvl="3" w:tplc="0E7020D6">
        <w:start w:val="1"/>
        <w:numFmt w:val="decimal"/>
        <w:lvlText w:val="%4."/>
        <w:lvlJc w:val="right"/>
        <w:pPr>
          <w:ind w:left="2000" w:hanging="180"/>
        </w:pPr>
      </w:lvl>
    </w:lvlOverride>
    <w:lvlOverride w:ilvl="4">
      <w:startOverride w:val="1"/>
      <w:lvl w:ilvl="4" w:tplc="13A06554">
        <w:start w:val="1"/>
        <w:numFmt w:val="decimal"/>
        <w:lvlText w:val="%5."/>
        <w:lvlJc w:val="right"/>
        <w:pPr>
          <w:ind w:left="2500" w:hanging="180"/>
        </w:pPr>
      </w:lvl>
    </w:lvlOverride>
    <w:lvlOverride w:ilvl="5">
      <w:startOverride w:val="1"/>
      <w:lvl w:ilvl="5" w:tplc="E7565788">
        <w:start w:val="1"/>
        <w:numFmt w:val="decimal"/>
        <w:lvlText w:val="%6."/>
        <w:lvlJc w:val="right"/>
        <w:pPr>
          <w:ind w:left="3000" w:hanging="180"/>
        </w:pPr>
      </w:lvl>
    </w:lvlOverride>
    <w:lvlOverride w:ilvl="6">
      <w:startOverride w:val="1"/>
      <w:lvl w:ilvl="6" w:tplc="97FC38E8">
        <w:start w:val="1"/>
        <w:numFmt w:val="decimal"/>
        <w:lvlText w:val="%7."/>
        <w:lvlJc w:val="right"/>
        <w:pPr>
          <w:ind w:left="3500" w:hanging="180"/>
        </w:pPr>
      </w:lvl>
    </w:lvlOverride>
    <w:lvlOverride w:ilvl="7">
      <w:startOverride w:val="1"/>
      <w:lvl w:ilvl="7" w:tplc="97C04858">
        <w:start w:val="1"/>
        <w:numFmt w:val="decimal"/>
        <w:lvlText w:val="%8."/>
        <w:lvlJc w:val="right"/>
        <w:pPr>
          <w:ind w:left="4000" w:hanging="180"/>
        </w:pPr>
      </w:lvl>
    </w:lvlOverride>
    <w:lvlOverride w:ilvl="8">
      <w:startOverride w:val="1"/>
      <w:lvl w:ilvl="8" w:tplc="E9EA7CEE">
        <w:start w:val="1"/>
        <w:numFmt w:val="decimal"/>
        <w:lvlText w:val="%9."/>
        <w:lvlJc w:val="right"/>
        <w:pPr>
          <w:ind w:left="4500" w:hanging="180"/>
        </w:pPr>
      </w:lvl>
    </w:lvlOverride>
  </w:num>
  <w:num w:numId="7" w16cid:durableId="675302225">
    <w:abstractNumId w:val="10"/>
    <w:lvlOverride w:ilvl="0">
      <w:startOverride w:val="1"/>
      <w:lvl w:ilvl="0" w:tplc="6E3EA81E">
        <w:start w:val="1"/>
        <w:numFmt w:val="bullet"/>
        <w:lvlText w:val=""/>
        <w:lvlJc w:val="right"/>
        <w:pPr>
          <w:ind w:left="500" w:hanging="180"/>
        </w:pPr>
        <w:rPr>
          <w:rFonts w:ascii="Symbol" w:hAnsi="Symbol" w:hint="default"/>
        </w:rPr>
      </w:lvl>
    </w:lvlOverride>
    <w:lvlOverride w:ilvl="1">
      <w:startOverride w:val="1"/>
      <w:lvl w:ilvl="1" w:tplc="28362D9C">
        <w:start w:val="1"/>
        <w:numFmt w:val="decimal"/>
        <w:pStyle w:val="BulletParagraphLevel2"/>
        <w:lvlText w:val="%2."/>
        <w:lvlJc w:val="right"/>
        <w:pPr>
          <w:ind w:left="1000" w:hanging="180"/>
        </w:pPr>
      </w:lvl>
    </w:lvlOverride>
    <w:lvlOverride w:ilvl="2">
      <w:startOverride w:val="1"/>
      <w:lvl w:ilvl="2" w:tplc="4078CFAE">
        <w:start w:val="1"/>
        <w:numFmt w:val="decimal"/>
        <w:lvlText w:val="%3."/>
        <w:lvlJc w:val="right"/>
        <w:pPr>
          <w:ind w:left="1500" w:hanging="180"/>
        </w:pPr>
      </w:lvl>
    </w:lvlOverride>
    <w:lvlOverride w:ilvl="3">
      <w:startOverride w:val="1"/>
      <w:lvl w:ilvl="3" w:tplc="FE2EDAFE">
        <w:start w:val="1"/>
        <w:numFmt w:val="decimal"/>
        <w:lvlText w:val="%4."/>
        <w:lvlJc w:val="right"/>
        <w:pPr>
          <w:ind w:left="2000" w:hanging="180"/>
        </w:pPr>
      </w:lvl>
    </w:lvlOverride>
    <w:lvlOverride w:ilvl="4">
      <w:startOverride w:val="1"/>
      <w:lvl w:ilvl="4" w:tplc="E3527C78">
        <w:start w:val="1"/>
        <w:numFmt w:val="decimal"/>
        <w:lvlText w:val="%5."/>
        <w:lvlJc w:val="right"/>
        <w:pPr>
          <w:ind w:left="2500" w:hanging="180"/>
        </w:pPr>
      </w:lvl>
    </w:lvlOverride>
    <w:lvlOverride w:ilvl="5">
      <w:startOverride w:val="1"/>
      <w:lvl w:ilvl="5" w:tplc="87369D1A">
        <w:start w:val="1"/>
        <w:numFmt w:val="decimal"/>
        <w:lvlText w:val="%6."/>
        <w:lvlJc w:val="right"/>
        <w:pPr>
          <w:ind w:left="3000" w:hanging="180"/>
        </w:pPr>
      </w:lvl>
    </w:lvlOverride>
    <w:lvlOverride w:ilvl="6">
      <w:startOverride w:val="1"/>
      <w:lvl w:ilvl="6" w:tplc="6E169A58">
        <w:start w:val="1"/>
        <w:numFmt w:val="decimal"/>
        <w:lvlText w:val="%7."/>
        <w:lvlJc w:val="right"/>
        <w:pPr>
          <w:ind w:left="3500" w:hanging="180"/>
        </w:pPr>
      </w:lvl>
    </w:lvlOverride>
    <w:lvlOverride w:ilvl="7">
      <w:startOverride w:val="1"/>
      <w:lvl w:ilvl="7" w:tplc="BBAC5D68">
        <w:start w:val="1"/>
        <w:numFmt w:val="decimal"/>
        <w:lvlText w:val="%8."/>
        <w:lvlJc w:val="right"/>
        <w:pPr>
          <w:ind w:left="4000" w:hanging="180"/>
        </w:pPr>
      </w:lvl>
    </w:lvlOverride>
    <w:lvlOverride w:ilvl="8">
      <w:startOverride w:val="1"/>
      <w:lvl w:ilvl="8" w:tplc="FB860BC6">
        <w:start w:val="1"/>
        <w:numFmt w:val="decimal"/>
        <w:lvlText w:val="%9."/>
        <w:lvlJc w:val="right"/>
        <w:pPr>
          <w:ind w:left="4500" w:hanging="180"/>
        </w:pPr>
      </w:lvl>
    </w:lvlOverride>
  </w:num>
  <w:num w:numId="8" w16cid:durableId="1949585207">
    <w:abstractNumId w:val="23"/>
    <w:lvlOverride w:ilvl="0">
      <w:startOverride w:val="1"/>
      <w:lvl w:ilvl="0" w:tplc="578AC1C0">
        <w:start w:val="1"/>
        <w:numFmt w:val="bullet"/>
        <w:lvlText w:val=""/>
        <w:lvlJc w:val="right"/>
        <w:pPr>
          <w:ind w:left="500" w:hanging="180"/>
        </w:pPr>
        <w:rPr>
          <w:rFonts w:ascii="Symbol" w:hAnsi="Symbol" w:hint="default"/>
        </w:rPr>
      </w:lvl>
    </w:lvlOverride>
    <w:lvlOverride w:ilvl="1">
      <w:startOverride w:val="1"/>
      <w:lvl w:ilvl="1" w:tplc="92125D08">
        <w:start w:val="1"/>
        <w:numFmt w:val="decimal"/>
        <w:lvlText w:val="%2."/>
        <w:lvlJc w:val="right"/>
        <w:pPr>
          <w:ind w:left="1000" w:hanging="180"/>
        </w:pPr>
      </w:lvl>
    </w:lvlOverride>
    <w:lvlOverride w:ilvl="2">
      <w:startOverride w:val="1"/>
      <w:lvl w:ilvl="2" w:tplc="52B42B36">
        <w:start w:val="1"/>
        <w:numFmt w:val="decimal"/>
        <w:lvlText w:val="%3."/>
        <w:lvlJc w:val="right"/>
        <w:pPr>
          <w:ind w:left="1500" w:hanging="180"/>
        </w:pPr>
      </w:lvl>
    </w:lvlOverride>
    <w:lvlOverride w:ilvl="3">
      <w:startOverride w:val="1"/>
      <w:lvl w:ilvl="3" w:tplc="22BA85D2">
        <w:start w:val="1"/>
        <w:numFmt w:val="decimal"/>
        <w:lvlText w:val="%4."/>
        <w:lvlJc w:val="right"/>
        <w:pPr>
          <w:ind w:left="2000" w:hanging="180"/>
        </w:pPr>
      </w:lvl>
    </w:lvlOverride>
    <w:lvlOverride w:ilvl="4">
      <w:startOverride w:val="1"/>
      <w:lvl w:ilvl="4" w:tplc="2A460E94">
        <w:start w:val="1"/>
        <w:numFmt w:val="decimal"/>
        <w:lvlText w:val="%5."/>
        <w:lvlJc w:val="right"/>
        <w:pPr>
          <w:ind w:left="2500" w:hanging="180"/>
        </w:pPr>
      </w:lvl>
    </w:lvlOverride>
    <w:lvlOverride w:ilvl="5">
      <w:startOverride w:val="1"/>
      <w:lvl w:ilvl="5" w:tplc="7E8E710E">
        <w:start w:val="1"/>
        <w:numFmt w:val="decimal"/>
        <w:lvlText w:val="%6."/>
        <w:lvlJc w:val="right"/>
        <w:pPr>
          <w:ind w:left="3000" w:hanging="180"/>
        </w:pPr>
      </w:lvl>
    </w:lvlOverride>
    <w:lvlOverride w:ilvl="6">
      <w:startOverride w:val="1"/>
      <w:lvl w:ilvl="6" w:tplc="9558C810">
        <w:start w:val="1"/>
        <w:numFmt w:val="decimal"/>
        <w:lvlText w:val="%7."/>
        <w:lvlJc w:val="right"/>
        <w:pPr>
          <w:ind w:left="3500" w:hanging="180"/>
        </w:pPr>
      </w:lvl>
    </w:lvlOverride>
    <w:lvlOverride w:ilvl="7">
      <w:startOverride w:val="1"/>
      <w:lvl w:ilvl="7" w:tplc="A544A3F6">
        <w:start w:val="1"/>
        <w:numFmt w:val="decimal"/>
        <w:lvlText w:val="%8."/>
        <w:lvlJc w:val="right"/>
        <w:pPr>
          <w:ind w:left="4000" w:hanging="180"/>
        </w:pPr>
      </w:lvl>
    </w:lvlOverride>
    <w:lvlOverride w:ilvl="8">
      <w:startOverride w:val="1"/>
      <w:lvl w:ilvl="8" w:tplc="BF3A8C10">
        <w:start w:val="1"/>
        <w:numFmt w:val="decimal"/>
        <w:lvlText w:val="%9."/>
        <w:lvlJc w:val="right"/>
        <w:pPr>
          <w:ind w:left="4500" w:hanging="180"/>
        </w:pPr>
      </w:lvl>
    </w:lvlOverride>
  </w:num>
  <w:num w:numId="9" w16cid:durableId="1505590523">
    <w:abstractNumId w:val="41"/>
    <w:lvlOverride w:ilvl="0">
      <w:startOverride w:val="1"/>
      <w:lvl w:ilvl="0" w:tplc="75E2EA54">
        <w:start w:val="1"/>
        <w:numFmt w:val="bullet"/>
        <w:lvlText w:val=""/>
        <w:lvlJc w:val="right"/>
        <w:pPr>
          <w:ind w:left="500" w:hanging="180"/>
        </w:pPr>
        <w:rPr>
          <w:rFonts w:ascii="Symbol" w:hAnsi="Symbol" w:hint="default"/>
        </w:rPr>
      </w:lvl>
    </w:lvlOverride>
    <w:lvlOverride w:ilvl="1">
      <w:startOverride w:val="1"/>
      <w:lvl w:ilvl="1" w:tplc="455EB348">
        <w:start w:val="1"/>
        <w:numFmt w:val="decimal"/>
        <w:lvlText w:val="%2."/>
        <w:lvlJc w:val="right"/>
        <w:pPr>
          <w:ind w:left="1000" w:hanging="180"/>
        </w:pPr>
      </w:lvl>
    </w:lvlOverride>
    <w:lvlOverride w:ilvl="2">
      <w:startOverride w:val="1"/>
      <w:lvl w:ilvl="2" w:tplc="6AE8C614">
        <w:start w:val="1"/>
        <w:numFmt w:val="decimal"/>
        <w:lvlText w:val="%3."/>
        <w:lvlJc w:val="right"/>
        <w:pPr>
          <w:ind w:left="1500" w:hanging="180"/>
        </w:pPr>
      </w:lvl>
    </w:lvlOverride>
    <w:lvlOverride w:ilvl="3">
      <w:startOverride w:val="1"/>
      <w:lvl w:ilvl="3" w:tplc="AA5C225C">
        <w:start w:val="1"/>
        <w:numFmt w:val="decimal"/>
        <w:lvlText w:val="%4."/>
        <w:lvlJc w:val="right"/>
        <w:pPr>
          <w:ind w:left="2000" w:hanging="180"/>
        </w:pPr>
      </w:lvl>
    </w:lvlOverride>
    <w:lvlOverride w:ilvl="4">
      <w:startOverride w:val="1"/>
      <w:lvl w:ilvl="4" w:tplc="86829058">
        <w:start w:val="1"/>
        <w:numFmt w:val="decimal"/>
        <w:lvlText w:val="%5."/>
        <w:lvlJc w:val="right"/>
        <w:pPr>
          <w:ind w:left="2500" w:hanging="180"/>
        </w:pPr>
      </w:lvl>
    </w:lvlOverride>
    <w:lvlOverride w:ilvl="5">
      <w:startOverride w:val="1"/>
      <w:lvl w:ilvl="5" w:tplc="E46A46CC">
        <w:start w:val="1"/>
        <w:numFmt w:val="decimal"/>
        <w:lvlText w:val="%6."/>
        <w:lvlJc w:val="right"/>
        <w:pPr>
          <w:ind w:left="3000" w:hanging="180"/>
        </w:pPr>
      </w:lvl>
    </w:lvlOverride>
    <w:lvlOverride w:ilvl="6">
      <w:startOverride w:val="1"/>
      <w:lvl w:ilvl="6" w:tplc="8AF6874C">
        <w:start w:val="1"/>
        <w:numFmt w:val="decimal"/>
        <w:lvlText w:val="%7."/>
        <w:lvlJc w:val="right"/>
        <w:pPr>
          <w:ind w:left="3500" w:hanging="180"/>
        </w:pPr>
      </w:lvl>
    </w:lvlOverride>
    <w:lvlOverride w:ilvl="7">
      <w:startOverride w:val="1"/>
      <w:lvl w:ilvl="7" w:tplc="EBA82728">
        <w:start w:val="1"/>
        <w:numFmt w:val="decimal"/>
        <w:lvlText w:val="%8."/>
        <w:lvlJc w:val="right"/>
        <w:pPr>
          <w:ind w:left="4000" w:hanging="180"/>
        </w:pPr>
      </w:lvl>
    </w:lvlOverride>
    <w:lvlOverride w:ilvl="8">
      <w:startOverride w:val="1"/>
      <w:lvl w:ilvl="8" w:tplc="B23C2D48">
        <w:start w:val="1"/>
        <w:numFmt w:val="decimal"/>
        <w:lvlText w:val="%9."/>
        <w:lvlJc w:val="right"/>
        <w:pPr>
          <w:ind w:left="4500" w:hanging="180"/>
        </w:pPr>
      </w:lvl>
    </w:lvlOverride>
  </w:num>
  <w:num w:numId="10" w16cid:durableId="1866946550">
    <w:abstractNumId w:val="41"/>
    <w:lvlOverride w:ilvl="0">
      <w:startOverride w:val="1"/>
      <w:lvl w:ilvl="0" w:tplc="75E2EA54">
        <w:start w:val="1"/>
        <w:numFmt w:val="decimal"/>
        <w:lvlText w:val="%1."/>
        <w:lvlJc w:val="right"/>
        <w:pPr>
          <w:ind w:left="500" w:hanging="180"/>
        </w:pPr>
      </w:lvl>
    </w:lvlOverride>
    <w:lvlOverride w:ilvl="1">
      <w:startOverride w:val="1"/>
      <w:lvl w:ilvl="1" w:tplc="455EB348">
        <w:start w:val="1"/>
        <w:numFmt w:val="decimal"/>
        <w:lvlText w:val="%2."/>
        <w:lvlJc w:val="right"/>
        <w:pPr>
          <w:ind w:left="1000" w:hanging="180"/>
        </w:pPr>
      </w:lvl>
    </w:lvlOverride>
    <w:lvlOverride w:ilvl="2">
      <w:startOverride w:val="1"/>
      <w:lvl w:ilvl="2" w:tplc="6AE8C614">
        <w:start w:val="1"/>
        <w:numFmt w:val="decimal"/>
        <w:lvlText w:val="%3."/>
        <w:lvlJc w:val="right"/>
        <w:pPr>
          <w:ind w:left="1500" w:hanging="180"/>
        </w:pPr>
      </w:lvl>
    </w:lvlOverride>
    <w:lvlOverride w:ilvl="3">
      <w:startOverride w:val="1"/>
      <w:lvl w:ilvl="3" w:tplc="AA5C225C">
        <w:start w:val="1"/>
        <w:numFmt w:val="decimal"/>
        <w:lvlText w:val="%4."/>
        <w:lvlJc w:val="right"/>
        <w:pPr>
          <w:ind w:left="2000" w:hanging="180"/>
        </w:pPr>
      </w:lvl>
    </w:lvlOverride>
    <w:lvlOverride w:ilvl="4">
      <w:startOverride w:val="1"/>
      <w:lvl w:ilvl="4" w:tplc="86829058">
        <w:start w:val="1"/>
        <w:numFmt w:val="decimal"/>
        <w:lvlText w:val="%5."/>
        <w:lvlJc w:val="right"/>
        <w:pPr>
          <w:ind w:left="2500" w:hanging="180"/>
        </w:pPr>
      </w:lvl>
    </w:lvlOverride>
    <w:lvlOverride w:ilvl="5">
      <w:startOverride w:val="1"/>
      <w:lvl w:ilvl="5" w:tplc="E46A46CC">
        <w:start w:val="1"/>
        <w:numFmt w:val="decimal"/>
        <w:lvlText w:val="%6."/>
        <w:lvlJc w:val="right"/>
        <w:pPr>
          <w:ind w:left="3000" w:hanging="180"/>
        </w:pPr>
      </w:lvl>
    </w:lvlOverride>
    <w:lvlOverride w:ilvl="6">
      <w:startOverride w:val="1"/>
      <w:lvl w:ilvl="6" w:tplc="8AF6874C">
        <w:start w:val="1"/>
        <w:numFmt w:val="decimal"/>
        <w:lvlText w:val="%7."/>
        <w:lvlJc w:val="right"/>
        <w:pPr>
          <w:ind w:left="3500" w:hanging="180"/>
        </w:pPr>
      </w:lvl>
    </w:lvlOverride>
    <w:lvlOverride w:ilvl="7">
      <w:startOverride w:val="1"/>
      <w:lvl w:ilvl="7" w:tplc="EBA82728">
        <w:start w:val="1"/>
        <w:numFmt w:val="decimal"/>
        <w:lvlText w:val="%8."/>
        <w:lvlJc w:val="right"/>
        <w:pPr>
          <w:ind w:left="4000" w:hanging="180"/>
        </w:pPr>
      </w:lvl>
    </w:lvlOverride>
    <w:lvlOverride w:ilvl="8">
      <w:startOverride w:val="1"/>
      <w:lvl w:ilvl="8" w:tplc="B23C2D48">
        <w:start w:val="1"/>
        <w:numFmt w:val="decimal"/>
        <w:lvlText w:val="%9."/>
        <w:lvlJc w:val="right"/>
        <w:pPr>
          <w:ind w:left="4500" w:hanging="180"/>
        </w:pPr>
      </w:lvl>
    </w:lvlOverride>
  </w:num>
  <w:num w:numId="11" w16cid:durableId="2083062155">
    <w:abstractNumId w:val="7"/>
    <w:lvlOverride w:ilvl="0">
      <w:startOverride w:val="1"/>
      <w:lvl w:ilvl="0" w:tplc="8D52F5F6">
        <w:start w:val="1"/>
        <w:numFmt w:val="bullet"/>
        <w:lvlText w:val=""/>
        <w:lvlJc w:val="right"/>
        <w:pPr>
          <w:ind w:left="500" w:hanging="180"/>
        </w:pPr>
        <w:rPr>
          <w:rFonts w:ascii="Symbol" w:hAnsi="Symbol" w:hint="default"/>
        </w:rPr>
      </w:lvl>
    </w:lvlOverride>
    <w:lvlOverride w:ilvl="1">
      <w:startOverride w:val="1"/>
      <w:lvl w:ilvl="1" w:tplc="7DEAF406">
        <w:start w:val="1"/>
        <w:numFmt w:val="decimal"/>
        <w:lvlText w:val="%2."/>
        <w:lvlJc w:val="right"/>
        <w:pPr>
          <w:ind w:left="1000" w:hanging="180"/>
        </w:pPr>
      </w:lvl>
    </w:lvlOverride>
    <w:lvlOverride w:ilvl="2">
      <w:startOverride w:val="1"/>
      <w:lvl w:ilvl="2" w:tplc="42CAC9D8">
        <w:start w:val="1"/>
        <w:numFmt w:val="decimal"/>
        <w:lvlText w:val="%3."/>
        <w:lvlJc w:val="right"/>
        <w:pPr>
          <w:ind w:left="1500" w:hanging="180"/>
        </w:pPr>
      </w:lvl>
    </w:lvlOverride>
    <w:lvlOverride w:ilvl="3">
      <w:startOverride w:val="1"/>
      <w:lvl w:ilvl="3" w:tplc="ED1AA2BA">
        <w:start w:val="1"/>
        <w:numFmt w:val="decimal"/>
        <w:lvlText w:val="%4."/>
        <w:lvlJc w:val="right"/>
        <w:pPr>
          <w:ind w:left="2000" w:hanging="180"/>
        </w:pPr>
      </w:lvl>
    </w:lvlOverride>
    <w:lvlOverride w:ilvl="4">
      <w:startOverride w:val="1"/>
      <w:lvl w:ilvl="4" w:tplc="5C66479E">
        <w:start w:val="1"/>
        <w:numFmt w:val="decimal"/>
        <w:lvlText w:val="%5."/>
        <w:lvlJc w:val="right"/>
        <w:pPr>
          <w:ind w:left="2500" w:hanging="180"/>
        </w:pPr>
      </w:lvl>
    </w:lvlOverride>
    <w:lvlOverride w:ilvl="5">
      <w:startOverride w:val="1"/>
      <w:lvl w:ilvl="5" w:tplc="035AEA5A">
        <w:start w:val="1"/>
        <w:numFmt w:val="decimal"/>
        <w:lvlText w:val="%6."/>
        <w:lvlJc w:val="right"/>
        <w:pPr>
          <w:ind w:left="3000" w:hanging="180"/>
        </w:pPr>
      </w:lvl>
    </w:lvlOverride>
    <w:lvlOverride w:ilvl="6">
      <w:startOverride w:val="1"/>
      <w:lvl w:ilvl="6" w:tplc="425C3942">
        <w:start w:val="1"/>
        <w:numFmt w:val="decimal"/>
        <w:lvlText w:val="%7."/>
        <w:lvlJc w:val="right"/>
        <w:pPr>
          <w:ind w:left="3500" w:hanging="180"/>
        </w:pPr>
      </w:lvl>
    </w:lvlOverride>
    <w:lvlOverride w:ilvl="7">
      <w:startOverride w:val="1"/>
      <w:lvl w:ilvl="7" w:tplc="1A8E027E">
        <w:start w:val="1"/>
        <w:numFmt w:val="decimal"/>
        <w:lvlText w:val="%8."/>
        <w:lvlJc w:val="right"/>
        <w:pPr>
          <w:ind w:left="4000" w:hanging="180"/>
        </w:pPr>
      </w:lvl>
    </w:lvlOverride>
    <w:lvlOverride w:ilvl="8">
      <w:startOverride w:val="1"/>
      <w:lvl w:ilvl="8" w:tplc="1C9A863C">
        <w:start w:val="1"/>
        <w:numFmt w:val="decimal"/>
        <w:lvlText w:val="%9."/>
        <w:lvlJc w:val="right"/>
        <w:pPr>
          <w:ind w:left="4500" w:hanging="180"/>
        </w:pPr>
      </w:lvl>
    </w:lvlOverride>
  </w:num>
  <w:num w:numId="12" w16cid:durableId="770011896">
    <w:abstractNumId w:val="35"/>
    <w:lvlOverride w:ilvl="0">
      <w:startOverride w:val="1"/>
      <w:lvl w:ilvl="0" w:tplc="EB2EE4CE">
        <w:start w:val="1"/>
        <w:numFmt w:val="bullet"/>
        <w:lvlText w:val=""/>
        <w:lvlJc w:val="right"/>
        <w:pPr>
          <w:ind w:left="500" w:hanging="180"/>
        </w:pPr>
        <w:rPr>
          <w:rFonts w:ascii="Symbol" w:hAnsi="Symbol" w:hint="default"/>
        </w:rPr>
      </w:lvl>
    </w:lvlOverride>
    <w:lvlOverride w:ilvl="1">
      <w:startOverride w:val="1"/>
      <w:lvl w:ilvl="1" w:tplc="776ABF2C">
        <w:start w:val="1"/>
        <w:numFmt w:val="decimal"/>
        <w:lvlText w:val="%2."/>
        <w:lvlJc w:val="right"/>
        <w:pPr>
          <w:ind w:left="1000" w:hanging="180"/>
        </w:pPr>
      </w:lvl>
    </w:lvlOverride>
    <w:lvlOverride w:ilvl="2">
      <w:startOverride w:val="1"/>
      <w:lvl w:ilvl="2" w:tplc="8E6EBBDC">
        <w:start w:val="1"/>
        <w:numFmt w:val="decimal"/>
        <w:lvlText w:val="%3."/>
        <w:lvlJc w:val="right"/>
        <w:pPr>
          <w:ind w:left="1500" w:hanging="180"/>
        </w:pPr>
      </w:lvl>
    </w:lvlOverride>
    <w:lvlOverride w:ilvl="3">
      <w:startOverride w:val="1"/>
      <w:lvl w:ilvl="3" w:tplc="6534DB26">
        <w:start w:val="1"/>
        <w:numFmt w:val="decimal"/>
        <w:lvlText w:val="%4."/>
        <w:lvlJc w:val="right"/>
        <w:pPr>
          <w:ind w:left="2000" w:hanging="180"/>
        </w:pPr>
      </w:lvl>
    </w:lvlOverride>
    <w:lvlOverride w:ilvl="4">
      <w:startOverride w:val="1"/>
      <w:lvl w:ilvl="4" w:tplc="CA9EA082">
        <w:start w:val="1"/>
        <w:numFmt w:val="decimal"/>
        <w:lvlText w:val="%5."/>
        <w:lvlJc w:val="right"/>
        <w:pPr>
          <w:ind w:left="2500" w:hanging="180"/>
        </w:pPr>
      </w:lvl>
    </w:lvlOverride>
    <w:lvlOverride w:ilvl="5">
      <w:startOverride w:val="1"/>
      <w:lvl w:ilvl="5" w:tplc="29A648A0">
        <w:start w:val="1"/>
        <w:numFmt w:val="decimal"/>
        <w:lvlText w:val="%6."/>
        <w:lvlJc w:val="right"/>
        <w:pPr>
          <w:ind w:left="3000" w:hanging="180"/>
        </w:pPr>
      </w:lvl>
    </w:lvlOverride>
    <w:lvlOverride w:ilvl="6">
      <w:startOverride w:val="1"/>
      <w:lvl w:ilvl="6" w:tplc="8812A11A">
        <w:start w:val="1"/>
        <w:numFmt w:val="decimal"/>
        <w:lvlText w:val="%7."/>
        <w:lvlJc w:val="right"/>
        <w:pPr>
          <w:ind w:left="3500" w:hanging="180"/>
        </w:pPr>
      </w:lvl>
    </w:lvlOverride>
    <w:lvlOverride w:ilvl="7">
      <w:startOverride w:val="1"/>
      <w:lvl w:ilvl="7" w:tplc="CCE635C6">
        <w:start w:val="1"/>
        <w:numFmt w:val="decimal"/>
        <w:lvlText w:val="%8."/>
        <w:lvlJc w:val="right"/>
        <w:pPr>
          <w:ind w:left="4000" w:hanging="180"/>
        </w:pPr>
      </w:lvl>
    </w:lvlOverride>
    <w:lvlOverride w:ilvl="8">
      <w:startOverride w:val="1"/>
      <w:lvl w:ilvl="8" w:tplc="68EC94B6">
        <w:start w:val="1"/>
        <w:numFmt w:val="decimal"/>
        <w:lvlText w:val="%9."/>
        <w:lvlJc w:val="right"/>
        <w:pPr>
          <w:ind w:left="4500" w:hanging="180"/>
        </w:pPr>
      </w:lvl>
    </w:lvlOverride>
  </w:num>
  <w:num w:numId="13" w16cid:durableId="1865168201">
    <w:abstractNumId w:val="26"/>
    <w:lvlOverride w:ilvl="0">
      <w:startOverride w:val="1"/>
      <w:lvl w:ilvl="0" w:tplc="D78EEEE6">
        <w:start w:val="1"/>
        <w:numFmt w:val="bullet"/>
        <w:lvlText w:val=""/>
        <w:lvlJc w:val="right"/>
        <w:pPr>
          <w:ind w:left="500" w:hanging="180"/>
        </w:pPr>
        <w:rPr>
          <w:rFonts w:ascii="Symbol" w:hAnsi="Symbol" w:hint="default"/>
        </w:rPr>
      </w:lvl>
    </w:lvlOverride>
    <w:lvlOverride w:ilvl="1">
      <w:startOverride w:val="1"/>
      <w:lvl w:ilvl="1" w:tplc="87786D64">
        <w:start w:val="1"/>
        <w:numFmt w:val="decimal"/>
        <w:lvlText w:val="%2."/>
        <w:lvlJc w:val="right"/>
        <w:pPr>
          <w:ind w:left="1000" w:hanging="180"/>
        </w:pPr>
      </w:lvl>
    </w:lvlOverride>
    <w:lvlOverride w:ilvl="2">
      <w:startOverride w:val="1"/>
      <w:lvl w:ilvl="2" w:tplc="01403F52">
        <w:start w:val="1"/>
        <w:numFmt w:val="decimal"/>
        <w:lvlText w:val="%3."/>
        <w:lvlJc w:val="right"/>
        <w:pPr>
          <w:ind w:left="1500" w:hanging="180"/>
        </w:pPr>
      </w:lvl>
    </w:lvlOverride>
    <w:lvlOverride w:ilvl="3">
      <w:startOverride w:val="1"/>
      <w:lvl w:ilvl="3" w:tplc="80606F84">
        <w:start w:val="1"/>
        <w:numFmt w:val="decimal"/>
        <w:lvlText w:val="%4."/>
        <w:lvlJc w:val="right"/>
        <w:pPr>
          <w:ind w:left="2000" w:hanging="180"/>
        </w:pPr>
      </w:lvl>
    </w:lvlOverride>
    <w:lvlOverride w:ilvl="4">
      <w:startOverride w:val="1"/>
      <w:lvl w:ilvl="4" w:tplc="AB8CC612">
        <w:start w:val="1"/>
        <w:numFmt w:val="decimal"/>
        <w:lvlText w:val="%5."/>
        <w:lvlJc w:val="right"/>
        <w:pPr>
          <w:ind w:left="2500" w:hanging="180"/>
        </w:pPr>
      </w:lvl>
    </w:lvlOverride>
    <w:lvlOverride w:ilvl="5">
      <w:startOverride w:val="1"/>
      <w:lvl w:ilvl="5" w:tplc="404AAAD4">
        <w:start w:val="1"/>
        <w:numFmt w:val="decimal"/>
        <w:lvlText w:val="%6."/>
        <w:lvlJc w:val="right"/>
        <w:pPr>
          <w:ind w:left="3000" w:hanging="180"/>
        </w:pPr>
      </w:lvl>
    </w:lvlOverride>
    <w:lvlOverride w:ilvl="6">
      <w:startOverride w:val="1"/>
      <w:lvl w:ilvl="6" w:tplc="F16A22FA">
        <w:start w:val="1"/>
        <w:numFmt w:val="decimal"/>
        <w:lvlText w:val="%7."/>
        <w:lvlJc w:val="right"/>
        <w:pPr>
          <w:ind w:left="3500" w:hanging="180"/>
        </w:pPr>
      </w:lvl>
    </w:lvlOverride>
    <w:lvlOverride w:ilvl="7">
      <w:startOverride w:val="1"/>
      <w:lvl w:ilvl="7" w:tplc="5BB0EACC">
        <w:start w:val="1"/>
        <w:numFmt w:val="decimal"/>
        <w:lvlText w:val="%8."/>
        <w:lvlJc w:val="right"/>
        <w:pPr>
          <w:ind w:left="4000" w:hanging="180"/>
        </w:pPr>
      </w:lvl>
    </w:lvlOverride>
    <w:lvlOverride w:ilvl="8">
      <w:startOverride w:val="1"/>
      <w:lvl w:ilvl="8" w:tplc="5008A45E">
        <w:start w:val="1"/>
        <w:numFmt w:val="decimal"/>
        <w:lvlText w:val="%9."/>
        <w:lvlJc w:val="right"/>
        <w:pPr>
          <w:ind w:left="4500" w:hanging="180"/>
        </w:pPr>
      </w:lvl>
    </w:lvlOverride>
  </w:num>
  <w:num w:numId="14" w16cid:durableId="1535650415">
    <w:abstractNumId w:val="9"/>
    <w:lvlOverride w:ilvl="0">
      <w:startOverride w:val="1"/>
      <w:lvl w:ilvl="0" w:tplc="D8D061D0">
        <w:start w:val="1"/>
        <w:numFmt w:val="bullet"/>
        <w:lvlText w:val=""/>
        <w:lvlJc w:val="right"/>
        <w:pPr>
          <w:ind w:left="500" w:hanging="180"/>
        </w:pPr>
        <w:rPr>
          <w:rFonts w:ascii="Symbol" w:hAnsi="Symbol" w:hint="default"/>
        </w:rPr>
      </w:lvl>
    </w:lvlOverride>
    <w:lvlOverride w:ilvl="1">
      <w:startOverride w:val="1"/>
      <w:lvl w:ilvl="1" w:tplc="D64CDE40">
        <w:start w:val="1"/>
        <w:numFmt w:val="decimal"/>
        <w:lvlText w:val="%2."/>
        <w:lvlJc w:val="right"/>
        <w:pPr>
          <w:ind w:left="1000" w:hanging="180"/>
        </w:pPr>
      </w:lvl>
    </w:lvlOverride>
    <w:lvlOverride w:ilvl="2">
      <w:startOverride w:val="1"/>
      <w:lvl w:ilvl="2" w:tplc="FB6885EC">
        <w:start w:val="1"/>
        <w:numFmt w:val="decimal"/>
        <w:lvlText w:val="%3."/>
        <w:lvlJc w:val="right"/>
        <w:pPr>
          <w:ind w:left="1500" w:hanging="180"/>
        </w:pPr>
      </w:lvl>
    </w:lvlOverride>
    <w:lvlOverride w:ilvl="3">
      <w:startOverride w:val="1"/>
      <w:lvl w:ilvl="3" w:tplc="2070D712">
        <w:start w:val="1"/>
        <w:numFmt w:val="decimal"/>
        <w:lvlText w:val="%4."/>
        <w:lvlJc w:val="right"/>
        <w:pPr>
          <w:ind w:left="2000" w:hanging="180"/>
        </w:pPr>
      </w:lvl>
    </w:lvlOverride>
    <w:lvlOverride w:ilvl="4">
      <w:startOverride w:val="1"/>
      <w:lvl w:ilvl="4" w:tplc="61E27B34">
        <w:start w:val="1"/>
        <w:numFmt w:val="decimal"/>
        <w:lvlText w:val="%5."/>
        <w:lvlJc w:val="right"/>
        <w:pPr>
          <w:ind w:left="2500" w:hanging="180"/>
        </w:pPr>
      </w:lvl>
    </w:lvlOverride>
    <w:lvlOverride w:ilvl="5">
      <w:startOverride w:val="1"/>
      <w:lvl w:ilvl="5" w:tplc="0EE0F2C4">
        <w:start w:val="1"/>
        <w:numFmt w:val="decimal"/>
        <w:lvlText w:val="%6."/>
        <w:lvlJc w:val="right"/>
        <w:pPr>
          <w:ind w:left="3000" w:hanging="180"/>
        </w:pPr>
      </w:lvl>
    </w:lvlOverride>
    <w:lvlOverride w:ilvl="6">
      <w:startOverride w:val="1"/>
      <w:lvl w:ilvl="6" w:tplc="E2B4BF98">
        <w:start w:val="1"/>
        <w:numFmt w:val="decimal"/>
        <w:lvlText w:val="%7."/>
        <w:lvlJc w:val="right"/>
        <w:pPr>
          <w:ind w:left="3500" w:hanging="180"/>
        </w:pPr>
      </w:lvl>
    </w:lvlOverride>
    <w:lvlOverride w:ilvl="7">
      <w:startOverride w:val="1"/>
      <w:lvl w:ilvl="7" w:tplc="BFB07384">
        <w:start w:val="1"/>
        <w:numFmt w:val="decimal"/>
        <w:lvlText w:val="%8."/>
        <w:lvlJc w:val="right"/>
        <w:pPr>
          <w:ind w:left="4000" w:hanging="180"/>
        </w:pPr>
      </w:lvl>
    </w:lvlOverride>
    <w:lvlOverride w:ilvl="8">
      <w:startOverride w:val="1"/>
      <w:lvl w:ilvl="8" w:tplc="1BF6FDA4">
        <w:start w:val="1"/>
        <w:numFmt w:val="decimal"/>
        <w:lvlText w:val="%9."/>
        <w:lvlJc w:val="right"/>
        <w:pPr>
          <w:ind w:left="4500" w:hanging="180"/>
        </w:pPr>
      </w:lvl>
    </w:lvlOverride>
  </w:num>
  <w:num w:numId="15" w16cid:durableId="458691285">
    <w:abstractNumId w:val="9"/>
    <w:lvlOverride w:ilvl="0">
      <w:startOverride w:val="1"/>
      <w:lvl w:ilvl="0" w:tplc="D8D061D0">
        <w:start w:val="1"/>
        <w:numFmt w:val="bullet"/>
        <w:lvlText w:val=""/>
        <w:lvlJc w:val="right"/>
        <w:pPr>
          <w:ind w:left="500" w:hanging="180"/>
        </w:pPr>
        <w:rPr>
          <w:rFonts w:ascii="Symbol" w:hAnsi="Symbol" w:hint="default"/>
        </w:rPr>
      </w:lvl>
    </w:lvlOverride>
    <w:lvlOverride w:ilvl="1">
      <w:startOverride w:val="1"/>
      <w:lvl w:ilvl="1" w:tplc="D64CDE40">
        <w:start w:val="1"/>
        <w:numFmt w:val="decimal"/>
        <w:lvlText w:val="%2."/>
        <w:lvlJc w:val="right"/>
        <w:pPr>
          <w:ind w:left="1000" w:hanging="180"/>
        </w:pPr>
      </w:lvl>
    </w:lvlOverride>
    <w:lvlOverride w:ilvl="2">
      <w:startOverride w:val="1"/>
      <w:lvl w:ilvl="2" w:tplc="FB6885EC">
        <w:start w:val="1"/>
        <w:numFmt w:val="decimal"/>
        <w:lvlText w:val="%3."/>
        <w:lvlJc w:val="right"/>
        <w:pPr>
          <w:ind w:left="1500" w:hanging="180"/>
        </w:pPr>
      </w:lvl>
    </w:lvlOverride>
    <w:lvlOverride w:ilvl="3">
      <w:startOverride w:val="1"/>
      <w:lvl w:ilvl="3" w:tplc="2070D712">
        <w:start w:val="1"/>
        <w:numFmt w:val="decimal"/>
        <w:lvlText w:val="%4."/>
        <w:lvlJc w:val="right"/>
        <w:pPr>
          <w:ind w:left="2000" w:hanging="180"/>
        </w:pPr>
      </w:lvl>
    </w:lvlOverride>
    <w:lvlOverride w:ilvl="4">
      <w:startOverride w:val="1"/>
      <w:lvl w:ilvl="4" w:tplc="61E27B34">
        <w:start w:val="1"/>
        <w:numFmt w:val="decimal"/>
        <w:lvlText w:val="%5."/>
        <w:lvlJc w:val="right"/>
        <w:pPr>
          <w:ind w:left="2500" w:hanging="180"/>
        </w:pPr>
      </w:lvl>
    </w:lvlOverride>
    <w:lvlOverride w:ilvl="5">
      <w:startOverride w:val="1"/>
      <w:lvl w:ilvl="5" w:tplc="0EE0F2C4">
        <w:start w:val="1"/>
        <w:numFmt w:val="decimal"/>
        <w:lvlText w:val="%6."/>
        <w:lvlJc w:val="right"/>
        <w:pPr>
          <w:ind w:left="3000" w:hanging="180"/>
        </w:pPr>
      </w:lvl>
    </w:lvlOverride>
    <w:lvlOverride w:ilvl="6">
      <w:startOverride w:val="1"/>
      <w:lvl w:ilvl="6" w:tplc="E2B4BF98">
        <w:start w:val="1"/>
        <w:numFmt w:val="decimal"/>
        <w:lvlText w:val="%7."/>
        <w:lvlJc w:val="right"/>
        <w:pPr>
          <w:ind w:left="3500" w:hanging="180"/>
        </w:pPr>
      </w:lvl>
    </w:lvlOverride>
    <w:lvlOverride w:ilvl="7">
      <w:startOverride w:val="1"/>
      <w:lvl w:ilvl="7" w:tplc="BFB07384">
        <w:start w:val="1"/>
        <w:numFmt w:val="decimal"/>
        <w:lvlText w:val="%8."/>
        <w:lvlJc w:val="right"/>
        <w:pPr>
          <w:ind w:left="4000" w:hanging="180"/>
        </w:pPr>
      </w:lvl>
    </w:lvlOverride>
    <w:lvlOverride w:ilvl="8">
      <w:startOverride w:val="1"/>
      <w:lvl w:ilvl="8" w:tplc="1BF6FDA4">
        <w:start w:val="1"/>
        <w:numFmt w:val="decimal"/>
        <w:lvlText w:val="%9."/>
        <w:lvlJc w:val="right"/>
        <w:pPr>
          <w:ind w:left="4500" w:hanging="180"/>
        </w:pPr>
      </w:lvl>
    </w:lvlOverride>
  </w:num>
  <w:num w:numId="16" w16cid:durableId="296036420">
    <w:abstractNumId w:val="9"/>
    <w:lvlOverride w:ilvl="0">
      <w:startOverride w:val="1"/>
      <w:lvl w:ilvl="0" w:tplc="D8D061D0">
        <w:start w:val="1"/>
        <w:numFmt w:val="bullet"/>
        <w:lvlText w:val=""/>
        <w:lvlJc w:val="right"/>
        <w:pPr>
          <w:ind w:left="500" w:hanging="180"/>
        </w:pPr>
        <w:rPr>
          <w:rFonts w:ascii="Symbol" w:hAnsi="Symbol" w:hint="default"/>
        </w:rPr>
      </w:lvl>
    </w:lvlOverride>
    <w:lvlOverride w:ilvl="1">
      <w:startOverride w:val="1"/>
      <w:lvl w:ilvl="1" w:tplc="D64CDE40">
        <w:start w:val="1"/>
        <w:numFmt w:val="decimal"/>
        <w:lvlText w:val="%2."/>
        <w:lvlJc w:val="right"/>
        <w:pPr>
          <w:ind w:left="1000" w:hanging="180"/>
        </w:pPr>
      </w:lvl>
    </w:lvlOverride>
    <w:lvlOverride w:ilvl="2">
      <w:startOverride w:val="1"/>
      <w:lvl w:ilvl="2" w:tplc="FB6885EC">
        <w:start w:val="1"/>
        <w:numFmt w:val="decimal"/>
        <w:lvlText w:val="%3."/>
        <w:lvlJc w:val="right"/>
        <w:pPr>
          <w:ind w:left="1500" w:hanging="180"/>
        </w:pPr>
      </w:lvl>
    </w:lvlOverride>
    <w:lvlOverride w:ilvl="3">
      <w:startOverride w:val="1"/>
      <w:lvl w:ilvl="3" w:tplc="2070D712">
        <w:start w:val="1"/>
        <w:numFmt w:val="decimal"/>
        <w:lvlText w:val="%4."/>
        <w:lvlJc w:val="right"/>
        <w:pPr>
          <w:ind w:left="2000" w:hanging="180"/>
        </w:pPr>
      </w:lvl>
    </w:lvlOverride>
    <w:lvlOverride w:ilvl="4">
      <w:startOverride w:val="1"/>
      <w:lvl w:ilvl="4" w:tplc="61E27B34">
        <w:start w:val="1"/>
        <w:numFmt w:val="decimal"/>
        <w:lvlText w:val="%5."/>
        <w:lvlJc w:val="right"/>
        <w:pPr>
          <w:ind w:left="2500" w:hanging="180"/>
        </w:pPr>
      </w:lvl>
    </w:lvlOverride>
    <w:lvlOverride w:ilvl="5">
      <w:startOverride w:val="1"/>
      <w:lvl w:ilvl="5" w:tplc="0EE0F2C4">
        <w:start w:val="1"/>
        <w:numFmt w:val="decimal"/>
        <w:lvlText w:val="%6."/>
        <w:lvlJc w:val="right"/>
        <w:pPr>
          <w:ind w:left="3000" w:hanging="180"/>
        </w:pPr>
      </w:lvl>
    </w:lvlOverride>
    <w:lvlOverride w:ilvl="6">
      <w:startOverride w:val="1"/>
      <w:lvl w:ilvl="6" w:tplc="E2B4BF98">
        <w:start w:val="1"/>
        <w:numFmt w:val="decimal"/>
        <w:lvlText w:val="%7."/>
        <w:lvlJc w:val="right"/>
        <w:pPr>
          <w:ind w:left="3500" w:hanging="180"/>
        </w:pPr>
      </w:lvl>
    </w:lvlOverride>
    <w:lvlOverride w:ilvl="7">
      <w:startOverride w:val="1"/>
      <w:lvl w:ilvl="7" w:tplc="BFB07384">
        <w:start w:val="1"/>
        <w:numFmt w:val="decimal"/>
        <w:lvlText w:val="%8."/>
        <w:lvlJc w:val="right"/>
        <w:pPr>
          <w:ind w:left="4000" w:hanging="180"/>
        </w:pPr>
      </w:lvl>
    </w:lvlOverride>
    <w:lvlOverride w:ilvl="8">
      <w:startOverride w:val="1"/>
      <w:lvl w:ilvl="8" w:tplc="1BF6FDA4">
        <w:start w:val="1"/>
        <w:numFmt w:val="decimal"/>
        <w:lvlText w:val="%9."/>
        <w:lvlJc w:val="right"/>
        <w:pPr>
          <w:ind w:left="4500" w:hanging="180"/>
        </w:pPr>
      </w:lvl>
    </w:lvlOverride>
  </w:num>
  <w:num w:numId="17" w16cid:durableId="1136727263">
    <w:abstractNumId w:val="4"/>
    <w:lvlOverride w:ilvl="0">
      <w:startOverride w:val="1"/>
      <w:lvl w:ilvl="0" w:tplc="21D090D6">
        <w:start w:val="1"/>
        <w:numFmt w:val="decimal"/>
        <w:lvlText w:val="%1."/>
        <w:lvlJc w:val="right"/>
        <w:pPr>
          <w:ind w:left="500" w:hanging="180"/>
        </w:pPr>
      </w:lvl>
    </w:lvlOverride>
    <w:lvlOverride w:ilvl="1">
      <w:startOverride w:val="1"/>
      <w:lvl w:ilvl="1" w:tplc="FD80BF72">
        <w:start w:val="1"/>
        <w:numFmt w:val="decimal"/>
        <w:lvlText w:val="%2."/>
        <w:lvlJc w:val="right"/>
        <w:pPr>
          <w:ind w:left="1000" w:hanging="180"/>
        </w:pPr>
      </w:lvl>
    </w:lvlOverride>
    <w:lvlOverride w:ilvl="2">
      <w:startOverride w:val="1"/>
      <w:lvl w:ilvl="2" w:tplc="2390D024">
        <w:start w:val="1"/>
        <w:numFmt w:val="decimal"/>
        <w:lvlText w:val="%3."/>
        <w:lvlJc w:val="right"/>
        <w:pPr>
          <w:ind w:left="1500" w:hanging="180"/>
        </w:pPr>
      </w:lvl>
    </w:lvlOverride>
    <w:lvlOverride w:ilvl="3">
      <w:startOverride w:val="1"/>
      <w:lvl w:ilvl="3" w:tplc="AFE44BF8">
        <w:start w:val="1"/>
        <w:numFmt w:val="decimal"/>
        <w:lvlText w:val="%4."/>
        <w:lvlJc w:val="right"/>
        <w:pPr>
          <w:ind w:left="2000" w:hanging="180"/>
        </w:pPr>
      </w:lvl>
    </w:lvlOverride>
    <w:lvlOverride w:ilvl="4">
      <w:startOverride w:val="1"/>
      <w:lvl w:ilvl="4" w:tplc="D10C58F4">
        <w:start w:val="1"/>
        <w:numFmt w:val="decimal"/>
        <w:lvlText w:val="%5."/>
        <w:lvlJc w:val="right"/>
        <w:pPr>
          <w:ind w:left="2500" w:hanging="180"/>
        </w:pPr>
      </w:lvl>
    </w:lvlOverride>
    <w:lvlOverride w:ilvl="5">
      <w:startOverride w:val="1"/>
      <w:lvl w:ilvl="5" w:tplc="04D4AC36">
        <w:start w:val="1"/>
        <w:numFmt w:val="decimal"/>
        <w:lvlText w:val="%6."/>
        <w:lvlJc w:val="right"/>
        <w:pPr>
          <w:ind w:left="3000" w:hanging="180"/>
        </w:pPr>
      </w:lvl>
    </w:lvlOverride>
    <w:lvlOverride w:ilvl="6">
      <w:startOverride w:val="1"/>
      <w:lvl w:ilvl="6" w:tplc="301870CC">
        <w:start w:val="1"/>
        <w:numFmt w:val="decimal"/>
        <w:lvlText w:val="%7."/>
        <w:lvlJc w:val="right"/>
        <w:pPr>
          <w:ind w:left="3500" w:hanging="180"/>
        </w:pPr>
      </w:lvl>
    </w:lvlOverride>
    <w:lvlOverride w:ilvl="7">
      <w:startOverride w:val="1"/>
      <w:lvl w:ilvl="7" w:tplc="BC2A11CC">
        <w:start w:val="1"/>
        <w:numFmt w:val="decimal"/>
        <w:lvlText w:val="%8."/>
        <w:lvlJc w:val="right"/>
        <w:pPr>
          <w:ind w:left="4000" w:hanging="180"/>
        </w:pPr>
      </w:lvl>
    </w:lvlOverride>
    <w:lvlOverride w:ilvl="8">
      <w:startOverride w:val="1"/>
      <w:lvl w:ilvl="8" w:tplc="413C1886">
        <w:start w:val="1"/>
        <w:numFmt w:val="decimal"/>
        <w:lvlText w:val="%9."/>
        <w:lvlJc w:val="right"/>
        <w:pPr>
          <w:ind w:left="4500" w:hanging="180"/>
        </w:pPr>
      </w:lvl>
    </w:lvlOverride>
  </w:num>
  <w:num w:numId="18" w16cid:durableId="954023576">
    <w:abstractNumId w:val="29"/>
    <w:lvlOverride w:ilvl="0">
      <w:startOverride w:val="1"/>
      <w:lvl w:ilvl="0" w:tplc="49CA61F8">
        <w:start w:val="1"/>
        <w:numFmt w:val="bullet"/>
        <w:lvlText w:val=""/>
        <w:lvlJc w:val="right"/>
        <w:pPr>
          <w:ind w:left="500" w:hanging="180"/>
        </w:pPr>
        <w:rPr>
          <w:rFonts w:ascii="Symbol" w:hAnsi="Symbol" w:hint="default"/>
        </w:rPr>
      </w:lvl>
    </w:lvlOverride>
    <w:lvlOverride w:ilvl="1">
      <w:startOverride w:val="1"/>
      <w:lvl w:ilvl="1" w:tplc="C6F2C462">
        <w:start w:val="1"/>
        <w:numFmt w:val="decimal"/>
        <w:lvlText w:val="%2."/>
        <w:lvlJc w:val="right"/>
        <w:pPr>
          <w:ind w:left="1000" w:hanging="180"/>
        </w:pPr>
      </w:lvl>
    </w:lvlOverride>
    <w:lvlOverride w:ilvl="2">
      <w:startOverride w:val="1"/>
      <w:lvl w:ilvl="2" w:tplc="61E4DB04">
        <w:start w:val="1"/>
        <w:numFmt w:val="decimal"/>
        <w:lvlText w:val="%3."/>
        <w:lvlJc w:val="right"/>
        <w:pPr>
          <w:ind w:left="1500" w:hanging="180"/>
        </w:pPr>
      </w:lvl>
    </w:lvlOverride>
    <w:lvlOverride w:ilvl="3">
      <w:startOverride w:val="1"/>
      <w:lvl w:ilvl="3" w:tplc="A4E465F2">
        <w:start w:val="1"/>
        <w:numFmt w:val="decimal"/>
        <w:lvlText w:val="%4."/>
        <w:lvlJc w:val="right"/>
        <w:pPr>
          <w:ind w:left="2000" w:hanging="180"/>
        </w:pPr>
      </w:lvl>
    </w:lvlOverride>
    <w:lvlOverride w:ilvl="4">
      <w:startOverride w:val="1"/>
      <w:lvl w:ilvl="4" w:tplc="55FE6C40">
        <w:start w:val="1"/>
        <w:numFmt w:val="decimal"/>
        <w:lvlText w:val="%5."/>
        <w:lvlJc w:val="right"/>
        <w:pPr>
          <w:ind w:left="2500" w:hanging="180"/>
        </w:pPr>
      </w:lvl>
    </w:lvlOverride>
    <w:lvlOverride w:ilvl="5">
      <w:startOverride w:val="1"/>
      <w:lvl w:ilvl="5" w:tplc="2ECEFC74">
        <w:start w:val="1"/>
        <w:numFmt w:val="decimal"/>
        <w:lvlText w:val="%6."/>
        <w:lvlJc w:val="right"/>
        <w:pPr>
          <w:ind w:left="3000" w:hanging="180"/>
        </w:pPr>
      </w:lvl>
    </w:lvlOverride>
    <w:lvlOverride w:ilvl="6">
      <w:startOverride w:val="1"/>
      <w:lvl w:ilvl="6" w:tplc="BA04A578">
        <w:start w:val="1"/>
        <w:numFmt w:val="decimal"/>
        <w:lvlText w:val="%7."/>
        <w:lvlJc w:val="right"/>
        <w:pPr>
          <w:ind w:left="3500" w:hanging="180"/>
        </w:pPr>
      </w:lvl>
    </w:lvlOverride>
    <w:lvlOverride w:ilvl="7">
      <w:startOverride w:val="1"/>
      <w:lvl w:ilvl="7" w:tplc="54E6772C">
        <w:start w:val="1"/>
        <w:numFmt w:val="decimal"/>
        <w:lvlText w:val="%8."/>
        <w:lvlJc w:val="right"/>
        <w:pPr>
          <w:ind w:left="4000" w:hanging="180"/>
        </w:pPr>
      </w:lvl>
    </w:lvlOverride>
    <w:lvlOverride w:ilvl="8">
      <w:startOverride w:val="1"/>
      <w:lvl w:ilvl="8" w:tplc="504A7832">
        <w:start w:val="1"/>
        <w:numFmt w:val="decimal"/>
        <w:lvlText w:val="%9."/>
        <w:lvlJc w:val="right"/>
        <w:pPr>
          <w:ind w:left="4500" w:hanging="180"/>
        </w:pPr>
      </w:lvl>
    </w:lvlOverride>
  </w:num>
  <w:num w:numId="19" w16cid:durableId="1848907069">
    <w:abstractNumId w:val="29"/>
    <w:lvlOverride w:ilvl="0">
      <w:startOverride w:val="1"/>
      <w:lvl w:ilvl="0" w:tplc="49CA61F8">
        <w:start w:val="1"/>
        <w:numFmt w:val="bullet"/>
        <w:lvlText w:val=""/>
        <w:lvlJc w:val="right"/>
        <w:pPr>
          <w:ind w:left="500" w:hanging="180"/>
        </w:pPr>
        <w:rPr>
          <w:rFonts w:ascii="Symbol" w:hAnsi="Symbol" w:hint="default"/>
        </w:rPr>
      </w:lvl>
    </w:lvlOverride>
    <w:lvlOverride w:ilvl="1">
      <w:startOverride w:val="1"/>
      <w:lvl w:ilvl="1" w:tplc="C6F2C462">
        <w:start w:val="1"/>
        <w:numFmt w:val="decimal"/>
        <w:lvlText w:val="%2."/>
        <w:lvlJc w:val="right"/>
        <w:pPr>
          <w:ind w:left="1000" w:hanging="180"/>
        </w:pPr>
      </w:lvl>
    </w:lvlOverride>
    <w:lvlOverride w:ilvl="2">
      <w:startOverride w:val="1"/>
      <w:lvl w:ilvl="2" w:tplc="61E4DB04">
        <w:start w:val="1"/>
        <w:numFmt w:val="decimal"/>
        <w:lvlText w:val="%3."/>
        <w:lvlJc w:val="right"/>
        <w:pPr>
          <w:ind w:left="1500" w:hanging="180"/>
        </w:pPr>
      </w:lvl>
    </w:lvlOverride>
    <w:lvlOverride w:ilvl="3">
      <w:startOverride w:val="1"/>
      <w:lvl w:ilvl="3" w:tplc="A4E465F2">
        <w:start w:val="1"/>
        <w:numFmt w:val="decimal"/>
        <w:lvlText w:val="%4."/>
        <w:lvlJc w:val="right"/>
        <w:pPr>
          <w:ind w:left="2000" w:hanging="180"/>
        </w:pPr>
      </w:lvl>
    </w:lvlOverride>
    <w:lvlOverride w:ilvl="4">
      <w:startOverride w:val="1"/>
      <w:lvl w:ilvl="4" w:tplc="55FE6C40">
        <w:start w:val="1"/>
        <w:numFmt w:val="decimal"/>
        <w:lvlText w:val="%5."/>
        <w:lvlJc w:val="right"/>
        <w:pPr>
          <w:ind w:left="2500" w:hanging="180"/>
        </w:pPr>
      </w:lvl>
    </w:lvlOverride>
    <w:lvlOverride w:ilvl="5">
      <w:startOverride w:val="1"/>
      <w:lvl w:ilvl="5" w:tplc="2ECEFC74">
        <w:start w:val="1"/>
        <w:numFmt w:val="decimal"/>
        <w:lvlText w:val="%6."/>
        <w:lvlJc w:val="right"/>
        <w:pPr>
          <w:ind w:left="3000" w:hanging="180"/>
        </w:pPr>
      </w:lvl>
    </w:lvlOverride>
    <w:lvlOverride w:ilvl="6">
      <w:startOverride w:val="1"/>
      <w:lvl w:ilvl="6" w:tplc="BA04A578">
        <w:start w:val="1"/>
        <w:numFmt w:val="decimal"/>
        <w:lvlText w:val="%7."/>
        <w:lvlJc w:val="right"/>
        <w:pPr>
          <w:ind w:left="3500" w:hanging="180"/>
        </w:pPr>
      </w:lvl>
    </w:lvlOverride>
    <w:lvlOverride w:ilvl="7">
      <w:startOverride w:val="1"/>
      <w:lvl w:ilvl="7" w:tplc="54E6772C">
        <w:start w:val="1"/>
        <w:numFmt w:val="decimal"/>
        <w:lvlText w:val="%8."/>
        <w:lvlJc w:val="right"/>
        <w:pPr>
          <w:ind w:left="4000" w:hanging="180"/>
        </w:pPr>
      </w:lvl>
    </w:lvlOverride>
    <w:lvlOverride w:ilvl="8">
      <w:startOverride w:val="1"/>
      <w:lvl w:ilvl="8" w:tplc="504A7832">
        <w:start w:val="1"/>
        <w:numFmt w:val="decimal"/>
        <w:lvlText w:val="%9."/>
        <w:lvlJc w:val="right"/>
        <w:pPr>
          <w:ind w:left="4500" w:hanging="180"/>
        </w:pPr>
      </w:lvl>
    </w:lvlOverride>
  </w:num>
  <w:num w:numId="20" w16cid:durableId="1504003599">
    <w:abstractNumId w:val="29"/>
    <w:lvlOverride w:ilvl="0">
      <w:startOverride w:val="1"/>
      <w:lvl w:ilvl="0" w:tplc="49CA61F8">
        <w:start w:val="1"/>
        <w:numFmt w:val="bullet"/>
        <w:lvlText w:val=""/>
        <w:lvlJc w:val="right"/>
        <w:pPr>
          <w:ind w:left="500" w:hanging="180"/>
        </w:pPr>
        <w:rPr>
          <w:rFonts w:ascii="Symbol" w:hAnsi="Symbol" w:hint="default"/>
        </w:rPr>
      </w:lvl>
    </w:lvlOverride>
    <w:lvlOverride w:ilvl="1">
      <w:startOverride w:val="1"/>
      <w:lvl w:ilvl="1" w:tplc="C6F2C462">
        <w:start w:val="1"/>
        <w:numFmt w:val="decimal"/>
        <w:lvlText w:val="%2."/>
        <w:lvlJc w:val="right"/>
        <w:pPr>
          <w:ind w:left="1000" w:hanging="180"/>
        </w:pPr>
      </w:lvl>
    </w:lvlOverride>
    <w:lvlOverride w:ilvl="2">
      <w:startOverride w:val="1"/>
      <w:lvl w:ilvl="2" w:tplc="61E4DB04">
        <w:start w:val="1"/>
        <w:numFmt w:val="decimal"/>
        <w:lvlText w:val="%3."/>
        <w:lvlJc w:val="right"/>
        <w:pPr>
          <w:ind w:left="1500" w:hanging="180"/>
        </w:pPr>
      </w:lvl>
    </w:lvlOverride>
    <w:lvlOverride w:ilvl="3">
      <w:startOverride w:val="1"/>
      <w:lvl w:ilvl="3" w:tplc="A4E465F2">
        <w:start w:val="1"/>
        <w:numFmt w:val="decimal"/>
        <w:lvlText w:val="%4."/>
        <w:lvlJc w:val="right"/>
        <w:pPr>
          <w:ind w:left="2000" w:hanging="180"/>
        </w:pPr>
      </w:lvl>
    </w:lvlOverride>
    <w:lvlOverride w:ilvl="4">
      <w:startOverride w:val="1"/>
      <w:lvl w:ilvl="4" w:tplc="55FE6C40">
        <w:start w:val="1"/>
        <w:numFmt w:val="decimal"/>
        <w:lvlText w:val="%5."/>
        <w:lvlJc w:val="right"/>
        <w:pPr>
          <w:ind w:left="2500" w:hanging="180"/>
        </w:pPr>
      </w:lvl>
    </w:lvlOverride>
    <w:lvlOverride w:ilvl="5">
      <w:startOverride w:val="1"/>
      <w:lvl w:ilvl="5" w:tplc="2ECEFC74">
        <w:start w:val="1"/>
        <w:numFmt w:val="decimal"/>
        <w:lvlText w:val="%6."/>
        <w:lvlJc w:val="right"/>
        <w:pPr>
          <w:ind w:left="3000" w:hanging="180"/>
        </w:pPr>
      </w:lvl>
    </w:lvlOverride>
    <w:lvlOverride w:ilvl="6">
      <w:startOverride w:val="1"/>
      <w:lvl w:ilvl="6" w:tplc="BA04A578">
        <w:start w:val="1"/>
        <w:numFmt w:val="decimal"/>
        <w:lvlText w:val="%7."/>
        <w:lvlJc w:val="right"/>
        <w:pPr>
          <w:ind w:left="3500" w:hanging="180"/>
        </w:pPr>
      </w:lvl>
    </w:lvlOverride>
    <w:lvlOverride w:ilvl="7">
      <w:startOverride w:val="1"/>
      <w:lvl w:ilvl="7" w:tplc="54E6772C">
        <w:start w:val="1"/>
        <w:numFmt w:val="decimal"/>
        <w:lvlText w:val="%8."/>
        <w:lvlJc w:val="right"/>
        <w:pPr>
          <w:ind w:left="4000" w:hanging="180"/>
        </w:pPr>
      </w:lvl>
    </w:lvlOverride>
    <w:lvlOverride w:ilvl="8">
      <w:startOverride w:val="1"/>
      <w:lvl w:ilvl="8" w:tplc="504A7832">
        <w:start w:val="1"/>
        <w:numFmt w:val="decimal"/>
        <w:lvlText w:val="%9."/>
        <w:lvlJc w:val="right"/>
        <w:pPr>
          <w:ind w:left="4500" w:hanging="180"/>
        </w:pPr>
      </w:lvl>
    </w:lvlOverride>
  </w:num>
  <w:num w:numId="21" w16cid:durableId="1436636790">
    <w:abstractNumId w:val="37"/>
    <w:lvlOverride w:ilvl="0">
      <w:startOverride w:val="1"/>
      <w:lvl w:ilvl="0" w:tplc="1B7E0F46">
        <w:start w:val="1"/>
        <w:numFmt w:val="bullet"/>
        <w:lvlText w:val=""/>
        <w:lvlJc w:val="right"/>
        <w:pPr>
          <w:ind w:left="500" w:hanging="180"/>
        </w:pPr>
        <w:rPr>
          <w:rFonts w:ascii="Symbol" w:hAnsi="Symbol" w:hint="default"/>
        </w:rPr>
      </w:lvl>
    </w:lvlOverride>
    <w:lvlOverride w:ilvl="1">
      <w:startOverride w:val="1"/>
      <w:lvl w:ilvl="1" w:tplc="6B620CFC">
        <w:start w:val="1"/>
        <w:numFmt w:val="decimal"/>
        <w:lvlText w:val="%2."/>
        <w:lvlJc w:val="right"/>
        <w:pPr>
          <w:ind w:left="1000" w:hanging="180"/>
        </w:pPr>
      </w:lvl>
    </w:lvlOverride>
    <w:lvlOverride w:ilvl="2">
      <w:startOverride w:val="1"/>
      <w:lvl w:ilvl="2" w:tplc="757ED178">
        <w:start w:val="1"/>
        <w:numFmt w:val="decimal"/>
        <w:lvlText w:val="%3."/>
        <w:lvlJc w:val="right"/>
        <w:pPr>
          <w:ind w:left="1500" w:hanging="180"/>
        </w:pPr>
      </w:lvl>
    </w:lvlOverride>
    <w:lvlOverride w:ilvl="3">
      <w:startOverride w:val="1"/>
      <w:lvl w:ilvl="3" w:tplc="9632971C">
        <w:start w:val="1"/>
        <w:numFmt w:val="decimal"/>
        <w:lvlText w:val="%4."/>
        <w:lvlJc w:val="right"/>
        <w:pPr>
          <w:ind w:left="2000" w:hanging="180"/>
        </w:pPr>
      </w:lvl>
    </w:lvlOverride>
    <w:lvlOverride w:ilvl="4">
      <w:startOverride w:val="1"/>
      <w:lvl w:ilvl="4" w:tplc="74C04E0E">
        <w:start w:val="1"/>
        <w:numFmt w:val="decimal"/>
        <w:lvlText w:val="%5."/>
        <w:lvlJc w:val="right"/>
        <w:pPr>
          <w:ind w:left="2500" w:hanging="180"/>
        </w:pPr>
      </w:lvl>
    </w:lvlOverride>
    <w:lvlOverride w:ilvl="5">
      <w:startOverride w:val="1"/>
      <w:lvl w:ilvl="5" w:tplc="DC6CDE06">
        <w:start w:val="1"/>
        <w:numFmt w:val="decimal"/>
        <w:lvlText w:val="%6."/>
        <w:lvlJc w:val="right"/>
        <w:pPr>
          <w:ind w:left="3000" w:hanging="180"/>
        </w:pPr>
      </w:lvl>
    </w:lvlOverride>
    <w:lvlOverride w:ilvl="6">
      <w:startOverride w:val="1"/>
      <w:lvl w:ilvl="6" w:tplc="24F2AE3A">
        <w:start w:val="1"/>
        <w:numFmt w:val="decimal"/>
        <w:lvlText w:val="%7."/>
        <w:lvlJc w:val="right"/>
        <w:pPr>
          <w:ind w:left="3500" w:hanging="180"/>
        </w:pPr>
      </w:lvl>
    </w:lvlOverride>
    <w:lvlOverride w:ilvl="7">
      <w:startOverride w:val="1"/>
      <w:lvl w:ilvl="7" w:tplc="9396848E">
        <w:start w:val="1"/>
        <w:numFmt w:val="decimal"/>
        <w:lvlText w:val="%8."/>
        <w:lvlJc w:val="right"/>
        <w:pPr>
          <w:ind w:left="4000" w:hanging="180"/>
        </w:pPr>
      </w:lvl>
    </w:lvlOverride>
    <w:lvlOverride w:ilvl="8">
      <w:startOverride w:val="1"/>
      <w:lvl w:ilvl="8" w:tplc="A1AE3F40">
        <w:start w:val="1"/>
        <w:numFmt w:val="decimal"/>
        <w:lvlText w:val="%9."/>
        <w:lvlJc w:val="right"/>
        <w:pPr>
          <w:ind w:left="4500" w:hanging="180"/>
        </w:pPr>
      </w:lvl>
    </w:lvlOverride>
  </w:num>
  <w:num w:numId="22" w16cid:durableId="731582487">
    <w:abstractNumId w:val="37"/>
    <w:lvlOverride w:ilvl="0">
      <w:startOverride w:val="1"/>
      <w:lvl w:ilvl="0" w:tplc="1B7E0F46">
        <w:start w:val="1"/>
        <w:numFmt w:val="bullet"/>
        <w:lvlText w:val=""/>
        <w:lvlJc w:val="right"/>
        <w:pPr>
          <w:ind w:left="500" w:hanging="180"/>
        </w:pPr>
        <w:rPr>
          <w:rFonts w:ascii="Symbol" w:hAnsi="Symbol" w:hint="default"/>
        </w:rPr>
      </w:lvl>
    </w:lvlOverride>
    <w:lvlOverride w:ilvl="1">
      <w:startOverride w:val="1"/>
      <w:lvl w:ilvl="1" w:tplc="6B620CFC">
        <w:start w:val="1"/>
        <w:numFmt w:val="decimal"/>
        <w:lvlText w:val="%2."/>
        <w:lvlJc w:val="right"/>
        <w:pPr>
          <w:ind w:left="1000" w:hanging="180"/>
        </w:pPr>
      </w:lvl>
    </w:lvlOverride>
    <w:lvlOverride w:ilvl="2">
      <w:startOverride w:val="1"/>
      <w:lvl w:ilvl="2" w:tplc="757ED178">
        <w:start w:val="1"/>
        <w:numFmt w:val="decimal"/>
        <w:lvlText w:val="%3."/>
        <w:lvlJc w:val="right"/>
        <w:pPr>
          <w:ind w:left="1500" w:hanging="180"/>
        </w:pPr>
      </w:lvl>
    </w:lvlOverride>
    <w:lvlOverride w:ilvl="3">
      <w:startOverride w:val="1"/>
      <w:lvl w:ilvl="3" w:tplc="9632971C">
        <w:start w:val="1"/>
        <w:numFmt w:val="decimal"/>
        <w:lvlText w:val="%4."/>
        <w:lvlJc w:val="right"/>
        <w:pPr>
          <w:ind w:left="2000" w:hanging="180"/>
        </w:pPr>
      </w:lvl>
    </w:lvlOverride>
    <w:lvlOverride w:ilvl="4">
      <w:startOverride w:val="1"/>
      <w:lvl w:ilvl="4" w:tplc="74C04E0E">
        <w:start w:val="1"/>
        <w:numFmt w:val="decimal"/>
        <w:lvlText w:val="%5."/>
        <w:lvlJc w:val="right"/>
        <w:pPr>
          <w:ind w:left="2500" w:hanging="180"/>
        </w:pPr>
      </w:lvl>
    </w:lvlOverride>
    <w:lvlOverride w:ilvl="5">
      <w:startOverride w:val="1"/>
      <w:lvl w:ilvl="5" w:tplc="DC6CDE06">
        <w:start w:val="1"/>
        <w:numFmt w:val="decimal"/>
        <w:lvlText w:val="%6."/>
        <w:lvlJc w:val="right"/>
        <w:pPr>
          <w:ind w:left="3000" w:hanging="180"/>
        </w:pPr>
      </w:lvl>
    </w:lvlOverride>
    <w:lvlOverride w:ilvl="6">
      <w:startOverride w:val="1"/>
      <w:lvl w:ilvl="6" w:tplc="24F2AE3A">
        <w:start w:val="1"/>
        <w:numFmt w:val="decimal"/>
        <w:lvlText w:val="%7."/>
        <w:lvlJc w:val="right"/>
        <w:pPr>
          <w:ind w:left="3500" w:hanging="180"/>
        </w:pPr>
      </w:lvl>
    </w:lvlOverride>
    <w:lvlOverride w:ilvl="7">
      <w:startOverride w:val="1"/>
      <w:lvl w:ilvl="7" w:tplc="9396848E">
        <w:start w:val="1"/>
        <w:numFmt w:val="decimal"/>
        <w:lvlText w:val="%8."/>
        <w:lvlJc w:val="right"/>
        <w:pPr>
          <w:ind w:left="4000" w:hanging="180"/>
        </w:pPr>
      </w:lvl>
    </w:lvlOverride>
    <w:lvlOverride w:ilvl="8">
      <w:startOverride w:val="1"/>
      <w:lvl w:ilvl="8" w:tplc="A1AE3F40">
        <w:start w:val="1"/>
        <w:numFmt w:val="decimal"/>
        <w:lvlText w:val="%9."/>
        <w:lvlJc w:val="right"/>
        <w:pPr>
          <w:ind w:left="4500" w:hanging="180"/>
        </w:pPr>
      </w:lvl>
    </w:lvlOverride>
  </w:num>
  <w:num w:numId="23" w16cid:durableId="391539257">
    <w:abstractNumId w:val="45"/>
    <w:lvlOverride w:ilvl="0">
      <w:startOverride w:val="1"/>
      <w:lvl w:ilvl="0" w:tplc="B4EAF53C">
        <w:start w:val="1"/>
        <w:numFmt w:val="bullet"/>
        <w:lvlText w:val=""/>
        <w:lvlJc w:val="right"/>
        <w:pPr>
          <w:ind w:left="500" w:hanging="180"/>
        </w:pPr>
        <w:rPr>
          <w:rFonts w:ascii="Symbol" w:hAnsi="Symbol" w:hint="default"/>
        </w:rPr>
      </w:lvl>
    </w:lvlOverride>
    <w:lvlOverride w:ilvl="1">
      <w:startOverride w:val="1"/>
      <w:lvl w:ilvl="1" w:tplc="8C0EA0D6">
        <w:start w:val="1"/>
        <w:numFmt w:val="decimal"/>
        <w:lvlText w:val="%2."/>
        <w:lvlJc w:val="right"/>
        <w:pPr>
          <w:ind w:left="1000" w:hanging="180"/>
        </w:pPr>
      </w:lvl>
    </w:lvlOverride>
    <w:lvlOverride w:ilvl="2">
      <w:startOverride w:val="1"/>
      <w:lvl w:ilvl="2" w:tplc="B58AE68E">
        <w:start w:val="1"/>
        <w:numFmt w:val="decimal"/>
        <w:lvlText w:val="%3."/>
        <w:lvlJc w:val="right"/>
        <w:pPr>
          <w:ind w:left="1500" w:hanging="180"/>
        </w:pPr>
      </w:lvl>
    </w:lvlOverride>
    <w:lvlOverride w:ilvl="3">
      <w:startOverride w:val="1"/>
      <w:lvl w:ilvl="3" w:tplc="7E5E8442">
        <w:start w:val="1"/>
        <w:numFmt w:val="decimal"/>
        <w:lvlText w:val="%4."/>
        <w:lvlJc w:val="right"/>
        <w:pPr>
          <w:ind w:left="2000" w:hanging="180"/>
        </w:pPr>
      </w:lvl>
    </w:lvlOverride>
    <w:lvlOverride w:ilvl="4">
      <w:startOverride w:val="1"/>
      <w:lvl w:ilvl="4" w:tplc="70EC8BEA">
        <w:start w:val="1"/>
        <w:numFmt w:val="decimal"/>
        <w:lvlText w:val="%5."/>
        <w:lvlJc w:val="right"/>
        <w:pPr>
          <w:ind w:left="2500" w:hanging="180"/>
        </w:pPr>
      </w:lvl>
    </w:lvlOverride>
    <w:lvlOverride w:ilvl="5">
      <w:startOverride w:val="1"/>
      <w:lvl w:ilvl="5" w:tplc="2BA605A4">
        <w:start w:val="1"/>
        <w:numFmt w:val="decimal"/>
        <w:lvlText w:val="%6."/>
        <w:lvlJc w:val="right"/>
        <w:pPr>
          <w:ind w:left="3000" w:hanging="180"/>
        </w:pPr>
      </w:lvl>
    </w:lvlOverride>
    <w:lvlOverride w:ilvl="6">
      <w:startOverride w:val="1"/>
      <w:lvl w:ilvl="6" w:tplc="BB08C46A">
        <w:start w:val="1"/>
        <w:numFmt w:val="decimal"/>
        <w:lvlText w:val="%7."/>
        <w:lvlJc w:val="right"/>
        <w:pPr>
          <w:ind w:left="3500" w:hanging="180"/>
        </w:pPr>
      </w:lvl>
    </w:lvlOverride>
    <w:lvlOverride w:ilvl="7">
      <w:startOverride w:val="1"/>
      <w:lvl w:ilvl="7" w:tplc="95AED58C">
        <w:start w:val="1"/>
        <w:numFmt w:val="decimal"/>
        <w:lvlText w:val="%8."/>
        <w:lvlJc w:val="right"/>
        <w:pPr>
          <w:ind w:left="4000" w:hanging="180"/>
        </w:pPr>
      </w:lvl>
    </w:lvlOverride>
    <w:lvlOverride w:ilvl="8">
      <w:startOverride w:val="1"/>
      <w:lvl w:ilvl="8" w:tplc="0274613E">
        <w:start w:val="1"/>
        <w:numFmt w:val="decimal"/>
        <w:lvlText w:val="%9."/>
        <w:lvlJc w:val="right"/>
        <w:pPr>
          <w:ind w:left="4500" w:hanging="180"/>
        </w:pPr>
      </w:lvl>
    </w:lvlOverride>
  </w:num>
  <w:num w:numId="24" w16cid:durableId="382601410">
    <w:abstractNumId w:val="45"/>
    <w:lvlOverride w:ilvl="0">
      <w:startOverride w:val="1"/>
      <w:lvl w:ilvl="0" w:tplc="B4EAF53C">
        <w:start w:val="1"/>
        <w:numFmt w:val="bullet"/>
        <w:lvlText w:val=""/>
        <w:lvlJc w:val="right"/>
        <w:pPr>
          <w:ind w:left="500" w:hanging="180"/>
        </w:pPr>
        <w:rPr>
          <w:rFonts w:ascii="Symbol" w:hAnsi="Symbol" w:hint="default"/>
        </w:rPr>
      </w:lvl>
    </w:lvlOverride>
    <w:lvlOverride w:ilvl="1">
      <w:startOverride w:val="1"/>
      <w:lvl w:ilvl="1" w:tplc="8C0EA0D6">
        <w:start w:val="1"/>
        <w:numFmt w:val="decimal"/>
        <w:lvlText w:val="%2."/>
        <w:lvlJc w:val="right"/>
        <w:pPr>
          <w:ind w:left="1000" w:hanging="180"/>
        </w:pPr>
      </w:lvl>
    </w:lvlOverride>
    <w:lvlOverride w:ilvl="2">
      <w:startOverride w:val="1"/>
      <w:lvl w:ilvl="2" w:tplc="B58AE68E">
        <w:start w:val="1"/>
        <w:numFmt w:val="decimal"/>
        <w:lvlText w:val="%3."/>
        <w:lvlJc w:val="right"/>
        <w:pPr>
          <w:ind w:left="1500" w:hanging="180"/>
        </w:pPr>
      </w:lvl>
    </w:lvlOverride>
    <w:lvlOverride w:ilvl="3">
      <w:startOverride w:val="1"/>
      <w:lvl w:ilvl="3" w:tplc="7E5E8442">
        <w:start w:val="1"/>
        <w:numFmt w:val="decimal"/>
        <w:lvlText w:val="%4."/>
        <w:lvlJc w:val="right"/>
        <w:pPr>
          <w:ind w:left="2000" w:hanging="180"/>
        </w:pPr>
      </w:lvl>
    </w:lvlOverride>
    <w:lvlOverride w:ilvl="4">
      <w:startOverride w:val="1"/>
      <w:lvl w:ilvl="4" w:tplc="70EC8BEA">
        <w:start w:val="1"/>
        <w:numFmt w:val="decimal"/>
        <w:lvlText w:val="%5."/>
        <w:lvlJc w:val="right"/>
        <w:pPr>
          <w:ind w:left="2500" w:hanging="180"/>
        </w:pPr>
      </w:lvl>
    </w:lvlOverride>
    <w:lvlOverride w:ilvl="5">
      <w:startOverride w:val="1"/>
      <w:lvl w:ilvl="5" w:tplc="2BA605A4">
        <w:start w:val="1"/>
        <w:numFmt w:val="decimal"/>
        <w:lvlText w:val="%6."/>
        <w:lvlJc w:val="right"/>
        <w:pPr>
          <w:ind w:left="3000" w:hanging="180"/>
        </w:pPr>
      </w:lvl>
    </w:lvlOverride>
    <w:lvlOverride w:ilvl="6">
      <w:startOverride w:val="1"/>
      <w:lvl w:ilvl="6" w:tplc="BB08C46A">
        <w:start w:val="1"/>
        <w:numFmt w:val="decimal"/>
        <w:lvlText w:val="%7."/>
        <w:lvlJc w:val="right"/>
        <w:pPr>
          <w:ind w:left="3500" w:hanging="180"/>
        </w:pPr>
      </w:lvl>
    </w:lvlOverride>
    <w:lvlOverride w:ilvl="7">
      <w:startOverride w:val="1"/>
      <w:lvl w:ilvl="7" w:tplc="95AED58C">
        <w:start w:val="1"/>
        <w:numFmt w:val="decimal"/>
        <w:lvlText w:val="%8."/>
        <w:lvlJc w:val="right"/>
        <w:pPr>
          <w:ind w:left="4000" w:hanging="180"/>
        </w:pPr>
      </w:lvl>
    </w:lvlOverride>
    <w:lvlOverride w:ilvl="8">
      <w:startOverride w:val="1"/>
      <w:lvl w:ilvl="8" w:tplc="0274613E">
        <w:start w:val="1"/>
        <w:numFmt w:val="decimal"/>
        <w:lvlText w:val="%9."/>
        <w:lvlJc w:val="right"/>
        <w:pPr>
          <w:ind w:left="4500" w:hanging="180"/>
        </w:pPr>
      </w:lvl>
    </w:lvlOverride>
  </w:num>
  <w:num w:numId="25" w16cid:durableId="723791335">
    <w:abstractNumId w:val="46"/>
    <w:lvlOverride w:ilvl="0">
      <w:startOverride w:val="1"/>
      <w:lvl w:ilvl="0" w:tplc="E9982AE8">
        <w:start w:val="1"/>
        <w:numFmt w:val="bullet"/>
        <w:lvlText w:val=""/>
        <w:lvlJc w:val="right"/>
        <w:pPr>
          <w:ind w:left="500" w:hanging="180"/>
        </w:pPr>
        <w:rPr>
          <w:rFonts w:ascii="Symbol" w:hAnsi="Symbol" w:hint="default"/>
        </w:rPr>
      </w:lvl>
    </w:lvlOverride>
    <w:lvlOverride w:ilvl="1">
      <w:startOverride w:val="1"/>
      <w:lvl w:ilvl="1" w:tplc="90BE4358">
        <w:start w:val="1"/>
        <w:numFmt w:val="decimal"/>
        <w:lvlText w:val="%2."/>
        <w:lvlJc w:val="right"/>
        <w:pPr>
          <w:ind w:left="1000" w:hanging="180"/>
        </w:pPr>
      </w:lvl>
    </w:lvlOverride>
    <w:lvlOverride w:ilvl="2">
      <w:startOverride w:val="1"/>
      <w:lvl w:ilvl="2" w:tplc="0C265C4A">
        <w:start w:val="1"/>
        <w:numFmt w:val="decimal"/>
        <w:lvlText w:val="%3."/>
        <w:lvlJc w:val="right"/>
        <w:pPr>
          <w:ind w:left="1500" w:hanging="180"/>
        </w:pPr>
      </w:lvl>
    </w:lvlOverride>
    <w:lvlOverride w:ilvl="3">
      <w:startOverride w:val="1"/>
      <w:lvl w:ilvl="3" w:tplc="E26270DE">
        <w:start w:val="1"/>
        <w:numFmt w:val="decimal"/>
        <w:lvlText w:val="%4."/>
        <w:lvlJc w:val="right"/>
        <w:pPr>
          <w:ind w:left="2000" w:hanging="180"/>
        </w:pPr>
      </w:lvl>
    </w:lvlOverride>
    <w:lvlOverride w:ilvl="4">
      <w:startOverride w:val="1"/>
      <w:lvl w:ilvl="4" w:tplc="65AA9072">
        <w:start w:val="1"/>
        <w:numFmt w:val="decimal"/>
        <w:lvlText w:val="%5."/>
        <w:lvlJc w:val="right"/>
        <w:pPr>
          <w:ind w:left="2500" w:hanging="180"/>
        </w:pPr>
      </w:lvl>
    </w:lvlOverride>
    <w:lvlOverride w:ilvl="5">
      <w:startOverride w:val="1"/>
      <w:lvl w:ilvl="5" w:tplc="0024BCAE">
        <w:start w:val="1"/>
        <w:numFmt w:val="decimal"/>
        <w:lvlText w:val="%6."/>
        <w:lvlJc w:val="right"/>
        <w:pPr>
          <w:ind w:left="3000" w:hanging="180"/>
        </w:pPr>
      </w:lvl>
    </w:lvlOverride>
    <w:lvlOverride w:ilvl="6">
      <w:startOverride w:val="1"/>
      <w:lvl w:ilvl="6" w:tplc="F83CA78A">
        <w:start w:val="1"/>
        <w:numFmt w:val="decimal"/>
        <w:lvlText w:val="%7."/>
        <w:lvlJc w:val="right"/>
        <w:pPr>
          <w:ind w:left="3500" w:hanging="180"/>
        </w:pPr>
      </w:lvl>
    </w:lvlOverride>
    <w:lvlOverride w:ilvl="7">
      <w:startOverride w:val="1"/>
      <w:lvl w:ilvl="7" w:tplc="DFEC1CE8">
        <w:start w:val="1"/>
        <w:numFmt w:val="decimal"/>
        <w:lvlText w:val="%8."/>
        <w:lvlJc w:val="right"/>
        <w:pPr>
          <w:ind w:left="4000" w:hanging="180"/>
        </w:pPr>
      </w:lvl>
    </w:lvlOverride>
    <w:lvlOverride w:ilvl="8">
      <w:startOverride w:val="1"/>
      <w:lvl w:ilvl="8" w:tplc="4E101B5A">
        <w:start w:val="1"/>
        <w:numFmt w:val="decimal"/>
        <w:lvlText w:val="%9."/>
        <w:lvlJc w:val="right"/>
        <w:pPr>
          <w:ind w:left="4500" w:hanging="180"/>
        </w:pPr>
      </w:lvl>
    </w:lvlOverride>
  </w:num>
  <w:num w:numId="26" w16cid:durableId="376010979">
    <w:abstractNumId w:val="46"/>
    <w:lvlOverride w:ilvl="0">
      <w:startOverride w:val="1"/>
      <w:lvl w:ilvl="0" w:tplc="E9982AE8">
        <w:start w:val="1"/>
        <w:numFmt w:val="bullet"/>
        <w:lvlText w:val=""/>
        <w:lvlJc w:val="right"/>
        <w:pPr>
          <w:ind w:left="500" w:hanging="180"/>
        </w:pPr>
        <w:rPr>
          <w:rFonts w:ascii="Symbol" w:hAnsi="Symbol" w:hint="default"/>
        </w:rPr>
      </w:lvl>
    </w:lvlOverride>
    <w:lvlOverride w:ilvl="1">
      <w:startOverride w:val="1"/>
      <w:lvl w:ilvl="1" w:tplc="90BE4358">
        <w:start w:val="1"/>
        <w:numFmt w:val="decimal"/>
        <w:lvlText w:val="%2."/>
        <w:lvlJc w:val="right"/>
        <w:pPr>
          <w:ind w:left="1000" w:hanging="180"/>
        </w:pPr>
      </w:lvl>
    </w:lvlOverride>
    <w:lvlOverride w:ilvl="2">
      <w:startOverride w:val="1"/>
      <w:lvl w:ilvl="2" w:tplc="0C265C4A">
        <w:start w:val="1"/>
        <w:numFmt w:val="decimal"/>
        <w:lvlText w:val="%3."/>
        <w:lvlJc w:val="right"/>
        <w:pPr>
          <w:ind w:left="1500" w:hanging="180"/>
        </w:pPr>
      </w:lvl>
    </w:lvlOverride>
    <w:lvlOverride w:ilvl="3">
      <w:startOverride w:val="1"/>
      <w:lvl w:ilvl="3" w:tplc="E26270DE">
        <w:start w:val="1"/>
        <w:numFmt w:val="decimal"/>
        <w:lvlText w:val="%4."/>
        <w:lvlJc w:val="right"/>
        <w:pPr>
          <w:ind w:left="2000" w:hanging="180"/>
        </w:pPr>
      </w:lvl>
    </w:lvlOverride>
    <w:lvlOverride w:ilvl="4">
      <w:startOverride w:val="1"/>
      <w:lvl w:ilvl="4" w:tplc="65AA9072">
        <w:start w:val="1"/>
        <w:numFmt w:val="decimal"/>
        <w:lvlText w:val="%5."/>
        <w:lvlJc w:val="right"/>
        <w:pPr>
          <w:ind w:left="2500" w:hanging="180"/>
        </w:pPr>
      </w:lvl>
    </w:lvlOverride>
    <w:lvlOverride w:ilvl="5">
      <w:startOverride w:val="1"/>
      <w:lvl w:ilvl="5" w:tplc="0024BCAE">
        <w:start w:val="1"/>
        <w:numFmt w:val="decimal"/>
        <w:lvlText w:val="%6."/>
        <w:lvlJc w:val="right"/>
        <w:pPr>
          <w:ind w:left="3000" w:hanging="180"/>
        </w:pPr>
      </w:lvl>
    </w:lvlOverride>
    <w:lvlOverride w:ilvl="6">
      <w:startOverride w:val="1"/>
      <w:lvl w:ilvl="6" w:tplc="F83CA78A">
        <w:start w:val="1"/>
        <w:numFmt w:val="decimal"/>
        <w:lvlText w:val="%7."/>
        <w:lvlJc w:val="right"/>
        <w:pPr>
          <w:ind w:left="3500" w:hanging="180"/>
        </w:pPr>
      </w:lvl>
    </w:lvlOverride>
    <w:lvlOverride w:ilvl="7">
      <w:startOverride w:val="1"/>
      <w:lvl w:ilvl="7" w:tplc="DFEC1CE8">
        <w:start w:val="1"/>
        <w:numFmt w:val="decimal"/>
        <w:lvlText w:val="%8."/>
        <w:lvlJc w:val="right"/>
        <w:pPr>
          <w:ind w:left="4000" w:hanging="180"/>
        </w:pPr>
      </w:lvl>
    </w:lvlOverride>
    <w:lvlOverride w:ilvl="8">
      <w:startOverride w:val="1"/>
      <w:lvl w:ilvl="8" w:tplc="4E101B5A">
        <w:start w:val="1"/>
        <w:numFmt w:val="decimal"/>
        <w:lvlText w:val="%9."/>
        <w:lvlJc w:val="right"/>
        <w:pPr>
          <w:ind w:left="4500" w:hanging="180"/>
        </w:pPr>
      </w:lvl>
    </w:lvlOverride>
  </w:num>
  <w:num w:numId="27" w16cid:durableId="1131283837">
    <w:abstractNumId w:val="46"/>
    <w:lvlOverride w:ilvl="0">
      <w:startOverride w:val="1"/>
      <w:lvl w:ilvl="0" w:tplc="E9982AE8">
        <w:start w:val="1"/>
        <w:numFmt w:val="bullet"/>
        <w:lvlText w:val=""/>
        <w:lvlJc w:val="right"/>
        <w:pPr>
          <w:ind w:left="500" w:hanging="180"/>
        </w:pPr>
        <w:rPr>
          <w:rFonts w:ascii="Symbol" w:hAnsi="Symbol" w:hint="default"/>
        </w:rPr>
      </w:lvl>
    </w:lvlOverride>
    <w:lvlOverride w:ilvl="1">
      <w:startOverride w:val="1"/>
      <w:lvl w:ilvl="1" w:tplc="90BE4358">
        <w:start w:val="1"/>
        <w:numFmt w:val="decimal"/>
        <w:lvlText w:val="%2."/>
        <w:lvlJc w:val="right"/>
        <w:pPr>
          <w:ind w:left="1000" w:hanging="180"/>
        </w:pPr>
      </w:lvl>
    </w:lvlOverride>
    <w:lvlOverride w:ilvl="2">
      <w:startOverride w:val="1"/>
      <w:lvl w:ilvl="2" w:tplc="0C265C4A">
        <w:start w:val="1"/>
        <w:numFmt w:val="decimal"/>
        <w:lvlText w:val="%3."/>
        <w:lvlJc w:val="right"/>
        <w:pPr>
          <w:ind w:left="1500" w:hanging="180"/>
        </w:pPr>
      </w:lvl>
    </w:lvlOverride>
    <w:lvlOverride w:ilvl="3">
      <w:startOverride w:val="1"/>
      <w:lvl w:ilvl="3" w:tplc="E26270DE">
        <w:start w:val="1"/>
        <w:numFmt w:val="decimal"/>
        <w:lvlText w:val="%4."/>
        <w:lvlJc w:val="right"/>
        <w:pPr>
          <w:ind w:left="2000" w:hanging="180"/>
        </w:pPr>
      </w:lvl>
    </w:lvlOverride>
    <w:lvlOverride w:ilvl="4">
      <w:startOverride w:val="1"/>
      <w:lvl w:ilvl="4" w:tplc="65AA9072">
        <w:start w:val="1"/>
        <w:numFmt w:val="decimal"/>
        <w:lvlText w:val="%5."/>
        <w:lvlJc w:val="right"/>
        <w:pPr>
          <w:ind w:left="2500" w:hanging="180"/>
        </w:pPr>
      </w:lvl>
    </w:lvlOverride>
    <w:lvlOverride w:ilvl="5">
      <w:startOverride w:val="1"/>
      <w:lvl w:ilvl="5" w:tplc="0024BCAE">
        <w:start w:val="1"/>
        <w:numFmt w:val="decimal"/>
        <w:lvlText w:val="%6."/>
        <w:lvlJc w:val="right"/>
        <w:pPr>
          <w:ind w:left="3000" w:hanging="180"/>
        </w:pPr>
      </w:lvl>
    </w:lvlOverride>
    <w:lvlOverride w:ilvl="6">
      <w:startOverride w:val="1"/>
      <w:lvl w:ilvl="6" w:tplc="F83CA78A">
        <w:start w:val="1"/>
        <w:numFmt w:val="decimal"/>
        <w:lvlText w:val="%7."/>
        <w:lvlJc w:val="right"/>
        <w:pPr>
          <w:ind w:left="3500" w:hanging="180"/>
        </w:pPr>
      </w:lvl>
    </w:lvlOverride>
    <w:lvlOverride w:ilvl="7">
      <w:startOverride w:val="1"/>
      <w:lvl w:ilvl="7" w:tplc="DFEC1CE8">
        <w:start w:val="1"/>
        <w:numFmt w:val="decimal"/>
        <w:lvlText w:val="%8."/>
        <w:lvlJc w:val="right"/>
        <w:pPr>
          <w:ind w:left="4000" w:hanging="180"/>
        </w:pPr>
      </w:lvl>
    </w:lvlOverride>
    <w:lvlOverride w:ilvl="8">
      <w:startOverride w:val="1"/>
      <w:lvl w:ilvl="8" w:tplc="4E101B5A">
        <w:start w:val="1"/>
        <w:numFmt w:val="decimal"/>
        <w:lvlText w:val="%9."/>
        <w:lvlJc w:val="right"/>
        <w:pPr>
          <w:ind w:left="4500" w:hanging="180"/>
        </w:pPr>
      </w:lvl>
    </w:lvlOverride>
  </w:num>
  <w:num w:numId="28" w16cid:durableId="305546447">
    <w:abstractNumId w:val="15"/>
    <w:lvlOverride w:ilvl="0">
      <w:startOverride w:val="1"/>
      <w:lvl w:ilvl="0" w:tplc="C04CBD50">
        <w:start w:val="1"/>
        <w:numFmt w:val="decimal"/>
        <w:lvlText w:val="%1."/>
        <w:lvlJc w:val="right"/>
        <w:pPr>
          <w:ind w:left="500" w:hanging="180"/>
        </w:pPr>
      </w:lvl>
    </w:lvlOverride>
    <w:lvlOverride w:ilvl="1">
      <w:startOverride w:val="1"/>
      <w:lvl w:ilvl="1" w:tplc="3412267A">
        <w:start w:val="1"/>
        <w:numFmt w:val="decimal"/>
        <w:lvlText w:val="%2."/>
        <w:lvlJc w:val="right"/>
        <w:pPr>
          <w:ind w:left="1000" w:hanging="180"/>
        </w:pPr>
      </w:lvl>
    </w:lvlOverride>
    <w:lvlOverride w:ilvl="2">
      <w:startOverride w:val="1"/>
      <w:lvl w:ilvl="2" w:tplc="77F6BAE2">
        <w:start w:val="1"/>
        <w:numFmt w:val="decimal"/>
        <w:lvlText w:val="%3."/>
        <w:lvlJc w:val="right"/>
        <w:pPr>
          <w:ind w:left="1500" w:hanging="180"/>
        </w:pPr>
      </w:lvl>
    </w:lvlOverride>
    <w:lvlOverride w:ilvl="3">
      <w:startOverride w:val="1"/>
      <w:lvl w:ilvl="3" w:tplc="E5A6AB06">
        <w:start w:val="1"/>
        <w:numFmt w:val="decimal"/>
        <w:lvlText w:val="%4."/>
        <w:lvlJc w:val="right"/>
        <w:pPr>
          <w:ind w:left="2000" w:hanging="180"/>
        </w:pPr>
      </w:lvl>
    </w:lvlOverride>
    <w:lvlOverride w:ilvl="4">
      <w:startOverride w:val="1"/>
      <w:lvl w:ilvl="4" w:tplc="834EE334">
        <w:start w:val="1"/>
        <w:numFmt w:val="decimal"/>
        <w:lvlText w:val="%5."/>
        <w:lvlJc w:val="right"/>
        <w:pPr>
          <w:ind w:left="2500" w:hanging="180"/>
        </w:pPr>
      </w:lvl>
    </w:lvlOverride>
    <w:lvlOverride w:ilvl="5">
      <w:startOverride w:val="1"/>
      <w:lvl w:ilvl="5" w:tplc="E14CA790">
        <w:start w:val="1"/>
        <w:numFmt w:val="decimal"/>
        <w:lvlText w:val="%6."/>
        <w:lvlJc w:val="right"/>
        <w:pPr>
          <w:ind w:left="3000" w:hanging="180"/>
        </w:pPr>
      </w:lvl>
    </w:lvlOverride>
    <w:lvlOverride w:ilvl="6">
      <w:startOverride w:val="1"/>
      <w:lvl w:ilvl="6" w:tplc="B6E283E4">
        <w:start w:val="1"/>
        <w:numFmt w:val="decimal"/>
        <w:lvlText w:val="%7."/>
        <w:lvlJc w:val="right"/>
        <w:pPr>
          <w:ind w:left="3500" w:hanging="180"/>
        </w:pPr>
      </w:lvl>
    </w:lvlOverride>
    <w:lvlOverride w:ilvl="7">
      <w:startOverride w:val="1"/>
      <w:lvl w:ilvl="7" w:tplc="2C703822">
        <w:start w:val="1"/>
        <w:numFmt w:val="decimal"/>
        <w:lvlText w:val="%8."/>
        <w:lvlJc w:val="right"/>
        <w:pPr>
          <w:ind w:left="4000" w:hanging="180"/>
        </w:pPr>
      </w:lvl>
    </w:lvlOverride>
    <w:lvlOverride w:ilvl="8">
      <w:startOverride w:val="1"/>
      <w:lvl w:ilvl="8" w:tplc="BEDE0120">
        <w:start w:val="1"/>
        <w:numFmt w:val="decimal"/>
        <w:lvlText w:val="%9."/>
        <w:lvlJc w:val="right"/>
        <w:pPr>
          <w:ind w:left="4500" w:hanging="180"/>
        </w:pPr>
      </w:lvl>
    </w:lvlOverride>
  </w:num>
  <w:num w:numId="29" w16cid:durableId="1124229520">
    <w:abstractNumId w:val="27"/>
    <w:lvlOverride w:ilvl="0">
      <w:startOverride w:val="1"/>
      <w:lvl w:ilvl="0" w:tplc="7D70D244">
        <w:start w:val="1"/>
        <w:numFmt w:val="bullet"/>
        <w:lvlText w:val=""/>
        <w:lvlJc w:val="right"/>
        <w:pPr>
          <w:ind w:left="500" w:hanging="180"/>
        </w:pPr>
        <w:rPr>
          <w:rFonts w:ascii="Symbol" w:hAnsi="Symbol" w:hint="default"/>
        </w:rPr>
      </w:lvl>
    </w:lvlOverride>
    <w:lvlOverride w:ilvl="1">
      <w:startOverride w:val="1"/>
      <w:lvl w:ilvl="1" w:tplc="EFF414A6">
        <w:start w:val="1"/>
        <w:numFmt w:val="decimal"/>
        <w:lvlText w:val="%2."/>
        <w:lvlJc w:val="right"/>
        <w:pPr>
          <w:ind w:left="1000" w:hanging="180"/>
        </w:pPr>
      </w:lvl>
    </w:lvlOverride>
    <w:lvlOverride w:ilvl="2">
      <w:startOverride w:val="1"/>
      <w:lvl w:ilvl="2" w:tplc="6DCED98A">
        <w:start w:val="1"/>
        <w:numFmt w:val="decimal"/>
        <w:lvlText w:val="%3."/>
        <w:lvlJc w:val="right"/>
        <w:pPr>
          <w:ind w:left="1500" w:hanging="180"/>
        </w:pPr>
      </w:lvl>
    </w:lvlOverride>
    <w:lvlOverride w:ilvl="3">
      <w:startOverride w:val="1"/>
      <w:lvl w:ilvl="3" w:tplc="18060072">
        <w:start w:val="1"/>
        <w:numFmt w:val="decimal"/>
        <w:lvlText w:val="%4."/>
        <w:lvlJc w:val="right"/>
        <w:pPr>
          <w:ind w:left="2000" w:hanging="180"/>
        </w:pPr>
      </w:lvl>
    </w:lvlOverride>
    <w:lvlOverride w:ilvl="4">
      <w:startOverride w:val="1"/>
      <w:lvl w:ilvl="4" w:tplc="549A0FC8">
        <w:start w:val="1"/>
        <w:numFmt w:val="decimal"/>
        <w:lvlText w:val="%5."/>
        <w:lvlJc w:val="right"/>
        <w:pPr>
          <w:ind w:left="2500" w:hanging="180"/>
        </w:pPr>
      </w:lvl>
    </w:lvlOverride>
    <w:lvlOverride w:ilvl="5">
      <w:startOverride w:val="1"/>
      <w:lvl w:ilvl="5" w:tplc="E8D4CCDE">
        <w:start w:val="1"/>
        <w:numFmt w:val="decimal"/>
        <w:lvlText w:val="%6."/>
        <w:lvlJc w:val="right"/>
        <w:pPr>
          <w:ind w:left="3000" w:hanging="180"/>
        </w:pPr>
      </w:lvl>
    </w:lvlOverride>
    <w:lvlOverride w:ilvl="6">
      <w:startOverride w:val="1"/>
      <w:lvl w:ilvl="6" w:tplc="E4342B04">
        <w:start w:val="1"/>
        <w:numFmt w:val="decimal"/>
        <w:lvlText w:val="%7."/>
        <w:lvlJc w:val="right"/>
        <w:pPr>
          <w:ind w:left="3500" w:hanging="180"/>
        </w:pPr>
      </w:lvl>
    </w:lvlOverride>
    <w:lvlOverride w:ilvl="7">
      <w:startOverride w:val="1"/>
      <w:lvl w:ilvl="7" w:tplc="A1326444">
        <w:start w:val="1"/>
        <w:numFmt w:val="decimal"/>
        <w:lvlText w:val="%8."/>
        <w:lvlJc w:val="right"/>
        <w:pPr>
          <w:ind w:left="4000" w:hanging="180"/>
        </w:pPr>
      </w:lvl>
    </w:lvlOverride>
    <w:lvlOverride w:ilvl="8">
      <w:startOverride w:val="1"/>
      <w:lvl w:ilvl="8" w:tplc="E610741E">
        <w:start w:val="1"/>
        <w:numFmt w:val="decimal"/>
        <w:lvlText w:val="%9."/>
        <w:lvlJc w:val="right"/>
        <w:pPr>
          <w:ind w:left="4500" w:hanging="180"/>
        </w:pPr>
      </w:lvl>
    </w:lvlOverride>
  </w:num>
  <w:num w:numId="30" w16cid:durableId="92554773">
    <w:abstractNumId w:val="49"/>
    <w:lvlOverride w:ilvl="0">
      <w:startOverride w:val="1"/>
      <w:lvl w:ilvl="0" w:tplc="F3AA498E">
        <w:start w:val="1"/>
        <w:numFmt w:val="bullet"/>
        <w:lvlText w:val=""/>
        <w:lvlJc w:val="right"/>
        <w:pPr>
          <w:ind w:left="500" w:hanging="180"/>
        </w:pPr>
        <w:rPr>
          <w:rFonts w:ascii="Symbol" w:hAnsi="Symbol" w:hint="default"/>
        </w:rPr>
      </w:lvl>
    </w:lvlOverride>
    <w:lvlOverride w:ilvl="1">
      <w:startOverride w:val="1"/>
      <w:lvl w:ilvl="1" w:tplc="1F50BDD0">
        <w:start w:val="1"/>
        <w:numFmt w:val="decimal"/>
        <w:lvlText w:val="%2."/>
        <w:lvlJc w:val="right"/>
        <w:pPr>
          <w:ind w:left="1000" w:hanging="180"/>
        </w:pPr>
      </w:lvl>
    </w:lvlOverride>
    <w:lvlOverride w:ilvl="2">
      <w:startOverride w:val="1"/>
      <w:lvl w:ilvl="2" w:tplc="7A3842C6">
        <w:start w:val="1"/>
        <w:numFmt w:val="decimal"/>
        <w:lvlText w:val="%3."/>
        <w:lvlJc w:val="right"/>
        <w:pPr>
          <w:ind w:left="1500" w:hanging="180"/>
        </w:pPr>
      </w:lvl>
    </w:lvlOverride>
    <w:lvlOverride w:ilvl="3">
      <w:startOverride w:val="1"/>
      <w:lvl w:ilvl="3" w:tplc="FD4CF51A">
        <w:start w:val="1"/>
        <w:numFmt w:val="decimal"/>
        <w:lvlText w:val="%4."/>
        <w:lvlJc w:val="right"/>
        <w:pPr>
          <w:ind w:left="2000" w:hanging="180"/>
        </w:pPr>
      </w:lvl>
    </w:lvlOverride>
    <w:lvlOverride w:ilvl="4">
      <w:startOverride w:val="1"/>
      <w:lvl w:ilvl="4" w:tplc="A2E82FDE">
        <w:start w:val="1"/>
        <w:numFmt w:val="decimal"/>
        <w:lvlText w:val="%5."/>
        <w:lvlJc w:val="right"/>
        <w:pPr>
          <w:ind w:left="2500" w:hanging="180"/>
        </w:pPr>
      </w:lvl>
    </w:lvlOverride>
    <w:lvlOverride w:ilvl="5">
      <w:startOverride w:val="1"/>
      <w:lvl w:ilvl="5" w:tplc="AB7C6032">
        <w:start w:val="1"/>
        <w:numFmt w:val="decimal"/>
        <w:lvlText w:val="%6."/>
        <w:lvlJc w:val="right"/>
        <w:pPr>
          <w:ind w:left="3000" w:hanging="180"/>
        </w:pPr>
      </w:lvl>
    </w:lvlOverride>
    <w:lvlOverride w:ilvl="6">
      <w:startOverride w:val="1"/>
      <w:lvl w:ilvl="6" w:tplc="B6567544">
        <w:start w:val="1"/>
        <w:numFmt w:val="decimal"/>
        <w:lvlText w:val="%7."/>
        <w:lvlJc w:val="right"/>
        <w:pPr>
          <w:ind w:left="3500" w:hanging="180"/>
        </w:pPr>
      </w:lvl>
    </w:lvlOverride>
    <w:lvlOverride w:ilvl="7">
      <w:startOverride w:val="1"/>
      <w:lvl w:ilvl="7" w:tplc="1068E592">
        <w:start w:val="1"/>
        <w:numFmt w:val="decimal"/>
        <w:lvlText w:val="%8."/>
        <w:lvlJc w:val="right"/>
        <w:pPr>
          <w:ind w:left="4000" w:hanging="180"/>
        </w:pPr>
      </w:lvl>
    </w:lvlOverride>
    <w:lvlOverride w:ilvl="8">
      <w:startOverride w:val="1"/>
      <w:lvl w:ilvl="8" w:tplc="9B2ED5BE">
        <w:start w:val="1"/>
        <w:numFmt w:val="decimal"/>
        <w:lvlText w:val="%9."/>
        <w:lvlJc w:val="right"/>
        <w:pPr>
          <w:ind w:left="4500" w:hanging="180"/>
        </w:pPr>
      </w:lvl>
    </w:lvlOverride>
  </w:num>
  <w:num w:numId="31" w16cid:durableId="1992706736">
    <w:abstractNumId w:val="43"/>
    <w:lvlOverride w:ilvl="0">
      <w:startOverride w:val="1"/>
      <w:lvl w:ilvl="0" w:tplc="24229EF4">
        <w:start w:val="1"/>
        <w:numFmt w:val="bullet"/>
        <w:lvlText w:val=""/>
        <w:lvlJc w:val="right"/>
        <w:pPr>
          <w:ind w:left="500" w:hanging="180"/>
        </w:pPr>
        <w:rPr>
          <w:rFonts w:ascii="Symbol" w:hAnsi="Symbol" w:hint="default"/>
        </w:rPr>
      </w:lvl>
    </w:lvlOverride>
    <w:lvlOverride w:ilvl="1">
      <w:startOverride w:val="1"/>
      <w:lvl w:ilvl="1" w:tplc="9DEE3CB6">
        <w:start w:val="1"/>
        <w:numFmt w:val="decimal"/>
        <w:lvlText w:val="%2."/>
        <w:lvlJc w:val="right"/>
        <w:pPr>
          <w:ind w:left="1000" w:hanging="180"/>
        </w:pPr>
      </w:lvl>
    </w:lvlOverride>
    <w:lvlOverride w:ilvl="2">
      <w:startOverride w:val="1"/>
      <w:lvl w:ilvl="2" w:tplc="837499A8">
        <w:start w:val="1"/>
        <w:numFmt w:val="decimal"/>
        <w:lvlText w:val="%3."/>
        <w:lvlJc w:val="right"/>
        <w:pPr>
          <w:ind w:left="1500" w:hanging="180"/>
        </w:pPr>
      </w:lvl>
    </w:lvlOverride>
    <w:lvlOverride w:ilvl="3">
      <w:startOverride w:val="1"/>
      <w:lvl w:ilvl="3" w:tplc="2F90ED6C">
        <w:start w:val="1"/>
        <w:numFmt w:val="decimal"/>
        <w:lvlText w:val="%4."/>
        <w:lvlJc w:val="right"/>
        <w:pPr>
          <w:ind w:left="2000" w:hanging="180"/>
        </w:pPr>
      </w:lvl>
    </w:lvlOverride>
    <w:lvlOverride w:ilvl="4">
      <w:startOverride w:val="1"/>
      <w:lvl w:ilvl="4" w:tplc="D01A2510">
        <w:start w:val="1"/>
        <w:numFmt w:val="decimal"/>
        <w:lvlText w:val="%5."/>
        <w:lvlJc w:val="right"/>
        <w:pPr>
          <w:ind w:left="2500" w:hanging="180"/>
        </w:pPr>
      </w:lvl>
    </w:lvlOverride>
    <w:lvlOverride w:ilvl="5">
      <w:startOverride w:val="1"/>
      <w:lvl w:ilvl="5" w:tplc="62442BE4">
        <w:start w:val="1"/>
        <w:numFmt w:val="decimal"/>
        <w:lvlText w:val="%6."/>
        <w:lvlJc w:val="right"/>
        <w:pPr>
          <w:ind w:left="3000" w:hanging="180"/>
        </w:pPr>
      </w:lvl>
    </w:lvlOverride>
    <w:lvlOverride w:ilvl="6">
      <w:startOverride w:val="1"/>
      <w:lvl w:ilvl="6" w:tplc="3AFA18B4">
        <w:start w:val="1"/>
        <w:numFmt w:val="decimal"/>
        <w:lvlText w:val="%7."/>
        <w:lvlJc w:val="right"/>
        <w:pPr>
          <w:ind w:left="3500" w:hanging="180"/>
        </w:pPr>
      </w:lvl>
    </w:lvlOverride>
    <w:lvlOverride w:ilvl="7">
      <w:startOverride w:val="1"/>
      <w:lvl w:ilvl="7" w:tplc="2C32D12E">
        <w:start w:val="1"/>
        <w:numFmt w:val="decimal"/>
        <w:lvlText w:val="%8."/>
        <w:lvlJc w:val="right"/>
        <w:pPr>
          <w:ind w:left="4000" w:hanging="180"/>
        </w:pPr>
      </w:lvl>
    </w:lvlOverride>
    <w:lvlOverride w:ilvl="8">
      <w:startOverride w:val="1"/>
      <w:lvl w:ilvl="8" w:tplc="8222FAFA">
        <w:start w:val="1"/>
        <w:numFmt w:val="decimal"/>
        <w:lvlText w:val="%9."/>
        <w:lvlJc w:val="right"/>
        <w:pPr>
          <w:ind w:left="4500" w:hanging="180"/>
        </w:pPr>
      </w:lvl>
    </w:lvlOverride>
  </w:num>
  <w:num w:numId="32" w16cid:durableId="468599388">
    <w:abstractNumId w:val="43"/>
    <w:lvlOverride w:ilvl="0">
      <w:startOverride w:val="1"/>
      <w:lvl w:ilvl="0" w:tplc="24229EF4">
        <w:start w:val="1"/>
        <w:numFmt w:val="bullet"/>
        <w:lvlText w:val=""/>
        <w:lvlJc w:val="right"/>
        <w:pPr>
          <w:ind w:left="500" w:hanging="180"/>
        </w:pPr>
        <w:rPr>
          <w:rFonts w:ascii="Symbol" w:hAnsi="Symbol" w:hint="default"/>
        </w:rPr>
      </w:lvl>
    </w:lvlOverride>
    <w:lvlOverride w:ilvl="1">
      <w:startOverride w:val="1"/>
      <w:lvl w:ilvl="1" w:tplc="9DEE3CB6">
        <w:start w:val="1"/>
        <w:numFmt w:val="decimal"/>
        <w:lvlText w:val="%2."/>
        <w:lvlJc w:val="right"/>
        <w:pPr>
          <w:ind w:left="1000" w:hanging="180"/>
        </w:pPr>
      </w:lvl>
    </w:lvlOverride>
    <w:lvlOverride w:ilvl="2">
      <w:startOverride w:val="1"/>
      <w:lvl w:ilvl="2" w:tplc="837499A8">
        <w:start w:val="1"/>
        <w:numFmt w:val="decimal"/>
        <w:lvlText w:val="%3."/>
        <w:lvlJc w:val="right"/>
        <w:pPr>
          <w:ind w:left="1500" w:hanging="180"/>
        </w:pPr>
      </w:lvl>
    </w:lvlOverride>
    <w:lvlOverride w:ilvl="3">
      <w:startOverride w:val="1"/>
      <w:lvl w:ilvl="3" w:tplc="2F90ED6C">
        <w:start w:val="1"/>
        <w:numFmt w:val="decimal"/>
        <w:lvlText w:val="%4."/>
        <w:lvlJc w:val="right"/>
        <w:pPr>
          <w:ind w:left="2000" w:hanging="180"/>
        </w:pPr>
      </w:lvl>
    </w:lvlOverride>
    <w:lvlOverride w:ilvl="4">
      <w:startOverride w:val="1"/>
      <w:lvl w:ilvl="4" w:tplc="D01A2510">
        <w:start w:val="1"/>
        <w:numFmt w:val="decimal"/>
        <w:lvlText w:val="%5."/>
        <w:lvlJc w:val="right"/>
        <w:pPr>
          <w:ind w:left="2500" w:hanging="180"/>
        </w:pPr>
      </w:lvl>
    </w:lvlOverride>
    <w:lvlOverride w:ilvl="5">
      <w:startOverride w:val="1"/>
      <w:lvl w:ilvl="5" w:tplc="62442BE4">
        <w:start w:val="1"/>
        <w:numFmt w:val="decimal"/>
        <w:lvlText w:val="%6."/>
        <w:lvlJc w:val="right"/>
        <w:pPr>
          <w:ind w:left="3000" w:hanging="180"/>
        </w:pPr>
      </w:lvl>
    </w:lvlOverride>
    <w:lvlOverride w:ilvl="6">
      <w:startOverride w:val="1"/>
      <w:lvl w:ilvl="6" w:tplc="3AFA18B4">
        <w:start w:val="1"/>
        <w:numFmt w:val="decimal"/>
        <w:lvlText w:val="%7."/>
        <w:lvlJc w:val="right"/>
        <w:pPr>
          <w:ind w:left="3500" w:hanging="180"/>
        </w:pPr>
      </w:lvl>
    </w:lvlOverride>
    <w:lvlOverride w:ilvl="7">
      <w:startOverride w:val="1"/>
      <w:lvl w:ilvl="7" w:tplc="2C32D12E">
        <w:start w:val="1"/>
        <w:numFmt w:val="decimal"/>
        <w:lvlText w:val="%8."/>
        <w:lvlJc w:val="right"/>
        <w:pPr>
          <w:ind w:left="4000" w:hanging="180"/>
        </w:pPr>
      </w:lvl>
    </w:lvlOverride>
    <w:lvlOverride w:ilvl="8">
      <w:startOverride w:val="1"/>
      <w:lvl w:ilvl="8" w:tplc="8222FAFA">
        <w:start w:val="1"/>
        <w:numFmt w:val="decimal"/>
        <w:lvlText w:val="%9."/>
        <w:lvlJc w:val="right"/>
        <w:pPr>
          <w:ind w:left="4500" w:hanging="180"/>
        </w:pPr>
      </w:lvl>
    </w:lvlOverride>
  </w:num>
  <w:num w:numId="33" w16cid:durableId="243687985">
    <w:abstractNumId w:val="7"/>
    <w:lvlOverride w:ilvl="0">
      <w:startOverride w:val="1"/>
      <w:lvl w:ilvl="0" w:tplc="8D52F5F6">
        <w:start w:val="1"/>
        <w:numFmt w:val="bullet"/>
        <w:lvlText w:val=""/>
        <w:lvlJc w:val="right"/>
        <w:pPr>
          <w:ind w:left="500" w:hanging="180"/>
        </w:pPr>
        <w:rPr>
          <w:rFonts w:ascii="Symbol" w:hAnsi="Symbol" w:hint="default"/>
        </w:rPr>
      </w:lvl>
    </w:lvlOverride>
    <w:lvlOverride w:ilvl="1">
      <w:startOverride w:val="1"/>
      <w:lvl w:ilvl="1" w:tplc="7DEAF406">
        <w:start w:val="1"/>
        <w:numFmt w:val="decimal"/>
        <w:lvlText w:val="%2."/>
        <w:lvlJc w:val="right"/>
        <w:pPr>
          <w:ind w:left="1000" w:hanging="180"/>
        </w:pPr>
      </w:lvl>
    </w:lvlOverride>
    <w:lvlOverride w:ilvl="2">
      <w:startOverride w:val="1"/>
      <w:lvl w:ilvl="2" w:tplc="42CAC9D8">
        <w:start w:val="1"/>
        <w:numFmt w:val="decimal"/>
        <w:lvlText w:val="%3."/>
        <w:lvlJc w:val="right"/>
        <w:pPr>
          <w:ind w:left="1500" w:hanging="180"/>
        </w:pPr>
      </w:lvl>
    </w:lvlOverride>
    <w:lvlOverride w:ilvl="3">
      <w:startOverride w:val="1"/>
      <w:lvl w:ilvl="3" w:tplc="ED1AA2BA">
        <w:start w:val="1"/>
        <w:numFmt w:val="decimal"/>
        <w:lvlText w:val="%4."/>
        <w:lvlJc w:val="right"/>
        <w:pPr>
          <w:ind w:left="2000" w:hanging="180"/>
        </w:pPr>
      </w:lvl>
    </w:lvlOverride>
    <w:lvlOverride w:ilvl="4">
      <w:startOverride w:val="1"/>
      <w:lvl w:ilvl="4" w:tplc="5C66479E">
        <w:start w:val="1"/>
        <w:numFmt w:val="decimal"/>
        <w:lvlText w:val="%5."/>
        <w:lvlJc w:val="right"/>
        <w:pPr>
          <w:ind w:left="2500" w:hanging="180"/>
        </w:pPr>
      </w:lvl>
    </w:lvlOverride>
    <w:lvlOverride w:ilvl="5">
      <w:startOverride w:val="1"/>
      <w:lvl w:ilvl="5" w:tplc="035AEA5A">
        <w:start w:val="1"/>
        <w:numFmt w:val="decimal"/>
        <w:lvlText w:val="%6."/>
        <w:lvlJc w:val="right"/>
        <w:pPr>
          <w:ind w:left="3000" w:hanging="180"/>
        </w:pPr>
      </w:lvl>
    </w:lvlOverride>
    <w:lvlOverride w:ilvl="6">
      <w:startOverride w:val="1"/>
      <w:lvl w:ilvl="6" w:tplc="425C3942">
        <w:start w:val="1"/>
        <w:numFmt w:val="decimal"/>
        <w:lvlText w:val="%7."/>
        <w:lvlJc w:val="right"/>
        <w:pPr>
          <w:ind w:left="3500" w:hanging="180"/>
        </w:pPr>
      </w:lvl>
    </w:lvlOverride>
    <w:lvlOverride w:ilvl="7">
      <w:startOverride w:val="1"/>
      <w:lvl w:ilvl="7" w:tplc="1A8E027E">
        <w:start w:val="1"/>
        <w:numFmt w:val="decimal"/>
        <w:lvlText w:val="%8."/>
        <w:lvlJc w:val="right"/>
        <w:pPr>
          <w:ind w:left="4000" w:hanging="180"/>
        </w:pPr>
      </w:lvl>
    </w:lvlOverride>
    <w:lvlOverride w:ilvl="8">
      <w:startOverride w:val="1"/>
      <w:lvl w:ilvl="8" w:tplc="1C9A863C">
        <w:start w:val="1"/>
        <w:numFmt w:val="decimal"/>
        <w:lvlText w:val="%9."/>
        <w:lvlJc w:val="right"/>
        <w:pPr>
          <w:ind w:left="4500" w:hanging="180"/>
        </w:pPr>
      </w:lvl>
    </w:lvlOverride>
  </w:num>
  <w:num w:numId="34" w16cid:durableId="1988508227">
    <w:abstractNumId w:val="10"/>
    <w:lvlOverride w:ilvl="0">
      <w:startOverride w:val="1"/>
      <w:lvl w:ilvl="0" w:tplc="6E3EA81E">
        <w:start w:val="1"/>
        <w:numFmt w:val="bullet"/>
        <w:lvlText w:val=""/>
        <w:lvlJc w:val="right"/>
        <w:pPr>
          <w:ind w:left="500" w:hanging="180"/>
        </w:pPr>
        <w:rPr>
          <w:rFonts w:ascii="Symbol" w:hAnsi="Symbol" w:hint="default"/>
        </w:rPr>
      </w:lvl>
    </w:lvlOverride>
    <w:lvlOverride w:ilvl="1">
      <w:startOverride w:val="1"/>
      <w:lvl w:ilvl="1" w:tplc="28362D9C">
        <w:start w:val="1"/>
        <w:numFmt w:val="decimal"/>
        <w:pStyle w:val="BulletParagraphLevel2"/>
        <w:lvlText w:val="%2."/>
        <w:lvlJc w:val="right"/>
        <w:pPr>
          <w:ind w:left="1000" w:hanging="180"/>
        </w:pPr>
      </w:lvl>
    </w:lvlOverride>
    <w:lvlOverride w:ilvl="2">
      <w:startOverride w:val="1"/>
      <w:lvl w:ilvl="2" w:tplc="4078CFAE">
        <w:start w:val="1"/>
        <w:numFmt w:val="decimal"/>
        <w:lvlText w:val="%3."/>
        <w:lvlJc w:val="right"/>
        <w:pPr>
          <w:ind w:left="1500" w:hanging="180"/>
        </w:pPr>
      </w:lvl>
    </w:lvlOverride>
    <w:lvlOverride w:ilvl="3">
      <w:startOverride w:val="1"/>
      <w:lvl w:ilvl="3" w:tplc="FE2EDAFE">
        <w:start w:val="1"/>
        <w:numFmt w:val="decimal"/>
        <w:lvlText w:val="%4."/>
        <w:lvlJc w:val="right"/>
        <w:pPr>
          <w:ind w:left="2000" w:hanging="180"/>
        </w:pPr>
      </w:lvl>
    </w:lvlOverride>
    <w:lvlOverride w:ilvl="4">
      <w:startOverride w:val="1"/>
      <w:lvl w:ilvl="4" w:tplc="E3527C78">
        <w:start w:val="1"/>
        <w:numFmt w:val="decimal"/>
        <w:lvlText w:val="%5."/>
        <w:lvlJc w:val="right"/>
        <w:pPr>
          <w:ind w:left="2500" w:hanging="180"/>
        </w:pPr>
      </w:lvl>
    </w:lvlOverride>
    <w:lvlOverride w:ilvl="5">
      <w:startOverride w:val="1"/>
      <w:lvl w:ilvl="5" w:tplc="87369D1A">
        <w:start w:val="1"/>
        <w:numFmt w:val="decimal"/>
        <w:lvlText w:val="%6."/>
        <w:lvlJc w:val="right"/>
        <w:pPr>
          <w:ind w:left="3000" w:hanging="180"/>
        </w:pPr>
      </w:lvl>
    </w:lvlOverride>
    <w:lvlOverride w:ilvl="6">
      <w:startOverride w:val="1"/>
      <w:lvl w:ilvl="6" w:tplc="6E169A58">
        <w:start w:val="1"/>
        <w:numFmt w:val="decimal"/>
        <w:lvlText w:val="%7."/>
        <w:lvlJc w:val="right"/>
        <w:pPr>
          <w:ind w:left="3500" w:hanging="180"/>
        </w:pPr>
      </w:lvl>
    </w:lvlOverride>
    <w:lvlOverride w:ilvl="7">
      <w:startOverride w:val="1"/>
      <w:lvl w:ilvl="7" w:tplc="BBAC5D68">
        <w:start w:val="1"/>
        <w:numFmt w:val="decimal"/>
        <w:lvlText w:val="%8."/>
        <w:lvlJc w:val="right"/>
        <w:pPr>
          <w:ind w:left="4000" w:hanging="180"/>
        </w:pPr>
      </w:lvl>
    </w:lvlOverride>
    <w:lvlOverride w:ilvl="8">
      <w:startOverride w:val="1"/>
      <w:lvl w:ilvl="8" w:tplc="FB860BC6">
        <w:start w:val="1"/>
        <w:numFmt w:val="decimal"/>
        <w:lvlText w:val="%9."/>
        <w:lvlJc w:val="right"/>
        <w:pPr>
          <w:ind w:left="4500" w:hanging="180"/>
        </w:pPr>
      </w:lvl>
    </w:lvlOverride>
  </w:num>
  <w:num w:numId="35" w16cid:durableId="362051933">
    <w:abstractNumId w:val="22"/>
    <w:lvlOverride w:ilvl="0">
      <w:startOverride w:val="1"/>
      <w:lvl w:ilvl="0" w:tplc="3F16BF7C">
        <w:start w:val="1"/>
        <w:numFmt w:val="bullet"/>
        <w:lvlText w:val=""/>
        <w:lvlJc w:val="right"/>
        <w:pPr>
          <w:ind w:left="500" w:hanging="180"/>
        </w:pPr>
        <w:rPr>
          <w:rFonts w:ascii="Symbol" w:hAnsi="Symbol" w:hint="default"/>
        </w:rPr>
      </w:lvl>
    </w:lvlOverride>
    <w:lvlOverride w:ilvl="1">
      <w:startOverride w:val="1"/>
      <w:lvl w:ilvl="1" w:tplc="70169AB4">
        <w:start w:val="1"/>
        <w:numFmt w:val="decimal"/>
        <w:lvlText w:val="%2."/>
        <w:lvlJc w:val="right"/>
        <w:pPr>
          <w:ind w:left="1000" w:hanging="180"/>
        </w:pPr>
      </w:lvl>
    </w:lvlOverride>
    <w:lvlOverride w:ilvl="2">
      <w:startOverride w:val="1"/>
      <w:lvl w:ilvl="2" w:tplc="935804A4">
        <w:start w:val="1"/>
        <w:numFmt w:val="decimal"/>
        <w:lvlText w:val="%3."/>
        <w:lvlJc w:val="right"/>
        <w:pPr>
          <w:ind w:left="1500" w:hanging="180"/>
        </w:pPr>
      </w:lvl>
    </w:lvlOverride>
    <w:lvlOverride w:ilvl="3">
      <w:startOverride w:val="1"/>
      <w:lvl w:ilvl="3" w:tplc="7BAA959C">
        <w:start w:val="1"/>
        <w:numFmt w:val="decimal"/>
        <w:lvlText w:val="%4."/>
        <w:lvlJc w:val="right"/>
        <w:pPr>
          <w:ind w:left="2000" w:hanging="180"/>
        </w:pPr>
      </w:lvl>
    </w:lvlOverride>
    <w:lvlOverride w:ilvl="4">
      <w:startOverride w:val="1"/>
      <w:lvl w:ilvl="4" w:tplc="27BA733C">
        <w:start w:val="1"/>
        <w:numFmt w:val="decimal"/>
        <w:lvlText w:val="%5."/>
        <w:lvlJc w:val="right"/>
        <w:pPr>
          <w:ind w:left="2500" w:hanging="180"/>
        </w:pPr>
      </w:lvl>
    </w:lvlOverride>
    <w:lvlOverride w:ilvl="5">
      <w:startOverride w:val="1"/>
      <w:lvl w:ilvl="5" w:tplc="1E62E28C">
        <w:start w:val="1"/>
        <w:numFmt w:val="decimal"/>
        <w:lvlText w:val="%6."/>
        <w:lvlJc w:val="right"/>
        <w:pPr>
          <w:ind w:left="3000" w:hanging="180"/>
        </w:pPr>
      </w:lvl>
    </w:lvlOverride>
    <w:lvlOverride w:ilvl="6">
      <w:startOverride w:val="1"/>
      <w:lvl w:ilvl="6" w:tplc="DB0AB2EC">
        <w:start w:val="1"/>
        <w:numFmt w:val="decimal"/>
        <w:lvlText w:val="%7."/>
        <w:lvlJc w:val="right"/>
        <w:pPr>
          <w:ind w:left="3500" w:hanging="180"/>
        </w:pPr>
      </w:lvl>
    </w:lvlOverride>
    <w:lvlOverride w:ilvl="7">
      <w:startOverride w:val="1"/>
      <w:lvl w:ilvl="7" w:tplc="A3C43656">
        <w:start w:val="1"/>
        <w:numFmt w:val="decimal"/>
        <w:lvlText w:val="%8."/>
        <w:lvlJc w:val="right"/>
        <w:pPr>
          <w:ind w:left="4000" w:hanging="180"/>
        </w:pPr>
      </w:lvl>
    </w:lvlOverride>
    <w:lvlOverride w:ilvl="8">
      <w:startOverride w:val="1"/>
      <w:lvl w:ilvl="8" w:tplc="10D8B282">
        <w:start w:val="1"/>
        <w:numFmt w:val="decimal"/>
        <w:lvlText w:val="%9."/>
        <w:lvlJc w:val="right"/>
        <w:pPr>
          <w:ind w:left="4500" w:hanging="180"/>
        </w:pPr>
      </w:lvl>
    </w:lvlOverride>
  </w:num>
  <w:num w:numId="36" w16cid:durableId="1078476882">
    <w:abstractNumId w:val="22"/>
    <w:lvlOverride w:ilvl="0">
      <w:startOverride w:val="1"/>
      <w:lvl w:ilvl="0" w:tplc="3F16BF7C">
        <w:start w:val="1"/>
        <w:numFmt w:val="bullet"/>
        <w:lvlText w:val=""/>
        <w:lvlJc w:val="right"/>
        <w:pPr>
          <w:ind w:left="500" w:hanging="180"/>
        </w:pPr>
        <w:rPr>
          <w:rFonts w:ascii="Symbol" w:hAnsi="Symbol" w:hint="default"/>
        </w:rPr>
      </w:lvl>
    </w:lvlOverride>
    <w:lvlOverride w:ilvl="1">
      <w:startOverride w:val="1"/>
      <w:lvl w:ilvl="1" w:tplc="70169AB4">
        <w:start w:val="1"/>
        <w:numFmt w:val="decimal"/>
        <w:lvlText w:val="%2."/>
        <w:lvlJc w:val="right"/>
        <w:pPr>
          <w:ind w:left="1000" w:hanging="180"/>
        </w:pPr>
      </w:lvl>
    </w:lvlOverride>
    <w:lvlOverride w:ilvl="2">
      <w:startOverride w:val="1"/>
      <w:lvl w:ilvl="2" w:tplc="935804A4">
        <w:start w:val="1"/>
        <w:numFmt w:val="decimal"/>
        <w:lvlText w:val="%3."/>
        <w:lvlJc w:val="right"/>
        <w:pPr>
          <w:ind w:left="1500" w:hanging="180"/>
        </w:pPr>
      </w:lvl>
    </w:lvlOverride>
    <w:lvlOverride w:ilvl="3">
      <w:startOverride w:val="1"/>
      <w:lvl w:ilvl="3" w:tplc="7BAA959C">
        <w:start w:val="1"/>
        <w:numFmt w:val="decimal"/>
        <w:lvlText w:val="%4."/>
        <w:lvlJc w:val="right"/>
        <w:pPr>
          <w:ind w:left="2000" w:hanging="180"/>
        </w:pPr>
      </w:lvl>
    </w:lvlOverride>
    <w:lvlOverride w:ilvl="4">
      <w:startOverride w:val="1"/>
      <w:lvl w:ilvl="4" w:tplc="27BA733C">
        <w:start w:val="1"/>
        <w:numFmt w:val="decimal"/>
        <w:lvlText w:val="%5."/>
        <w:lvlJc w:val="right"/>
        <w:pPr>
          <w:ind w:left="2500" w:hanging="180"/>
        </w:pPr>
      </w:lvl>
    </w:lvlOverride>
    <w:lvlOverride w:ilvl="5">
      <w:startOverride w:val="1"/>
      <w:lvl w:ilvl="5" w:tplc="1E62E28C">
        <w:start w:val="1"/>
        <w:numFmt w:val="decimal"/>
        <w:lvlText w:val="%6."/>
        <w:lvlJc w:val="right"/>
        <w:pPr>
          <w:ind w:left="3000" w:hanging="180"/>
        </w:pPr>
      </w:lvl>
    </w:lvlOverride>
    <w:lvlOverride w:ilvl="6">
      <w:startOverride w:val="1"/>
      <w:lvl w:ilvl="6" w:tplc="DB0AB2EC">
        <w:start w:val="1"/>
        <w:numFmt w:val="decimal"/>
        <w:lvlText w:val="%7."/>
        <w:lvlJc w:val="right"/>
        <w:pPr>
          <w:ind w:left="3500" w:hanging="180"/>
        </w:pPr>
      </w:lvl>
    </w:lvlOverride>
    <w:lvlOverride w:ilvl="7">
      <w:startOverride w:val="1"/>
      <w:lvl w:ilvl="7" w:tplc="A3C43656">
        <w:start w:val="1"/>
        <w:numFmt w:val="decimal"/>
        <w:lvlText w:val="%8."/>
        <w:lvlJc w:val="right"/>
        <w:pPr>
          <w:ind w:left="4000" w:hanging="180"/>
        </w:pPr>
      </w:lvl>
    </w:lvlOverride>
    <w:lvlOverride w:ilvl="8">
      <w:startOverride w:val="1"/>
      <w:lvl w:ilvl="8" w:tplc="10D8B282">
        <w:start w:val="1"/>
        <w:numFmt w:val="decimal"/>
        <w:lvlText w:val="%9."/>
        <w:lvlJc w:val="right"/>
        <w:pPr>
          <w:ind w:left="4500" w:hanging="180"/>
        </w:pPr>
      </w:lvl>
    </w:lvlOverride>
  </w:num>
  <w:num w:numId="37" w16cid:durableId="993723616">
    <w:abstractNumId w:val="22"/>
    <w:lvlOverride w:ilvl="0">
      <w:startOverride w:val="1"/>
      <w:lvl w:ilvl="0" w:tplc="3F16BF7C">
        <w:start w:val="1"/>
        <w:numFmt w:val="bullet"/>
        <w:lvlText w:val=""/>
        <w:lvlJc w:val="right"/>
        <w:pPr>
          <w:ind w:left="500" w:hanging="180"/>
        </w:pPr>
        <w:rPr>
          <w:rFonts w:ascii="Symbol" w:hAnsi="Symbol" w:hint="default"/>
        </w:rPr>
      </w:lvl>
    </w:lvlOverride>
    <w:lvlOverride w:ilvl="1">
      <w:startOverride w:val="1"/>
      <w:lvl w:ilvl="1" w:tplc="70169AB4">
        <w:start w:val="1"/>
        <w:numFmt w:val="decimal"/>
        <w:lvlText w:val="%2."/>
        <w:lvlJc w:val="right"/>
        <w:pPr>
          <w:ind w:left="1000" w:hanging="180"/>
        </w:pPr>
      </w:lvl>
    </w:lvlOverride>
    <w:lvlOverride w:ilvl="2">
      <w:startOverride w:val="1"/>
      <w:lvl w:ilvl="2" w:tplc="935804A4">
        <w:start w:val="1"/>
        <w:numFmt w:val="decimal"/>
        <w:lvlText w:val="%3."/>
        <w:lvlJc w:val="right"/>
        <w:pPr>
          <w:ind w:left="1500" w:hanging="180"/>
        </w:pPr>
      </w:lvl>
    </w:lvlOverride>
    <w:lvlOverride w:ilvl="3">
      <w:startOverride w:val="1"/>
      <w:lvl w:ilvl="3" w:tplc="7BAA959C">
        <w:start w:val="1"/>
        <w:numFmt w:val="decimal"/>
        <w:lvlText w:val="%4."/>
        <w:lvlJc w:val="right"/>
        <w:pPr>
          <w:ind w:left="2000" w:hanging="180"/>
        </w:pPr>
      </w:lvl>
    </w:lvlOverride>
    <w:lvlOverride w:ilvl="4">
      <w:startOverride w:val="1"/>
      <w:lvl w:ilvl="4" w:tplc="27BA733C">
        <w:start w:val="1"/>
        <w:numFmt w:val="decimal"/>
        <w:lvlText w:val="%5."/>
        <w:lvlJc w:val="right"/>
        <w:pPr>
          <w:ind w:left="2500" w:hanging="180"/>
        </w:pPr>
      </w:lvl>
    </w:lvlOverride>
    <w:lvlOverride w:ilvl="5">
      <w:startOverride w:val="1"/>
      <w:lvl w:ilvl="5" w:tplc="1E62E28C">
        <w:start w:val="1"/>
        <w:numFmt w:val="decimal"/>
        <w:lvlText w:val="%6."/>
        <w:lvlJc w:val="right"/>
        <w:pPr>
          <w:ind w:left="3000" w:hanging="180"/>
        </w:pPr>
      </w:lvl>
    </w:lvlOverride>
    <w:lvlOverride w:ilvl="6">
      <w:startOverride w:val="1"/>
      <w:lvl w:ilvl="6" w:tplc="DB0AB2EC">
        <w:start w:val="1"/>
        <w:numFmt w:val="decimal"/>
        <w:lvlText w:val="%7."/>
        <w:lvlJc w:val="right"/>
        <w:pPr>
          <w:ind w:left="3500" w:hanging="180"/>
        </w:pPr>
      </w:lvl>
    </w:lvlOverride>
    <w:lvlOverride w:ilvl="7">
      <w:startOverride w:val="1"/>
      <w:lvl w:ilvl="7" w:tplc="A3C43656">
        <w:start w:val="1"/>
        <w:numFmt w:val="decimal"/>
        <w:lvlText w:val="%8."/>
        <w:lvlJc w:val="right"/>
        <w:pPr>
          <w:ind w:left="4000" w:hanging="180"/>
        </w:pPr>
      </w:lvl>
    </w:lvlOverride>
    <w:lvlOverride w:ilvl="8">
      <w:startOverride w:val="1"/>
      <w:lvl w:ilvl="8" w:tplc="10D8B282">
        <w:start w:val="1"/>
        <w:numFmt w:val="decimal"/>
        <w:lvlText w:val="%9."/>
        <w:lvlJc w:val="right"/>
        <w:pPr>
          <w:ind w:left="4500" w:hanging="180"/>
        </w:pPr>
      </w:lvl>
    </w:lvlOverride>
  </w:num>
  <w:num w:numId="38" w16cid:durableId="1076560331">
    <w:abstractNumId w:val="22"/>
    <w:lvlOverride w:ilvl="0">
      <w:startOverride w:val="1"/>
      <w:lvl w:ilvl="0" w:tplc="3F16BF7C">
        <w:start w:val="1"/>
        <w:numFmt w:val="bullet"/>
        <w:lvlText w:val=""/>
        <w:lvlJc w:val="right"/>
        <w:pPr>
          <w:ind w:left="500" w:hanging="180"/>
        </w:pPr>
        <w:rPr>
          <w:rFonts w:ascii="Symbol" w:hAnsi="Symbol" w:hint="default"/>
        </w:rPr>
      </w:lvl>
    </w:lvlOverride>
    <w:lvlOverride w:ilvl="1">
      <w:startOverride w:val="1"/>
      <w:lvl w:ilvl="1" w:tplc="70169AB4">
        <w:start w:val="1"/>
        <w:numFmt w:val="decimal"/>
        <w:lvlText w:val="%2."/>
        <w:lvlJc w:val="right"/>
        <w:pPr>
          <w:ind w:left="1000" w:hanging="180"/>
        </w:pPr>
      </w:lvl>
    </w:lvlOverride>
    <w:lvlOverride w:ilvl="2">
      <w:startOverride w:val="1"/>
      <w:lvl w:ilvl="2" w:tplc="935804A4">
        <w:start w:val="1"/>
        <w:numFmt w:val="decimal"/>
        <w:lvlText w:val="%3."/>
        <w:lvlJc w:val="right"/>
        <w:pPr>
          <w:ind w:left="1500" w:hanging="180"/>
        </w:pPr>
      </w:lvl>
    </w:lvlOverride>
    <w:lvlOverride w:ilvl="3">
      <w:startOverride w:val="1"/>
      <w:lvl w:ilvl="3" w:tplc="7BAA959C">
        <w:start w:val="1"/>
        <w:numFmt w:val="decimal"/>
        <w:lvlText w:val="%4."/>
        <w:lvlJc w:val="right"/>
        <w:pPr>
          <w:ind w:left="2000" w:hanging="180"/>
        </w:pPr>
      </w:lvl>
    </w:lvlOverride>
    <w:lvlOverride w:ilvl="4">
      <w:startOverride w:val="1"/>
      <w:lvl w:ilvl="4" w:tplc="27BA733C">
        <w:start w:val="1"/>
        <w:numFmt w:val="decimal"/>
        <w:lvlText w:val="%5."/>
        <w:lvlJc w:val="right"/>
        <w:pPr>
          <w:ind w:left="2500" w:hanging="180"/>
        </w:pPr>
      </w:lvl>
    </w:lvlOverride>
    <w:lvlOverride w:ilvl="5">
      <w:startOverride w:val="1"/>
      <w:lvl w:ilvl="5" w:tplc="1E62E28C">
        <w:start w:val="1"/>
        <w:numFmt w:val="decimal"/>
        <w:lvlText w:val="%6."/>
        <w:lvlJc w:val="right"/>
        <w:pPr>
          <w:ind w:left="3000" w:hanging="180"/>
        </w:pPr>
      </w:lvl>
    </w:lvlOverride>
    <w:lvlOverride w:ilvl="6">
      <w:startOverride w:val="1"/>
      <w:lvl w:ilvl="6" w:tplc="DB0AB2EC">
        <w:start w:val="1"/>
        <w:numFmt w:val="decimal"/>
        <w:lvlText w:val="%7."/>
        <w:lvlJc w:val="right"/>
        <w:pPr>
          <w:ind w:left="3500" w:hanging="180"/>
        </w:pPr>
      </w:lvl>
    </w:lvlOverride>
    <w:lvlOverride w:ilvl="7">
      <w:startOverride w:val="1"/>
      <w:lvl w:ilvl="7" w:tplc="A3C43656">
        <w:start w:val="1"/>
        <w:numFmt w:val="decimal"/>
        <w:lvlText w:val="%8."/>
        <w:lvlJc w:val="right"/>
        <w:pPr>
          <w:ind w:left="4000" w:hanging="180"/>
        </w:pPr>
      </w:lvl>
    </w:lvlOverride>
    <w:lvlOverride w:ilvl="8">
      <w:startOverride w:val="1"/>
      <w:lvl w:ilvl="8" w:tplc="10D8B282">
        <w:start w:val="1"/>
        <w:numFmt w:val="decimal"/>
        <w:lvlText w:val="%9."/>
        <w:lvlJc w:val="right"/>
        <w:pPr>
          <w:ind w:left="4500" w:hanging="180"/>
        </w:pPr>
      </w:lvl>
    </w:lvlOverride>
  </w:num>
  <w:num w:numId="39" w16cid:durableId="199324981">
    <w:abstractNumId w:val="22"/>
    <w:lvlOverride w:ilvl="0">
      <w:startOverride w:val="1"/>
      <w:lvl w:ilvl="0" w:tplc="3F16BF7C">
        <w:start w:val="1"/>
        <w:numFmt w:val="bullet"/>
        <w:lvlText w:val=""/>
        <w:lvlJc w:val="right"/>
        <w:pPr>
          <w:ind w:left="500" w:hanging="180"/>
        </w:pPr>
        <w:rPr>
          <w:rFonts w:ascii="Symbol" w:hAnsi="Symbol" w:hint="default"/>
        </w:rPr>
      </w:lvl>
    </w:lvlOverride>
    <w:lvlOverride w:ilvl="1">
      <w:startOverride w:val="1"/>
      <w:lvl w:ilvl="1" w:tplc="70169AB4">
        <w:start w:val="1"/>
        <w:numFmt w:val="decimal"/>
        <w:lvlText w:val="%2."/>
        <w:lvlJc w:val="right"/>
        <w:pPr>
          <w:ind w:left="1000" w:hanging="180"/>
        </w:pPr>
      </w:lvl>
    </w:lvlOverride>
    <w:lvlOverride w:ilvl="2">
      <w:startOverride w:val="1"/>
      <w:lvl w:ilvl="2" w:tplc="935804A4">
        <w:start w:val="1"/>
        <w:numFmt w:val="decimal"/>
        <w:lvlText w:val="%3."/>
        <w:lvlJc w:val="right"/>
        <w:pPr>
          <w:ind w:left="1500" w:hanging="180"/>
        </w:pPr>
      </w:lvl>
    </w:lvlOverride>
    <w:lvlOverride w:ilvl="3">
      <w:startOverride w:val="1"/>
      <w:lvl w:ilvl="3" w:tplc="7BAA959C">
        <w:start w:val="1"/>
        <w:numFmt w:val="decimal"/>
        <w:lvlText w:val="%4."/>
        <w:lvlJc w:val="right"/>
        <w:pPr>
          <w:ind w:left="2000" w:hanging="180"/>
        </w:pPr>
      </w:lvl>
    </w:lvlOverride>
    <w:lvlOverride w:ilvl="4">
      <w:startOverride w:val="1"/>
      <w:lvl w:ilvl="4" w:tplc="27BA733C">
        <w:start w:val="1"/>
        <w:numFmt w:val="decimal"/>
        <w:lvlText w:val="%5."/>
        <w:lvlJc w:val="right"/>
        <w:pPr>
          <w:ind w:left="2500" w:hanging="180"/>
        </w:pPr>
      </w:lvl>
    </w:lvlOverride>
    <w:lvlOverride w:ilvl="5">
      <w:startOverride w:val="1"/>
      <w:lvl w:ilvl="5" w:tplc="1E62E28C">
        <w:start w:val="1"/>
        <w:numFmt w:val="decimal"/>
        <w:lvlText w:val="%6."/>
        <w:lvlJc w:val="right"/>
        <w:pPr>
          <w:ind w:left="3000" w:hanging="180"/>
        </w:pPr>
      </w:lvl>
    </w:lvlOverride>
    <w:lvlOverride w:ilvl="6">
      <w:startOverride w:val="1"/>
      <w:lvl w:ilvl="6" w:tplc="DB0AB2EC">
        <w:start w:val="1"/>
        <w:numFmt w:val="decimal"/>
        <w:lvlText w:val="%7."/>
        <w:lvlJc w:val="right"/>
        <w:pPr>
          <w:ind w:left="3500" w:hanging="180"/>
        </w:pPr>
      </w:lvl>
    </w:lvlOverride>
    <w:lvlOverride w:ilvl="7">
      <w:startOverride w:val="1"/>
      <w:lvl w:ilvl="7" w:tplc="A3C43656">
        <w:start w:val="1"/>
        <w:numFmt w:val="decimal"/>
        <w:lvlText w:val="%8."/>
        <w:lvlJc w:val="right"/>
        <w:pPr>
          <w:ind w:left="4000" w:hanging="180"/>
        </w:pPr>
      </w:lvl>
    </w:lvlOverride>
    <w:lvlOverride w:ilvl="8">
      <w:startOverride w:val="1"/>
      <w:lvl w:ilvl="8" w:tplc="10D8B282">
        <w:start w:val="1"/>
        <w:numFmt w:val="decimal"/>
        <w:lvlText w:val="%9."/>
        <w:lvlJc w:val="right"/>
        <w:pPr>
          <w:ind w:left="4500" w:hanging="180"/>
        </w:pPr>
      </w:lvl>
    </w:lvlOverride>
  </w:num>
  <w:num w:numId="40" w16cid:durableId="991525143">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1" w16cid:durableId="2126533351">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2" w16cid:durableId="1214192450">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3" w16cid:durableId="725840462">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4" w16cid:durableId="534119511">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5" w16cid:durableId="9571730">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6" w16cid:durableId="562300657">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7" w16cid:durableId="1713531749">
    <w:abstractNumId w:val="13"/>
    <w:lvlOverride w:ilvl="0">
      <w:startOverride w:val="1"/>
      <w:lvl w:ilvl="0" w:tplc="EDD80EEE">
        <w:start w:val="1"/>
        <w:numFmt w:val="bullet"/>
        <w:lvlText w:val=""/>
        <w:lvlJc w:val="right"/>
        <w:pPr>
          <w:ind w:left="500" w:hanging="180"/>
        </w:pPr>
        <w:rPr>
          <w:rFonts w:ascii="Symbol" w:hAnsi="Symbol" w:hint="default"/>
        </w:rPr>
      </w:lvl>
    </w:lvlOverride>
    <w:lvlOverride w:ilvl="1">
      <w:startOverride w:val="1"/>
      <w:lvl w:ilvl="1" w:tplc="44BC3CD4">
        <w:start w:val="1"/>
        <w:numFmt w:val="decimal"/>
        <w:lvlText w:val="%2."/>
        <w:lvlJc w:val="right"/>
        <w:pPr>
          <w:ind w:left="1000" w:hanging="180"/>
        </w:pPr>
      </w:lvl>
    </w:lvlOverride>
    <w:lvlOverride w:ilvl="2">
      <w:startOverride w:val="1"/>
      <w:lvl w:ilvl="2" w:tplc="0F2A3CF0">
        <w:start w:val="1"/>
        <w:numFmt w:val="decimal"/>
        <w:lvlText w:val="%3."/>
        <w:lvlJc w:val="right"/>
        <w:pPr>
          <w:ind w:left="1500" w:hanging="180"/>
        </w:pPr>
      </w:lvl>
    </w:lvlOverride>
    <w:lvlOverride w:ilvl="3">
      <w:startOverride w:val="1"/>
      <w:lvl w:ilvl="3" w:tplc="4DC62EB6">
        <w:start w:val="1"/>
        <w:numFmt w:val="decimal"/>
        <w:lvlText w:val="%4."/>
        <w:lvlJc w:val="right"/>
        <w:pPr>
          <w:ind w:left="2000" w:hanging="180"/>
        </w:pPr>
      </w:lvl>
    </w:lvlOverride>
    <w:lvlOverride w:ilvl="4">
      <w:startOverride w:val="1"/>
      <w:lvl w:ilvl="4" w:tplc="70E692BC">
        <w:start w:val="1"/>
        <w:numFmt w:val="decimal"/>
        <w:lvlText w:val="%5."/>
        <w:lvlJc w:val="right"/>
        <w:pPr>
          <w:ind w:left="2500" w:hanging="180"/>
        </w:pPr>
      </w:lvl>
    </w:lvlOverride>
    <w:lvlOverride w:ilvl="5">
      <w:startOverride w:val="1"/>
      <w:lvl w:ilvl="5" w:tplc="E01C12E4">
        <w:start w:val="1"/>
        <w:numFmt w:val="decimal"/>
        <w:lvlText w:val="%6."/>
        <w:lvlJc w:val="right"/>
        <w:pPr>
          <w:ind w:left="3000" w:hanging="180"/>
        </w:pPr>
      </w:lvl>
    </w:lvlOverride>
    <w:lvlOverride w:ilvl="6">
      <w:startOverride w:val="1"/>
      <w:lvl w:ilvl="6" w:tplc="21FC1E70">
        <w:start w:val="1"/>
        <w:numFmt w:val="decimal"/>
        <w:lvlText w:val="%7."/>
        <w:lvlJc w:val="right"/>
        <w:pPr>
          <w:ind w:left="3500" w:hanging="180"/>
        </w:pPr>
      </w:lvl>
    </w:lvlOverride>
    <w:lvlOverride w:ilvl="7">
      <w:startOverride w:val="1"/>
      <w:lvl w:ilvl="7" w:tplc="1506EFCC">
        <w:start w:val="1"/>
        <w:numFmt w:val="decimal"/>
        <w:lvlText w:val="%8."/>
        <w:lvlJc w:val="right"/>
        <w:pPr>
          <w:ind w:left="4000" w:hanging="180"/>
        </w:pPr>
      </w:lvl>
    </w:lvlOverride>
    <w:lvlOverride w:ilvl="8">
      <w:startOverride w:val="1"/>
      <w:lvl w:ilvl="8" w:tplc="2F60C84A">
        <w:start w:val="1"/>
        <w:numFmt w:val="decimal"/>
        <w:lvlText w:val="%9."/>
        <w:lvlJc w:val="right"/>
        <w:pPr>
          <w:ind w:left="4500" w:hanging="180"/>
        </w:pPr>
      </w:lvl>
    </w:lvlOverride>
  </w:num>
  <w:num w:numId="48" w16cid:durableId="473988017">
    <w:abstractNumId w:val="34"/>
    <w:lvlOverride w:ilvl="0">
      <w:startOverride w:val="1"/>
      <w:lvl w:ilvl="0" w:tplc="11868DDA">
        <w:start w:val="1"/>
        <w:numFmt w:val="bullet"/>
        <w:lvlText w:val=""/>
        <w:lvlJc w:val="right"/>
        <w:pPr>
          <w:ind w:left="500" w:hanging="180"/>
        </w:pPr>
        <w:rPr>
          <w:rFonts w:ascii="Symbol" w:hAnsi="Symbol" w:hint="default"/>
        </w:rPr>
      </w:lvl>
    </w:lvlOverride>
    <w:lvlOverride w:ilvl="1">
      <w:startOverride w:val="1"/>
      <w:lvl w:ilvl="1" w:tplc="83A02B76">
        <w:start w:val="1"/>
        <w:numFmt w:val="decimal"/>
        <w:lvlText w:val="%2."/>
        <w:lvlJc w:val="right"/>
        <w:pPr>
          <w:ind w:left="1000" w:hanging="180"/>
        </w:pPr>
      </w:lvl>
    </w:lvlOverride>
    <w:lvlOverride w:ilvl="2">
      <w:startOverride w:val="1"/>
      <w:lvl w:ilvl="2" w:tplc="D9701A62">
        <w:start w:val="1"/>
        <w:numFmt w:val="decimal"/>
        <w:lvlText w:val="%3."/>
        <w:lvlJc w:val="right"/>
        <w:pPr>
          <w:ind w:left="1500" w:hanging="180"/>
        </w:pPr>
      </w:lvl>
    </w:lvlOverride>
    <w:lvlOverride w:ilvl="3">
      <w:startOverride w:val="1"/>
      <w:lvl w:ilvl="3" w:tplc="A5426CE0">
        <w:start w:val="1"/>
        <w:numFmt w:val="decimal"/>
        <w:lvlText w:val="%4."/>
        <w:lvlJc w:val="right"/>
        <w:pPr>
          <w:ind w:left="2000" w:hanging="180"/>
        </w:pPr>
      </w:lvl>
    </w:lvlOverride>
    <w:lvlOverride w:ilvl="4">
      <w:startOverride w:val="1"/>
      <w:lvl w:ilvl="4" w:tplc="2690BA1A">
        <w:start w:val="1"/>
        <w:numFmt w:val="decimal"/>
        <w:lvlText w:val="%5."/>
        <w:lvlJc w:val="right"/>
        <w:pPr>
          <w:ind w:left="2500" w:hanging="180"/>
        </w:pPr>
      </w:lvl>
    </w:lvlOverride>
    <w:lvlOverride w:ilvl="5">
      <w:startOverride w:val="1"/>
      <w:lvl w:ilvl="5" w:tplc="068A3824">
        <w:start w:val="1"/>
        <w:numFmt w:val="decimal"/>
        <w:lvlText w:val="%6."/>
        <w:lvlJc w:val="right"/>
        <w:pPr>
          <w:ind w:left="3000" w:hanging="180"/>
        </w:pPr>
      </w:lvl>
    </w:lvlOverride>
    <w:lvlOverride w:ilvl="6">
      <w:startOverride w:val="1"/>
      <w:lvl w:ilvl="6" w:tplc="158273CC">
        <w:start w:val="1"/>
        <w:numFmt w:val="decimal"/>
        <w:lvlText w:val="%7."/>
        <w:lvlJc w:val="right"/>
        <w:pPr>
          <w:ind w:left="3500" w:hanging="180"/>
        </w:pPr>
      </w:lvl>
    </w:lvlOverride>
    <w:lvlOverride w:ilvl="7">
      <w:startOverride w:val="1"/>
      <w:lvl w:ilvl="7" w:tplc="E97483BA">
        <w:start w:val="1"/>
        <w:numFmt w:val="decimal"/>
        <w:lvlText w:val="%8."/>
        <w:lvlJc w:val="right"/>
        <w:pPr>
          <w:ind w:left="4000" w:hanging="180"/>
        </w:pPr>
      </w:lvl>
    </w:lvlOverride>
    <w:lvlOverride w:ilvl="8">
      <w:startOverride w:val="1"/>
      <w:lvl w:ilvl="8" w:tplc="07386A38">
        <w:start w:val="1"/>
        <w:numFmt w:val="decimal"/>
        <w:lvlText w:val="%9."/>
        <w:lvlJc w:val="right"/>
        <w:pPr>
          <w:ind w:left="4500" w:hanging="180"/>
        </w:pPr>
      </w:lvl>
    </w:lvlOverride>
  </w:num>
  <w:num w:numId="49" w16cid:durableId="1272011599">
    <w:abstractNumId w:val="34"/>
    <w:lvlOverride w:ilvl="0">
      <w:startOverride w:val="1"/>
      <w:lvl w:ilvl="0" w:tplc="11868DDA">
        <w:start w:val="1"/>
        <w:numFmt w:val="bullet"/>
        <w:lvlText w:val=""/>
        <w:lvlJc w:val="right"/>
        <w:pPr>
          <w:ind w:left="500" w:hanging="180"/>
        </w:pPr>
        <w:rPr>
          <w:rFonts w:ascii="Symbol" w:hAnsi="Symbol" w:hint="default"/>
        </w:rPr>
      </w:lvl>
    </w:lvlOverride>
    <w:lvlOverride w:ilvl="1">
      <w:startOverride w:val="1"/>
      <w:lvl w:ilvl="1" w:tplc="83A02B76">
        <w:start w:val="1"/>
        <w:numFmt w:val="decimal"/>
        <w:lvlText w:val="%2."/>
        <w:lvlJc w:val="right"/>
        <w:pPr>
          <w:ind w:left="1000" w:hanging="180"/>
        </w:pPr>
      </w:lvl>
    </w:lvlOverride>
    <w:lvlOverride w:ilvl="2">
      <w:startOverride w:val="1"/>
      <w:lvl w:ilvl="2" w:tplc="D9701A62">
        <w:start w:val="1"/>
        <w:numFmt w:val="decimal"/>
        <w:lvlText w:val="%3."/>
        <w:lvlJc w:val="right"/>
        <w:pPr>
          <w:ind w:left="1500" w:hanging="180"/>
        </w:pPr>
      </w:lvl>
    </w:lvlOverride>
    <w:lvlOverride w:ilvl="3">
      <w:startOverride w:val="1"/>
      <w:lvl w:ilvl="3" w:tplc="A5426CE0">
        <w:start w:val="1"/>
        <w:numFmt w:val="decimal"/>
        <w:lvlText w:val="%4."/>
        <w:lvlJc w:val="right"/>
        <w:pPr>
          <w:ind w:left="2000" w:hanging="180"/>
        </w:pPr>
      </w:lvl>
    </w:lvlOverride>
    <w:lvlOverride w:ilvl="4">
      <w:startOverride w:val="1"/>
      <w:lvl w:ilvl="4" w:tplc="2690BA1A">
        <w:start w:val="1"/>
        <w:numFmt w:val="decimal"/>
        <w:lvlText w:val="%5."/>
        <w:lvlJc w:val="right"/>
        <w:pPr>
          <w:ind w:left="2500" w:hanging="180"/>
        </w:pPr>
      </w:lvl>
    </w:lvlOverride>
    <w:lvlOverride w:ilvl="5">
      <w:startOverride w:val="1"/>
      <w:lvl w:ilvl="5" w:tplc="068A3824">
        <w:start w:val="1"/>
        <w:numFmt w:val="decimal"/>
        <w:lvlText w:val="%6."/>
        <w:lvlJc w:val="right"/>
        <w:pPr>
          <w:ind w:left="3000" w:hanging="180"/>
        </w:pPr>
      </w:lvl>
    </w:lvlOverride>
    <w:lvlOverride w:ilvl="6">
      <w:startOverride w:val="1"/>
      <w:lvl w:ilvl="6" w:tplc="158273CC">
        <w:start w:val="1"/>
        <w:numFmt w:val="decimal"/>
        <w:lvlText w:val="%7."/>
        <w:lvlJc w:val="right"/>
        <w:pPr>
          <w:ind w:left="3500" w:hanging="180"/>
        </w:pPr>
      </w:lvl>
    </w:lvlOverride>
    <w:lvlOverride w:ilvl="7">
      <w:startOverride w:val="1"/>
      <w:lvl w:ilvl="7" w:tplc="E97483BA">
        <w:start w:val="1"/>
        <w:numFmt w:val="decimal"/>
        <w:lvlText w:val="%8."/>
        <w:lvlJc w:val="right"/>
        <w:pPr>
          <w:ind w:left="4000" w:hanging="180"/>
        </w:pPr>
      </w:lvl>
    </w:lvlOverride>
    <w:lvlOverride w:ilvl="8">
      <w:startOverride w:val="1"/>
      <w:lvl w:ilvl="8" w:tplc="07386A38">
        <w:start w:val="1"/>
        <w:numFmt w:val="decimal"/>
        <w:lvlText w:val="%9."/>
        <w:lvlJc w:val="right"/>
        <w:pPr>
          <w:ind w:left="4500" w:hanging="180"/>
        </w:pPr>
      </w:lvl>
    </w:lvlOverride>
  </w:num>
  <w:num w:numId="50" w16cid:durableId="547226693">
    <w:abstractNumId w:val="34"/>
    <w:lvlOverride w:ilvl="0">
      <w:startOverride w:val="1"/>
      <w:lvl w:ilvl="0" w:tplc="11868DDA">
        <w:start w:val="1"/>
        <w:numFmt w:val="bullet"/>
        <w:lvlText w:val=""/>
        <w:lvlJc w:val="right"/>
        <w:pPr>
          <w:ind w:left="500" w:hanging="180"/>
        </w:pPr>
        <w:rPr>
          <w:rFonts w:ascii="Symbol" w:hAnsi="Symbol" w:hint="default"/>
        </w:rPr>
      </w:lvl>
    </w:lvlOverride>
    <w:lvlOverride w:ilvl="1">
      <w:startOverride w:val="1"/>
      <w:lvl w:ilvl="1" w:tplc="83A02B76">
        <w:start w:val="1"/>
        <w:numFmt w:val="decimal"/>
        <w:lvlText w:val="%2."/>
        <w:lvlJc w:val="right"/>
        <w:pPr>
          <w:ind w:left="1000" w:hanging="180"/>
        </w:pPr>
      </w:lvl>
    </w:lvlOverride>
    <w:lvlOverride w:ilvl="2">
      <w:startOverride w:val="1"/>
      <w:lvl w:ilvl="2" w:tplc="D9701A62">
        <w:start w:val="1"/>
        <w:numFmt w:val="decimal"/>
        <w:lvlText w:val="%3."/>
        <w:lvlJc w:val="right"/>
        <w:pPr>
          <w:ind w:left="1500" w:hanging="180"/>
        </w:pPr>
      </w:lvl>
    </w:lvlOverride>
    <w:lvlOverride w:ilvl="3">
      <w:startOverride w:val="1"/>
      <w:lvl w:ilvl="3" w:tplc="A5426CE0">
        <w:start w:val="1"/>
        <w:numFmt w:val="decimal"/>
        <w:lvlText w:val="%4."/>
        <w:lvlJc w:val="right"/>
        <w:pPr>
          <w:ind w:left="2000" w:hanging="180"/>
        </w:pPr>
      </w:lvl>
    </w:lvlOverride>
    <w:lvlOverride w:ilvl="4">
      <w:startOverride w:val="1"/>
      <w:lvl w:ilvl="4" w:tplc="2690BA1A">
        <w:start w:val="1"/>
        <w:numFmt w:val="decimal"/>
        <w:lvlText w:val="%5."/>
        <w:lvlJc w:val="right"/>
        <w:pPr>
          <w:ind w:left="2500" w:hanging="180"/>
        </w:pPr>
      </w:lvl>
    </w:lvlOverride>
    <w:lvlOverride w:ilvl="5">
      <w:startOverride w:val="1"/>
      <w:lvl w:ilvl="5" w:tplc="068A3824">
        <w:start w:val="1"/>
        <w:numFmt w:val="decimal"/>
        <w:lvlText w:val="%6."/>
        <w:lvlJc w:val="right"/>
        <w:pPr>
          <w:ind w:left="3000" w:hanging="180"/>
        </w:pPr>
      </w:lvl>
    </w:lvlOverride>
    <w:lvlOverride w:ilvl="6">
      <w:startOverride w:val="1"/>
      <w:lvl w:ilvl="6" w:tplc="158273CC">
        <w:start w:val="1"/>
        <w:numFmt w:val="decimal"/>
        <w:lvlText w:val="%7."/>
        <w:lvlJc w:val="right"/>
        <w:pPr>
          <w:ind w:left="3500" w:hanging="180"/>
        </w:pPr>
      </w:lvl>
    </w:lvlOverride>
    <w:lvlOverride w:ilvl="7">
      <w:startOverride w:val="1"/>
      <w:lvl w:ilvl="7" w:tplc="E97483BA">
        <w:start w:val="1"/>
        <w:numFmt w:val="decimal"/>
        <w:lvlText w:val="%8."/>
        <w:lvlJc w:val="right"/>
        <w:pPr>
          <w:ind w:left="4000" w:hanging="180"/>
        </w:pPr>
      </w:lvl>
    </w:lvlOverride>
    <w:lvlOverride w:ilvl="8">
      <w:startOverride w:val="1"/>
      <w:lvl w:ilvl="8" w:tplc="07386A38">
        <w:start w:val="1"/>
        <w:numFmt w:val="decimal"/>
        <w:lvlText w:val="%9."/>
        <w:lvlJc w:val="right"/>
        <w:pPr>
          <w:ind w:left="4500" w:hanging="180"/>
        </w:pPr>
      </w:lvl>
    </w:lvlOverride>
  </w:num>
  <w:num w:numId="51" w16cid:durableId="1489403686">
    <w:abstractNumId w:val="34"/>
    <w:lvlOverride w:ilvl="0">
      <w:startOverride w:val="1"/>
      <w:lvl w:ilvl="0" w:tplc="11868DDA">
        <w:start w:val="1"/>
        <w:numFmt w:val="bullet"/>
        <w:lvlText w:val=""/>
        <w:lvlJc w:val="right"/>
        <w:pPr>
          <w:ind w:left="500" w:hanging="180"/>
        </w:pPr>
        <w:rPr>
          <w:rFonts w:ascii="Symbol" w:hAnsi="Symbol" w:hint="default"/>
        </w:rPr>
      </w:lvl>
    </w:lvlOverride>
    <w:lvlOverride w:ilvl="1">
      <w:startOverride w:val="1"/>
      <w:lvl w:ilvl="1" w:tplc="83A02B76">
        <w:start w:val="1"/>
        <w:numFmt w:val="decimal"/>
        <w:lvlText w:val="%2."/>
        <w:lvlJc w:val="right"/>
        <w:pPr>
          <w:ind w:left="1000" w:hanging="180"/>
        </w:pPr>
      </w:lvl>
    </w:lvlOverride>
    <w:lvlOverride w:ilvl="2">
      <w:startOverride w:val="1"/>
      <w:lvl w:ilvl="2" w:tplc="D9701A62">
        <w:start w:val="1"/>
        <w:numFmt w:val="decimal"/>
        <w:lvlText w:val="%3."/>
        <w:lvlJc w:val="right"/>
        <w:pPr>
          <w:ind w:left="1500" w:hanging="180"/>
        </w:pPr>
      </w:lvl>
    </w:lvlOverride>
    <w:lvlOverride w:ilvl="3">
      <w:startOverride w:val="1"/>
      <w:lvl w:ilvl="3" w:tplc="A5426CE0">
        <w:start w:val="1"/>
        <w:numFmt w:val="decimal"/>
        <w:lvlText w:val="%4."/>
        <w:lvlJc w:val="right"/>
        <w:pPr>
          <w:ind w:left="2000" w:hanging="180"/>
        </w:pPr>
      </w:lvl>
    </w:lvlOverride>
    <w:lvlOverride w:ilvl="4">
      <w:startOverride w:val="1"/>
      <w:lvl w:ilvl="4" w:tplc="2690BA1A">
        <w:start w:val="1"/>
        <w:numFmt w:val="decimal"/>
        <w:lvlText w:val="%5."/>
        <w:lvlJc w:val="right"/>
        <w:pPr>
          <w:ind w:left="2500" w:hanging="180"/>
        </w:pPr>
      </w:lvl>
    </w:lvlOverride>
    <w:lvlOverride w:ilvl="5">
      <w:startOverride w:val="1"/>
      <w:lvl w:ilvl="5" w:tplc="068A3824">
        <w:start w:val="1"/>
        <w:numFmt w:val="decimal"/>
        <w:lvlText w:val="%6."/>
        <w:lvlJc w:val="right"/>
        <w:pPr>
          <w:ind w:left="3000" w:hanging="180"/>
        </w:pPr>
      </w:lvl>
    </w:lvlOverride>
    <w:lvlOverride w:ilvl="6">
      <w:startOverride w:val="1"/>
      <w:lvl w:ilvl="6" w:tplc="158273CC">
        <w:start w:val="1"/>
        <w:numFmt w:val="decimal"/>
        <w:lvlText w:val="%7."/>
        <w:lvlJc w:val="right"/>
        <w:pPr>
          <w:ind w:left="3500" w:hanging="180"/>
        </w:pPr>
      </w:lvl>
    </w:lvlOverride>
    <w:lvlOverride w:ilvl="7">
      <w:startOverride w:val="1"/>
      <w:lvl w:ilvl="7" w:tplc="E97483BA">
        <w:start w:val="1"/>
        <w:numFmt w:val="decimal"/>
        <w:lvlText w:val="%8."/>
        <w:lvlJc w:val="right"/>
        <w:pPr>
          <w:ind w:left="4000" w:hanging="180"/>
        </w:pPr>
      </w:lvl>
    </w:lvlOverride>
    <w:lvlOverride w:ilvl="8">
      <w:startOverride w:val="1"/>
      <w:lvl w:ilvl="8" w:tplc="07386A38">
        <w:start w:val="1"/>
        <w:numFmt w:val="decimal"/>
        <w:lvlText w:val="%9."/>
        <w:lvlJc w:val="right"/>
        <w:pPr>
          <w:ind w:left="4500" w:hanging="180"/>
        </w:pPr>
      </w:lvl>
    </w:lvlOverride>
  </w:num>
  <w:num w:numId="52" w16cid:durableId="2016567176">
    <w:abstractNumId w:val="34"/>
    <w:lvlOverride w:ilvl="0">
      <w:startOverride w:val="1"/>
      <w:lvl w:ilvl="0" w:tplc="11868DDA">
        <w:start w:val="1"/>
        <w:numFmt w:val="bullet"/>
        <w:lvlText w:val=""/>
        <w:lvlJc w:val="right"/>
        <w:pPr>
          <w:ind w:left="500" w:hanging="180"/>
        </w:pPr>
        <w:rPr>
          <w:rFonts w:ascii="Symbol" w:hAnsi="Symbol" w:hint="default"/>
        </w:rPr>
      </w:lvl>
    </w:lvlOverride>
    <w:lvlOverride w:ilvl="1">
      <w:startOverride w:val="1"/>
      <w:lvl w:ilvl="1" w:tplc="83A02B76">
        <w:start w:val="1"/>
        <w:numFmt w:val="decimal"/>
        <w:lvlText w:val="%2."/>
        <w:lvlJc w:val="right"/>
        <w:pPr>
          <w:ind w:left="1000" w:hanging="180"/>
        </w:pPr>
      </w:lvl>
    </w:lvlOverride>
    <w:lvlOverride w:ilvl="2">
      <w:startOverride w:val="1"/>
      <w:lvl w:ilvl="2" w:tplc="D9701A62">
        <w:start w:val="1"/>
        <w:numFmt w:val="decimal"/>
        <w:lvlText w:val="%3."/>
        <w:lvlJc w:val="right"/>
        <w:pPr>
          <w:ind w:left="1500" w:hanging="180"/>
        </w:pPr>
      </w:lvl>
    </w:lvlOverride>
    <w:lvlOverride w:ilvl="3">
      <w:startOverride w:val="1"/>
      <w:lvl w:ilvl="3" w:tplc="A5426CE0">
        <w:start w:val="1"/>
        <w:numFmt w:val="decimal"/>
        <w:lvlText w:val="%4."/>
        <w:lvlJc w:val="right"/>
        <w:pPr>
          <w:ind w:left="2000" w:hanging="180"/>
        </w:pPr>
      </w:lvl>
    </w:lvlOverride>
    <w:lvlOverride w:ilvl="4">
      <w:startOverride w:val="1"/>
      <w:lvl w:ilvl="4" w:tplc="2690BA1A">
        <w:start w:val="1"/>
        <w:numFmt w:val="decimal"/>
        <w:lvlText w:val="%5."/>
        <w:lvlJc w:val="right"/>
        <w:pPr>
          <w:ind w:left="2500" w:hanging="180"/>
        </w:pPr>
      </w:lvl>
    </w:lvlOverride>
    <w:lvlOverride w:ilvl="5">
      <w:startOverride w:val="1"/>
      <w:lvl w:ilvl="5" w:tplc="068A3824">
        <w:start w:val="1"/>
        <w:numFmt w:val="decimal"/>
        <w:lvlText w:val="%6."/>
        <w:lvlJc w:val="right"/>
        <w:pPr>
          <w:ind w:left="3000" w:hanging="180"/>
        </w:pPr>
      </w:lvl>
    </w:lvlOverride>
    <w:lvlOverride w:ilvl="6">
      <w:startOverride w:val="1"/>
      <w:lvl w:ilvl="6" w:tplc="158273CC">
        <w:start w:val="1"/>
        <w:numFmt w:val="decimal"/>
        <w:lvlText w:val="%7."/>
        <w:lvlJc w:val="right"/>
        <w:pPr>
          <w:ind w:left="3500" w:hanging="180"/>
        </w:pPr>
      </w:lvl>
    </w:lvlOverride>
    <w:lvlOverride w:ilvl="7">
      <w:startOverride w:val="1"/>
      <w:lvl w:ilvl="7" w:tplc="E97483BA">
        <w:start w:val="1"/>
        <w:numFmt w:val="decimal"/>
        <w:lvlText w:val="%8."/>
        <w:lvlJc w:val="right"/>
        <w:pPr>
          <w:ind w:left="4000" w:hanging="180"/>
        </w:pPr>
      </w:lvl>
    </w:lvlOverride>
    <w:lvlOverride w:ilvl="8">
      <w:startOverride w:val="1"/>
      <w:lvl w:ilvl="8" w:tplc="07386A38">
        <w:start w:val="1"/>
        <w:numFmt w:val="decimal"/>
        <w:lvlText w:val="%9."/>
        <w:lvlJc w:val="right"/>
        <w:pPr>
          <w:ind w:left="4500" w:hanging="180"/>
        </w:pPr>
      </w:lvl>
    </w:lvlOverride>
  </w:num>
  <w:num w:numId="53" w16cid:durableId="1395200509">
    <w:abstractNumId w:val="34"/>
    <w:lvlOverride w:ilvl="0">
      <w:startOverride w:val="1"/>
      <w:lvl w:ilvl="0" w:tplc="11868DDA">
        <w:start w:val="1"/>
        <w:numFmt w:val="bullet"/>
        <w:lvlText w:val=""/>
        <w:lvlJc w:val="right"/>
        <w:pPr>
          <w:ind w:left="500" w:hanging="180"/>
        </w:pPr>
        <w:rPr>
          <w:rFonts w:ascii="Symbol" w:hAnsi="Symbol" w:hint="default"/>
        </w:rPr>
      </w:lvl>
    </w:lvlOverride>
    <w:lvlOverride w:ilvl="1">
      <w:startOverride w:val="1"/>
      <w:lvl w:ilvl="1" w:tplc="83A02B76">
        <w:start w:val="1"/>
        <w:numFmt w:val="decimal"/>
        <w:lvlText w:val="%2."/>
        <w:lvlJc w:val="right"/>
        <w:pPr>
          <w:ind w:left="1000" w:hanging="180"/>
        </w:pPr>
      </w:lvl>
    </w:lvlOverride>
    <w:lvlOverride w:ilvl="2">
      <w:startOverride w:val="1"/>
      <w:lvl w:ilvl="2" w:tplc="D9701A62">
        <w:start w:val="1"/>
        <w:numFmt w:val="decimal"/>
        <w:lvlText w:val="%3."/>
        <w:lvlJc w:val="right"/>
        <w:pPr>
          <w:ind w:left="1500" w:hanging="180"/>
        </w:pPr>
      </w:lvl>
    </w:lvlOverride>
    <w:lvlOverride w:ilvl="3">
      <w:startOverride w:val="1"/>
      <w:lvl w:ilvl="3" w:tplc="A5426CE0">
        <w:start w:val="1"/>
        <w:numFmt w:val="decimal"/>
        <w:lvlText w:val="%4."/>
        <w:lvlJc w:val="right"/>
        <w:pPr>
          <w:ind w:left="2000" w:hanging="180"/>
        </w:pPr>
      </w:lvl>
    </w:lvlOverride>
    <w:lvlOverride w:ilvl="4">
      <w:startOverride w:val="1"/>
      <w:lvl w:ilvl="4" w:tplc="2690BA1A">
        <w:start w:val="1"/>
        <w:numFmt w:val="decimal"/>
        <w:lvlText w:val="%5."/>
        <w:lvlJc w:val="right"/>
        <w:pPr>
          <w:ind w:left="2500" w:hanging="180"/>
        </w:pPr>
      </w:lvl>
    </w:lvlOverride>
    <w:lvlOverride w:ilvl="5">
      <w:startOverride w:val="1"/>
      <w:lvl w:ilvl="5" w:tplc="068A3824">
        <w:start w:val="1"/>
        <w:numFmt w:val="decimal"/>
        <w:lvlText w:val="%6."/>
        <w:lvlJc w:val="right"/>
        <w:pPr>
          <w:ind w:left="3000" w:hanging="180"/>
        </w:pPr>
      </w:lvl>
    </w:lvlOverride>
    <w:lvlOverride w:ilvl="6">
      <w:startOverride w:val="1"/>
      <w:lvl w:ilvl="6" w:tplc="158273CC">
        <w:start w:val="1"/>
        <w:numFmt w:val="decimal"/>
        <w:lvlText w:val="%7."/>
        <w:lvlJc w:val="right"/>
        <w:pPr>
          <w:ind w:left="3500" w:hanging="180"/>
        </w:pPr>
      </w:lvl>
    </w:lvlOverride>
    <w:lvlOverride w:ilvl="7">
      <w:startOverride w:val="1"/>
      <w:lvl w:ilvl="7" w:tplc="E97483BA">
        <w:start w:val="1"/>
        <w:numFmt w:val="decimal"/>
        <w:lvlText w:val="%8."/>
        <w:lvlJc w:val="right"/>
        <w:pPr>
          <w:ind w:left="4000" w:hanging="180"/>
        </w:pPr>
      </w:lvl>
    </w:lvlOverride>
    <w:lvlOverride w:ilvl="8">
      <w:startOverride w:val="1"/>
      <w:lvl w:ilvl="8" w:tplc="07386A38">
        <w:start w:val="1"/>
        <w:numFmt w:val="decimal"/>
        <w:lvlText w:val="%9."/>
        <w:lvlJc w:val="right"/>
        <w:pPr>
          <w:ind w:left="4500" w:hanging="180"/>
        </w:pPr>
      </w:lvl>
    </w:lvlOverride>
  </w:num>
  <w:num w:numId="54" w16cid:durableId="255527683">
    <w:abstractNumId w:val="36"/>
    <w:lvlOverride w:ilvl="0">
      <w:startOverride w:val="1"/>
      <w:lvl w:ilvl="0" w:tplc="9C92161A">
        <w:start w:val="1"/>
        <w:numFmt w:val="bullet"/>
        <w:lvlText w:val=""/>
        <w:lvlJc w:val="right"/>
        <w:pPr>
          <w:ind w:left="500" w:hanging="180"/>
        </w:pPr>
        <w:rPr>
          <w:rFonts w:ascii="Symbol" w:hAnsi="Symbol" w:hint="default"/>
        </w:rPr>
      </w:lvl>
    </w:lvlOverride>
    <w:lvlOverride w:ilvl="1">
      <w:startOverride w:val="1"/>
      <w:lvl w:ilvl="1" w:tplc="33D4BFAA">
        <w:start w:val="1"/>
        <w:numFmt w:val="decimal"/>
        <w:lvlText w:val="%2."/>
        <w:lvlJc w:val="right"/>
        <w:pPr>
          <w:ind w:left="1000" w:hanging="180"/>
        </w:pPr>
      </w:lvl>
    </w:lvlOverride>
    <w:lvlOverride w:ilvl="2">
      <w:startOverride w:val="1"/>
      <w:lvl w:ilvl="2" w:tplc="7138F22A">
        <w:start w:val="1"/>
        <w:numFmt w:val="decimal"/>
        <w:lvlText w:val="%3."/>
        <w:lvlJc w:val="right"/>
        <w:pPr>
          <w:ind w:left="1500" w:hanging="180"/>
        </w:pPr>
      </w:lvl>
    </w:lvlOverride>
    <w:lvlOverride w:ilvl="3">
      <w:startOverride w:val="1"/>
      <w:lvl w:ilvl="3" w:tplc="D3BA2D82">
        <w:start w:val="1"/>
        <w:numFmt w:val="decimal"/>
        <w:lvlText w:val="%4."/>
        <w:lvlJc w:val="right"/>
        <w:pPr>
          <w:ind w:left="2000" w:hanging="180"/>
        </w:pPr>
      </w:lvl>
    </w:lvlOverride>
    <w:lvlOverride w:ilvl="4">
      <w:startOverride w:val="1"/>
      <w:lvl w:ilvl="4" w:tplc="1DC46172">
        <w:start w:val="1"/>
        <w:numFmt w:val="decimal"/>
        <w:lvlText w:val="%5."/>
        <w:lvlJc w:val="right"/>
        <w:pPr>
          <w:ind w:left="2500" w:hanging="180"/>
        </w:pPr>
      </w:lvl>
    </w:lvlOverride>
    <w:lvlOverride w:ilvl="5">
      <w:startOverride w:val="1"/>
      <w:lvl w:ilvl="5" w:tplc="BE4CFBB4">
        <w:start w:val="1"/>
        <w:numFmt w:val="decimal"/>
        <w:lvlText w:val="%6."/>
        <w:lvlJc w:val="right"/>
        <w:pPr>
          <w:ind w:left="3000" w:hanging="180"/>
        </w:pPr>
      </w:lvl>
    </w:lvlOverride>
    <w:lvlOverride w:ilvl="6">
      <w:startOverride w:val="1"/>
      <w:lvl w:ilvl="6" w:tplc="CB2AA5E0">
        <w:start w:val="1"/>
        <w:numFmt w:val="decimal"/>
        <w:lvlText w:val="%7."/>
        <w:lvlJc w:val="right"/>
        <w:pPr>
          <w:ind w:left="3500" w:hanging="180"/>
        </w:pPr>
      </w:lvl>
    </w:lvlOverride>
    <w:lvlOverride w:ilvl="7">
      <w:startOverride w:val="1"/>
      <w:lvl w:ilvl="7" w:tplc="0D944C12">
        <w:start w:val="1"/>
        <w:numFmt w:val="decimal"/>
        <w:lvlText w:val="%8."/>
        <w:lvlJc w:val="right"/>
        <w:pPr>
          <w:ind w:left="4000" w:hanging="180"/>
        </w:pPr>
      </w:lvl>
    </w:lvlOverride>
    <w:lvlOverride w:ilvl="8">
      <w:startOverride w:val="1"/>
      <w:lvl w:ilvl="8" w:tplc="A40498BE">
        <w:start w:val="1"/>
        <w:numFmt w:val="decimal"/>
        <w:lvlText w:val="%9."/>
        <w:lvlJc w:val="right"/>
        <w:pPr>
          <w:ind w:left="4500" w:hanging="180"/>
        </w:pPr>
      </w:lvl>
    </w:lvlOverride>
  </w:num>
  <w:num w:numId="55" w16cid:durableId="247081453">
    <w:abstractNumId w:val="50"/>
    <w:lvlOverride w:ilvl="0">
      <w:startOverride w:val="1"/>
      <w:lvl w:ilvl="0" w:tplc="B29C81CC">
        <w:start w:val="1"/>
        <w:numFmt w:val="bullet"/>
        <w:lvlText w:val=""/>
        <w:lvlJc w:val="right"/>
        <w:pPr>
          <w:ind w:left="500" w:hanging="180"/>
        </w:pPr>
        <w:rPr>
          <w:rFonts w:ascii="Symbol" w:hAnsi="Symbol" w:hint="default"/>
        </w:rPr>
      </w:lvl>
    </w:lvlOverride>
    <w:lvlOverride w:ilvl="1">
      <w:startOverride w:val="1"/>
      <w:lvl w:ilvl="1" w:tplc="E174AF46">
        <w:start w:val="1"/>
        <w:numFmt w:val="decimal"/>
        <w:lvlText w:val="%2."/>
        <w:lvlJc w:val="right"/>
        <w:pPr>
          <w:ind w:left="1000" w:hanging="180"/>
        </w:pPr>
      </w:lvl>
    </w:lvlOverride>
    <w:lvlOverride w:ilvl="2">
      <w:startOverride w:val="1"/>
      <w:lvl w:ilvl="2" w:tplc="8E76B486">
        <w:start w:val="1"/>
        <w:numFmt w:val="decimal"/>
        <w:lvlText w:val="%3."/>
        <w:lvlJc w:val="right"/>
        <w:pPr>
          <w:ind w:left="1500" w:hanging="180"/>
        </w:pPr>
      </w:lvl>
    </w:lvlOverride>
    <w:lvlOverride w:ilvl="3">
      <w:startOverride w:val="1"/>
      <w:lvl w:ilvl="3" w:tplc="0192BE64">
        <w:start w:val="1"/>
        <w:numFmt w:val="decimal"/>
        <w:lvlText w:val="%4."/>
        <w:lvlJc w:val="right"/>
        <w:pPr>
          <w:ind w:left="2000" w:hanging="180"/>
        </w:pPr>
      </w:lvl>
    </w:lvlOverride>
    <w:lvlOverride w:ilvl="4">
      <w:startOverride w:val="1"/>
      <w:lvl w:ilvl="4" w:tplc="9DB479B6">
        <w:start w:val="1"/>
        <w:numFmt w:val="decimal"/>
        <w:lvlText w:val="%5."/>
        <w:lvlJc w:val="right"/>
        <w:pPr>
          <w:ind w:left="2500" w:hanging="180"/>
        </w:pPr>
      </w:lvl>
    </w:lvlOverride>
    <w:lvlOverride w:ilvl="5">
      <w:startOverride w:val="1"/>
      <w:lvl w:ilvl="5" w:tplc="A04282A0">
        <w:start w:val="1"/>
        <w:numFmt w:val="decimal"/>
        <w:lvlText w:val="%6."/>
        <w:lvlJc w:val="right"/>
        <w:pPr>
          <w:ind w:left="3000" w:hanging="180"/>
        </w:pPr>
      </w:lvl>
    </w:lvlOverride>
    <w:lvlOverride w:ilvl="6">
      <w:startOverride w:val="1"/>
      <w:lvl w:ilvl="6" w:tplc="D4B49CFA">
        <w:start w:val="1"/>
        <w:numFmt w:val="decimal"/>
        <w:lvlText w:val="%7."/>
        <w:lvlJc w:val="right"/>
        <w:pPr>
          <w:ind w:left="3500" w:hanging="180"/>
        </w:pPr>
      </w:lvl>
    </w:lvlOverride>
    <w:lvlOverride w:ilvl="7">
      <w:startOverride w:val="1"/>
      <w:lvl w:ilvl="7" w:tplc="A7888BD2">
        <w:start w:val="1"/>
        <w:numFmt w:val="decimal"/>
        <w:lvlText w:val="%8."/>
        <w:lvlJc w:val="right"/>
        <w:pPr>
          <w:ind w:left="4000" w:hanging="180"/>
        </w:pPr>
      </w:lvl>
    </w:lvlOverride>
    <w:lvlOverride w:ilvl="8">
      <w:startOverride w:val="1"/>
      <w:lvl w:ilvl="8" w:tplc="8398EF1C">
        <w:start w:val="1"/>
        <w:numFmt w:val="decimal"/>
        <w:lvlText w:val="%9."/>
        <w:lvlJc w:val="right"/>
        <w:pPr>
          <w:ind w:left="4500" w:hanging="180"/>
        </w:pPr>
      </w:lvl>
    </w:lvlOverride>
  </w:num>
  <w:num w:numId="56" w16cid:durableId="1649092407">
    <w:abstractNumId w:val="48"/>
    <w:lvlOverride w:ilvl="0">
      <w:startOverride w:val="1"/>
      <w:lvl w:ilvl="0" w:tplc="17BE2A46">
        <w:start w:val="1"/>
        <w:numFmt w:val="bullet"/>
        <w:lvlText w:val=""/>
        <w:lvlJc w:val="right"/>
        <w:pPr>
          <w:ind w:left="500" w:hanging="180"/>
        </w:pPr>
        <w:rPr>
          <w:rFonts w:ascii="Symbol" w:hAnsi="Symbol" w:hint="default"/>
        </w:rPr>
      </w:lvl>
    </w:lvlOverride>
    <w:lvlOverride w:ilvl="1">
      <w:startOverride w:val="1"/>
      <w:lvl w:ilvl="1" w:tplc="26EA4772">
        <w:start w:val="1"/>
        <w:numFmt w:val="decimal"/>
        <w:lvlText w:val="%2."/>
        <w:lvlJc w:val="right"/>
        <w:pPr>
          <w:ind w:left="1000" w:hanging="180"/>
        </w:pPr>
      </w:lvl>
    </w:lvlOverride>
    <w:lvlOverride w:ilvl="2">
      <w:startOverride w:val="1"/>
      <w:lvl w:ilvl="2" w:tplc="73A64184">
        <w:start w:val="1"/>
        <w:numFmt w:val="decimal"/>
        <w:lvlText w:val="%3."/>
        <w:lvlJc w:val="right"/>
        <w:pPr>
          <w:ind w:left="1500" w:hanging="180"/>
        </w:pPr>
      </w:lvl>
    </w:lvlOverride>
    <w:lvlOverride w:ilvl="3">
      <w:startOverride w:val="1"/>
      <w:lvl w:ilvl="3" w:tplc="AFD05D86">
        <w:start w:val="1"/>
        <w:numFmt w:val="decimal"/>
        <w:lvlText w:val="%4."/>
        <w:lvlJc w:val="right"/>
        <w:pPr>
          <w:ind w:left="2000" w:hanging="180"/>
        </w:pPr>
      </w:lvl>
    </w:lvlOverride>
    <w:lvlOverride w:ilvl="4">
      <w:startOverride w:val="1"/>
      <w:lvl w:ilvl="4" w:tplc="3CC80E6E">
        <w:start w:val="1"/>
        <w:numFmt w:val="decimal"/>
        <w:lvlText w:val="%5."/>
        <w:lvlJc w:val="right"/>
        <w:pPr>
          <w:ind w:left="2500" w:hanging="180"/>
        </w:pPr>
      </w:lvl>
    </w:lvlOverride>
    <w:lvlOverride w:ilvl="5">
      <w:startOverride w:val="1"/>
      <w:lvl w:ilvl="5" w:tplc="D354BAD2">
        <w:start w:val="1"/>
        <w:numFmt w:val="decimal"/>
        <w:lvlText w:val="%6."/>
        <w:lvlJc w:val="right"/>
        <w:pPr>
          <w:ind w:left="3000" w:hanging="180"/>
        </w:pPr>
      </w:lvl>
    </w:lvlOverride>
    <w:lvlOverride w:ilvl="6">
      <w:startOverride w:val="1"/>
      <w:lvl w:ilvl="6" w:tplc="839434CC">
        <w:start w:val="1"/>
        <w:numFmt w:val="decimal"/>
        <w:lvlText w:val="%7."/>
        <w:lvlJc w:val="right"/>
        <w:pPr>
          <w:ind w:left="3500" w:hanging="180"/>
        </w:pPr>
      </w:lvl>
    </w:lvlOverride>
    <w:lvlOverride w:ilvl="7">
      <w:startOverride w:val="1"/>
      <w:lvl w:ilvl="7" w:tplc="BF629958">
        <w:start w:val="1"/>
        <w:numFmt w:val="decimal"/>
        <w:lvlText w:val="%8."/>
        <w:lvlJc w:val="right"/>
        <w:pPr>
          <w:ind w:left="4000" w:hanging="180"/>
        </w:pPr>
      </w:lvl>
    </w:lvlOverride>
    <w:lvlOverride w:ilvl="8">
      <w:startOverride w:val="1"/>
      <w:lvl w:ilvl="8" w:tplc="6AC810BE">
        <w:start w:val="1"/>
        <w:numFmt w:val="decimal"/>
        <w:lvlText w:val="%9."/>
        <w:lvlJc w:val="right"/>
        <w:pPr>
          <w:ind w:left="4500" w:hanging="180"/>
        </w:pPr>
      </w:lvl>
    </w:lvlOverride>
  </w:num>
  <w:num w:numId="57" w16cid:durableId="577711612">
    <w:abstractNumId w:val="48"/>
    <w:lvlOverride w:ilvl="0">
      <w:startOverride w:val="1"/>
      <w:lvl w:ilvl="0" w:tplc="17BE2A46">
        <w:start w:val="1"/>
        <w:numFmt w:val="bullet"/>
        <w:lvlText w:val=""/>
        <w:lvlJc w:val="right"/>
        <w:pPr>
          <w:ind w:left="500" w:hanging="180"/>
        </w:pPr>
        <w:rPr>
          <w:rFonts w:ascii="Symbol" w:hAnsi="Symbol" w:hint="default"/>
        </w:rPr>
      </w:lvl>
    </w:lvlOverride>
    <w:lvlOverride w:ilvl="1">
      <w:startOverride w:val="1"/>
      <w:lvl w:ilvl="1" w:tplc="26EA4772">
        <w:start w:val="1"/>
        <w:numFmt w:val="decimal"/>
        <w:lvlText w:val="%2."/>
        <w:lvlJc w:val="right"/>
        <w:pPr>
          <w:ind w:left="1000" w:hanging="180"/>
        </w:pPr>
      </w:lvl>
    </w:lvlOverride>
    <w:lvlOverride w:ilvl="2">
      <w:startOverride w:val="1"/>
      <w:lvl w:ilvl="2" w:tplc="73A64184">
        <w:start w:val="1"/>
        <w:numFmt w:val="decimal"/>
        <w:lvlText w:val="%3."/>
        <w:lvlJc w:val="right"/>
        <w:pPr>
          <w:ind w:left="1500" w:hanging="180"/>
        </w:pPr>
      </w:lvl>
    </w:lvlOverride>
    <w:lvlOverride w:ilvl="3">
      <w:startOverride w:val="1"/>
      <w:lvl w:ilvl="3" w:tplc="AFD05D86">
        <w:start w:val="1"/>
        <w:numFmt w:val="decimal"/>
        <w:lvlText w:val="%4."/>
        <w:lvlJc w:val="right"/>
        <w:pPr>
          <w:ind w:left="2000" w:hanging="180"/>
        </w:pPr>
      </w:lvl>
    </w:lvlOverride>
    <w:lvlOverride w:ilvl="4">
      <w:startOverride w:val="1"/>
      <w:lvl w:ilvl="4" w:tplc="3CC80E6E">
        <w:start w:val="1"/>
        <w:numFmt w:val="decimal"/>
        <w:lvlText w:val="%5."/>
        <w:lvlJc w:val="right"/>
        <w:pPr>
          <w:ind w:left="2500" w:hanging="180"/>
        </w:pPr>
      </w:lvl>
    </w:lvlOverride>
    <w:lvlOverride w:ilvl="5">
      <w:startOverride w:val="1"/>
      <w:lvl w:ilvl="5" w:tplc="D354BAD2">
        <w:start w:val="1"/>
        <w:numFmt w:val="decimal"/>
        <w:lvlText w:val="%6."/>
        <w:lvlJc w:val="right"/>
        <w:pPr>
          <w:ind w:left="3000" w:hanging="180"/>
        </w:pPr>
      </w:lvl>
    </w:lvlOverride>
    <w:lvlOverride w:ilvl="6">
      <w:startOverride w:val="1"/>
      <w:lvl w:ilvl="6" w:tplc="839434CC">
        <w:start w:val="1"/>
        <w:numFmt w:val="decimal"/>
        <w:lvlText w:val="%7."/>
        <w:lvlJc w:val="right"/>
        <w:pPr>
          <w:ind w:left="3500" w:hanging="180"/>
        </w:pPr>
      </w:lvl>
    </w:lvlOverride>
    <w:lvlOverride w:ilvl="7">
      <w:startOverride w:val="1"/>
      <w:lvl w:ilvl="7" w:tplc="BF629958">
        <w:start w:val="1"/>
        <w:numFmt w:val="decimal"/>
        <w:lvlText w:val="%8."/>
        <w:lvlJc w:val="right"/>
        <w:pPr>
          <w:ind w:left="4000" w:hanging="180"/>
        </w:pPr>
      </w:lvl>
    </w:lvlOverride>
    <w:lvlOverride w:ilvl="8">
      <w:startOverride w:val="1"/>
      <w:lvl w:ilvl="8" w:tplc="6AC810BE">
        <w:start w:val="1"/>
        <w:numFmt w:val="decimal"/>
        <w:lvlText w:val="%9."/>
        <w:lvlJc w:val="right"/>
        <w:pPr>
          <w:ind w:left="4500" w:hanging="180"/>
        </w:pPr>
      </w:lvl>
    </w:lvlOverride>
  </w:num>
  <w:num w:numId="58" w16cid:durableId="2102294329">
    <w:abstractNumId w:val="48"/>
    <w:lvlOverride w:ilvl="0">
      <w:startOverride w:val="1"/>
      <w:lvl w:ilvl="0" w:tplc="17BE2A46">
        <w:start w:val="1"/>
        <w:numFmt w:val="bullet"/>
        <w:lvlText w:val=""/>
        <w:lvlJc w:val="right"/>
        <w:pPr>
          <w:ind w:left="500" w:hanging="180"/>
        </w:pPr>
        <w:rPr>
          <w:rFonts w:ascii="Symbol" w:hAnsi="Symbol" w:hint="default"/>
        </w:rPr>
      </w:lvl>
    </w:lvlOverride>
    <w:lvlOverride w:ilvl="1">
      <w:startOverride w:val="1"/>
      <w:lvl w:ilvl="1" w:tplc="26EA4772">
        <w:start w:val="1"/>
        <w:numFmt w:val="decimal"/>
        <w:lvlText w:val="%2."/>
        <w:lvlJc w:val="right"/>
        <w:pPr>
          <w:ind w:left="1000" w:hanging="180"/>
        </w:pPr>
      </w:lvl>
    </w:lvlOverride>
    <w:lvlOverride w:ilvl="2">
      <w:startOverride w:val="1"/>
      <w:lvl w:ilvl="2" w:tplc="73A64184">
        <w:start w:val="1"/>
        <w:numFmt w:val="decimal"/>
        <w:lvlText w:val="%3."/>
        <w:lvlJc w:val="right"/>
        <w:pPr>
          <w:ind w:left="1500" w:hanging="180"/>
        </w:pPr>
      </w:lvl>
    </w:lvlOverride>
    <w:lvlOverride w:ilvl="3">
      <w:startOverride w:val="1"/>
      <w:lvl w:ilvl="3" w:tplc="AFD05D86">
        <w:start w:val="1"/>
        <w:numFmt w:val="decimal"/>
        <w:lvlText w:val="%4."/>
        <w:lvlJc w:val="right"/>
        <w:pPr>
          <w:ind w:left="2000" w:hanging="180"/>
        </w:pPr>
      </w:lvl>
    </w:lvlOverride>
    <w:lvlOverride w:ilvl="4">
      <w:startOverride w:val="1"/>
      <w:lvl w:ilvl="4" w:tplc="3CC80E6E">
        <w:start w:val="1"/>
        <w:numFmt w:val="decimal"/>
        <w:lvlText w:val="%5."/>
        <w:lvlJc w:val="right"/>
        <w:pPr>
          <w:ind w:left="2500" w:hanging="180"/>
        </w:pPr>
      </w:lvl>
    </w:lvlOverride>
    <w:lvlOverride w:ilvl="5">
      <w:startOverride w:val="1"/>
      <w:lvl w:ilvl="5" w:tplc="D354BAD2">
        <w:start w:val="1"/>
        <w:numFmt w:val="decimal"/>
        <w:lvlText w:val="%6."/>
        <w:lvlJc w:val="right"/>
        <w:pPr>
          <w:ind w:left="3000" w:hanging="180"/>
        </w:pPr>
      </w:lvl>
    </w:lvlOverride>
    <w:lvlOverride w:ilvl="6">
      <w:startOverride w:val="1"/>
      <w:lvl w:ilvl="6" w:tplc="839434CC">
        <w:start w:val="1"/>
        <w:numFmt w:val="decimal"/>
        <w:lvlText w:val="%7."/>
        <w:lvlJc w:val="right"/>
        <w:pPr>
          <w:ind w:left="3500" w:hanging="180"/>
        </w:pPr>
      </w:lvl>
    </w:lvlOverride>
    <w:lvlOverride w:ilvl="7">
      <w:startOverride w:val="1"/>
      <w:lvl w:ilvl="7" w:tplc="BF629958">
        <w:start w:val="1"/>
        <w:numFmt w:val="decimal"/>
        <w:lvlText w:val="%8."/>
        <w:lvlJc w:val="right"/>
        <w:pPr>
          <w:ind w:left="4000" w:hanging="180"/>
        </w:pPr>
      </w:lvl>
    </w:lvlOverride>
    <w:lvlOverride w:ilvl="8">
      <w:startOverride w:val="1"/>
      <w:lvl w:ilvl="8" w:tplc="6AC810BE">
        <w:start w:val="1"/>
        <w:numFmt w:val="decimal"/>
        <w:lvlText w:val="%9."/>
        <w:lvlJc w:val="right"/>
        <w:pPr>
          <w:ind w:left="4500" w:hanging="180"/>
        </w:pPr>
      </w:lvl>
    </w:lvlOverride>
  </w:num>
  <w:num w:numId="59" w16cid:durableId="740103613">
    <w:abstractNumId w:val="48"/>
    <w:lvlOverride w:ilvl="0">
      <w:startOverride w:val="1"/>
      <w:lvl w:ilvl="0" w:tplc="17BE2A46">
        <w:start w:val="1"/>
        <w:numFmt w:val="bullet"/>
        <w:lvlText w:val=""/>
        <w:lvlJc w:val="right"/>
        <w:pPr>
          <w:ind w:left="500" w:hanging="180"/>
        </w:pPr>
        <w:rPr>
          <w:rFonts w:ascii="Symbol" w:hAnsi="Symbol" w:hint="default"/>
        </w:rPr>
      </w:lvl>
    </w:lvlOverride>
    <w:lvlOverride w:ilvl="1">
      <w:startOverride w:val="1"/>
      <w:lvl w:ilvl="1" w:tplc="26EA4772">
        <w:start w:val="1"/>
        <w:numFmt w:val="decimal"/>
        <w:lvlText w:val="%2."/>
        <w:lvlJc w:val="right"/>
        <w:pPr>
          <w:ind w:left="1000" w:hanging="180"/>
        </w:pPr>
      </w:lvl>
    </w:lvlOverride>
    <w:lvlOverride w:ilvl="2">
      <w:startOverride w:val="1"/>
      <w:lvl w:ilvl="2" w:tplc="73A64184">
        <w:start w:val="1"/>
        <w:numFmt w:val="decimal"/>
        <w:lvlText w:val="%3."/>
        <w:lvlJc w:val="right"/>
        <w:pPr>
          <w:ind w:left="1500" w:hanging="180"/>
        </w:pPr>
      </w:lvl>
    </w:lvlOverride>
    <w:lvlOverride w:ilvl="3">
      <w:startOverride w:val="1"/>
      <w:lvl w:ilvl="3" w:tplc="AFD05D86">
        <w:start w:val="1"/>
        <w:numFmt w:val="decimal"/>
        <w:lvlText w:val="%4."/>
        <w:lvlJc w:val="right"/>
        <w:pPr>
          <w:ind w:left="2000" w:hanging="180"/>
        </w:pPr>
      </w:lvl>
    </w:lvlOverride>
    <w:lvlOverride w:ilvl="4">
      <w:startOverride w:val="1"/>
      <w:lvl w:ilvl="4" w:tplc="3CC80E6E">
        <w:start w:val="1"/>
        <w:numFmt w:val="decimal"/>
        <w:lvlText w:val="%5."/>
        <w:lvlJc w:val="right"/>
        <w:pPr>
          <w:ind w:left="2500" w:hanging="180"/>
        </w:pPr>
      </w:lvl>
    </w:lvlOverride>
    <w:lvlOverride w:ilvl="5">
      <w:startOverride w:val="1"/>
      <w:lvl w:ilvl="5" w:tplc="D354BAD2">
        <w:start w:val="1"/>
        <w:numFmt w:val="decimal"/>
        <w:lvlText w:val="%6."/>
        <w:lvlJc w:val="right"/>
        <w:pPr>
          <w:ind w:left="3000" w:hanging="180"/>
        </w:pPr>
      </w:lvl>
    </w:lvlOverride>
    <w:lvlOverride w:ilvl="6">
      <w:startOverride w:val="1"/>
      <w:lvl w:ilvl="6" w:tplc="839434CC">
        <w:start w:val="1"/>
        <w:numFmt w:val="decimal"/>
        <w:lvlText w:val="%7."/>
        <w:lvlJc w:val="right"/>
        <w:pPr>
          <w:ind w:left="3500" w:hanging="180"/>
        </w:pPr>
      </w:lvl>
    </w:lvlOverride>
    <w:lvlOverride w:ilvl="7">
      <w:startOverride w:val="1"/>
      <w:lvl w:ilvl="7" w:tplc="BF629958">
        <w:start w:val="1"/>
        <w:numFmt w:val="decimal"/>
        <w:lvlText w:val="%8."/>
        <w:lvlJc w:val="right"/>
        <w:pPr>
          <w:ind w:left="4000" w:hanging="180"/>
        </w:pPr>
      </w:lvl>
    </w:lvlOverride>
    <w:lvlOverride w:ilvl="8">
      <w:startOverride w:val="1"/>
      <w:lvl w:ilvl="8" w:tplc="6AC810BE">
        <w:start w:val="1"/>
        <w:numFmt w:val="decimal"/>
        <w:lvlText w:val="%9."/>
        <w:lvlJc w:val="right"/>
        <w:pPr>
          <w:ind w:left="4500" w:hanging="180"/>
        </w:pPr>
      </w:lvl>
    </w:lvlOverride>
  </w:num>
  <w:num w:numId="60" w16cid:durableId="130172043">
    <w:abstractNumId w:val="40"/>
    <w:lvlOverride w:ilvl="0">
      <w:startOverride w:val="1"/>
      <w:lvl w:ilvl="0" w:tplc="9D787CCA">
        <w:start w:val="1"/>
        <w:numFmt w:val="bullet"/>
        <w:lvlText w:val=""/>
        <w:lvlJc w:val="right"/>
        <w:pPr>
          <w:ind w:left="500" w:hanging="180"/>
        </w:pPr>
        <w:rPr>
          <w:rFonts w:ascii="Symbol" w:hAnsi="Symbol" w:hint="default"/>
        </w:rPr>
      </w:lvl>
    </w:lvlOverride>
    <w:lvlOverride w:ilvl="1">
      <w:startOverride w:val="1"/>
      <w:lvl w:ilvl="1" w:tplc="CD78F6E0">
        <w:start w:val="1"/>
        <w:numFmt w:val="decimal"/>
        <w:lvlText w:val="%2."/>
        <w:lvlJc w:val="right"/>
        <w:pPr>
          <w:ind w:left="1000" w:hanging="180"/>
        </w:pPr>
      </w:lvl>
    </w:lvlOverride>
    <w:lvlOverride w:ilvl="2">
      <w:startOverride w:val="1"/>
      <w:lvl w:ilvl="2" w:tplc="936AAC70">
        <w:start w:val="1"/>
        <w:numFmt w:val="decimal"/>
        <w:lvlText w:val="%3."/>
        <w:lvlJc w:val="right"/>
        <w:pPr>
          <w:ind w:left="1500" w:hanging="180"/>
        </w:pPr>
      </w:lvl>
    </w:lvlOverride>
    <w:lvlOverride w:ilvl="3">
      <w:startOverride w:val="1"/>
      <w:lvl w:ilvl="3" w:tplc="D2E64D8C">
        <w:start w:val="1"/>
        <w:numFmt w:val="decimal"/>
        <w:lvlText w:val="%4."/>
        <w:lvlJc w:val="right"/>
        <w:pPr>
          <w:ind w:left="2000" w:hanging="180"/>
        </w:pPr>
      </w:lvl>
    </w:lvlOverride>
    <w:lvlOverride w:ilvl="4">
      <w:startOverride w:val="1"/>
      <w:lvl w:ilvl="4" w:tplc="65D62C80">
        <w:start w:val="1"/>
        <w:numFmt w:val="decimal"/>
        <w:lvlText w:val="%5."/>
        <w:lvlJc w:val="right"/>
        <w:pPr>
          <w:ind w:left="2500" w:hanging="180"/>
        </w:pPr>
      </w:lvl>
    </w:lvlOverride>
    <w:lvlOverride w:ilvl="5">
      <w:startOverride w:val="1"/>
      <w:lvl w:ilvl="5" w:tplc="B0F8B1EA">
        <w:start w:val="1"/>
        <w:numFmt w:val="decimal"/>
        <w:lvlText w:val="%6."/>
        <w:lvlJc w:val="right"/>
        <w:pPr>
          <w:ind w:left="3000" w:hanging="180"/>
        </w:pPr>
      </w:lvl>
    </w:lvlOverride>
    <w:lvlOverride w:ilvl="6">
      <w:startOverride w:val="1"/>
      <w:lvl w:ilvl="6" w:tplc="05528F8A">
        <w:start w:val="1"/>
        <w:numFmt w:val="decimal"/>
        <w:lvlText w:val="%7."/>
        <w:lvlJc w:val="right"/>
        <w:pPr>
          <w:ind w:left="3500" w:hanging="180"/>
        </w:pPr>
      </w:lvl>
    </w:lvlOverride>
    <w:lvlOverride w:ilvl="7">
      <w:startOverride w:val="1"/>
      <w:lvl w:ilvl="7" w:tplc="1E9CA330">
        <w:start w:val="1"/>
        <w:numFmt w:val="decimal"/>
        <w:lvlText w:val="%8."/>
        <w:lvlJc w:val="right"/>
        <w:pPr>
          <w:ind w:left="4000" w:hanging="180"/>
        </w:pPr>
      </w:lvl>
    </w:lvlOverride>
    <w:lvlOverride w:ilvl="8">
      <w:startOverride w:val="1"/>
      <w:lvl w:ilvl="8" w:tplc="ECCE57D0">
        <w:start w:val="1"/>
        <w:numFmt w:val="decimal"/>
        <w:lvlText w:val="%9."/>
        <w:lvlJc w:val="right"/>
        <w:pPr>
          <w:ind w:left="4500" w:hanging="180"/>
        </w:pPr>
      </w:lvl>
    </w:lvlOverride>
  </w:num>
  <w:num w:numId="61" w16cid:durableId="1658264420">
    <w:abstractNumId w:val="24"/>
    <w:lvlOverride w:ilvl="0">
      <w:startOverride w:val="1"/>
      <w:lvl w:ilvl="0" w:tplc="83A27B0E">
        <w:start w:val="1"/>
        <w:numFmt w:val="bullet"/>
        <w:lvlText w:val=""/>
        <w:lvlJc w:val="right"/>
        <w:pPr>
          <w:ind w:left="500" w:hanging="180"/>
        </w:pPr>
        <w:rPr>
          <w:rFonts w:ascii="Symbol" w:hAnsi="Symbol" w:hint="default"/>
        </w:rPr>
      </w:lvl>
    </w:lvlOverride>
    <w:lvlOverride w:ilvl="1">
      <w:startOverride w:val="1"/>
      <w:lvl w:ilvl="1" w:tplc="642E9D78">
        <w:start w:val="1"/>
        <w:numFmt w:val="decimal"/>
        <w:lvlText w:val="%2."/>
        <w:lvlJc w:val="right"/>
        <w:pPr>
          <w:ind w:left="1000" w:hanging="180"/>
        </w:pPr>
      </w:lvl>
    </w:lvlOverride>
    <w:lvlOverride w:ilvl="2">
      <w:startOverride w:val="1"/>
      <w:lvl w:ilvl="2" w:tplc="B316E9CA">
        <w:start w:val="1"/>
        <w:numFmt w:val="decimal"/>
        <w:lvlText w:val="%3."/>
        <w:lvlJc w:val="right"/>
        <w:pPr>
          <w:ind w:left="1500" w:hanging="180"/>
        </w:pPr>
      </w:lvl>
    </w:lvlOverride>
    <w:lvlOverride w:ilvl="3">
      <w:startOverride w:val="1"/>
      <w:lvl w:ilvl="3" w:tplc="919EEA8A">
        <w:start w:val="1"/>
        <w:numFmt w:val="decimal"/>
        <w:lvlText w:val="%4."/>
        <w:lvlJc w:val="right"/>
        <w:pPr>
          <w:ind w:left="2000" w:hanging="180"/>
        </w:pPr>
      </w:lvl>
    </w:lvlOverride>
    <w:lvlOverride w:ilvl="4">
      <w:startOverride w:val="1"/>
      <w:lvl w:ilvl="4" w:tplc="722C7ABC">
        <w:start w:val="1"/>
        <w:numFmt w:val="decimal"/>
        <w:lvlText w:val="%5."/>
        <w:lvlJc w:val="right"/>
        <w:pPr>
          <w:ind w:left="2500" w:hanging="180"/>
        </w:pPr>
      </w:lvl>
    </w:lvlOverride>
    <w:lvlOverride w:ilvl="5">
      <w:startOverride w:val="1"/>
      <w:lvl w:ilvl="5" w:tplc="114C17CC">
        <w:start w:val="1"/>
        <w:numFmt w:val="decimal"/>
        <w:lvlText w:val="%6."/>
        <w:lvlJc w:val="right"/>
        <w:pPr>
          <w:ind w:left="3000" w:hanging="180"/>
        </w:pPr>
      </w:lvl>
    </w:lvlOverride>
    <w:lvlOverride w:ilvl="6">
      <w:startOverride w:val="1"/>
      <w:lvl w:ilvl="6" w:tplc="51802EE6">
        <w:start w:val="1"/>
        <w:numFmt w:val="decimal"/>
        <w:lvlText w:val="%7."/>
        <w:lvlJc w:val="right"/>
        <w:pPr>
          <w:ind w:left="3500" w:hanging="180"/>
        </w:pPr>
      </w:lvl>
    </w:lvlOverride>
    <w:lvlOverride w:ilvl="7">
      <w:startOverride w:val="1"/>
      <w:lvl w:ilvl="7" w:tplc="7FCC1C98">
        <w:start w:val="1"/>
        <w:numFmt w:val="decimal"/>
        <w:lvlText w:val="%8."/>
        <w:lvlJc w:val="right"/>
        <w:pPr>
          <w:ind w:left="4000" w:hanging="180"/>
        </w:pPr>
      </w:lvl>
    </w:lvlOverride>
    <w:lvlOverride w:ilvl="8">
      <w:startOverride w:val="1"/>
      <w:lvl w:ilvl="8" w:tplc="56B84640">
        <w:start w:val="1"/>
        <w:numFmt w:val="decimal"/>
        <w:lvlText w:val="%9."/>
        <w:lvlJc w:val="right"/>
        <w:pPr>
          <w:ind w:left="4500" w:hanging="180"/>
        </w:pPr>
      </w:lvl>
    </w:lvlOverride>
  </w:num>
  <w:num w:numId="62" w16cid:durableId="537855990">
    <w:abstractNumId w:val="6"/>
    <w:lvlOverride w:ilvl="0">
      <w:startOverride w:val="1"/>
      <w:lvl w:ilvl="0" w:tplc="5F0011B8">
        <w:start w:val="1"/>
        <w:numFmt w:val="bullet"/>
        <w:lvlText w:val=""/>
        <w:lvlJc w:val="right"/>
        <w:pPr>
          <w:ind w:left="500" w:hanging="180"/>
        </w:pPr>
        <w:rPr>
          <w:rFonts w:ascii="Symbol" w:hAnsi="Symbol" w:hint="default"/>
        </w:rPr>
      </w:lvl>
    </w:lvlOverride>
    <w:lvlOverride w:ilvl="1">
      <w:startOverride w:val="1"/>
      <w:lvl w:ilvl="1" w:tplc="00AC388C">
        <w:start w:val="1"/>
        <w:numFmt w:val="decimal"/>
        <w:lvlText w:val="%2."/>
        <w:lvlJc w:val="right"/>
        <w:pPr>
          <w:ind w:left="1000" w:hanging="180"/>
        </w:pPr>
      </w:lvl>
    </w:lvlOverride>
    <w:lvlOverride w:ilvl="2">
      <w:startOverride w:val="1"/>
      <w:lvl w:ilvl="2" w:tplc="D38E74E8">
        <w:start w:val="1"/>
        <w:numFmt w:val="decimal"/>
        <w:lvlText w:val="%3."/>
        <w:lvlJc w:val="right"/>
        <w:pPr>
          <w:ind w:left="1500" w:hanging="180"/>
        </w:pPr>
      </w:lvl>
    </w:lvlOverride>
    <w:lvlOverride w:ilvl="3">
      <w:startOverride w:val="1"/>
      <w:lvl w:ilvl="3" w:tplc="82F8D04A">
        <w:start w:val="1"/>
        <w:numFmt w:val="decimal"/>
        <w:lvlText w:val="%4."/>
        <w:lvlJc w:val="right"/>
        <w:pPr>
          <w:ind w:left="2000" w:hanging="180"/>
        </w:pPr>
      </w:lvl>
    </w:lvlOverride>
    <w:lvlOverride w:ilvl="4">
      <w:startOverride w:val="1"/>
      <w:lvl w:ilvl="4" w:tplc="39861BC0">
        <w:start w:val="1"/>
        <w:numFmt w:val="decimal"/>
        <w:lvlText w:val="%5."/>
        <w:lvlJc w:val="right"/>
        <w:pPr>
          <w:ind w:left="2500" w:hanging="180"/>
        </w:pPr>
      </w:lvl>
    </w:lvlOverride>
    <w:lvlOverride w:ilvl="5">
      <w:startOverride w:val="1"/>
      <w:lvl w:ilvl="5" w:tplc="E354AD04">
        <w:start w:val="1"/>
        <w:numFmt w:val="decimal"/>
        <w:lvlText w:val="%6."/>
        <w:lvlJc w:val="right"/>
        <w:pPr>
          <w:ind w:left="3000" w:hanging="180"/>
        </w:pPr>
      </w:lvl>
    </w:lvlOverride>
    <w:lvlOverride w:ilvl="6">
      <w:startOverride w:val="1"/>
      <w:lvl w:ilvl="6" w:tplc="0480ED18">
        <w:start w:val="1"/>
        <w:numFmt w:val="decimal"/>
        <w:lvlText w:val="%7."/>
        <w:lvlJc w:val="right"/>
        <w:pPr>
          <w:ind w:left="3500" w:hanging="180"/>
        </w:pPr>
      </w:lvl>
    </w:lvlOverride>
    <w:lvlOverride w:ilvl="7">
      <w:startOverride w:val="1"/>
      <w:lvl w:ilvl="7" w:tplc="7A929B12">
        <w:start w:val="1"/>
        <w:numFmt w:val="decimal"/>
        <w:lvlText w:val="%8."/>
        <w:lvlJc w:val="right"/>
        <w:pPr>
          <w:ind w:left="4000" w:hanging="180"/>
        </w:pPr>
      </w:lvl>
    </w:lvlOverride>
    <w:lvlOverride w:ilvl="8">
      <w:startOverride w:val="1"/>
      <w:lvl w:ilvl="8" w:tplc="96441686">
        <w:start w:val="1"/>
        <w:numFmt w:val="decimal"/>
        <w:lvlText w:val="%9."/>
        <w:lvlJc w:val="right"/>
        <w:pPr>
          <w:ind w:left="4500" w:hanging="180"/>
        </w:pPr>
      </w:lvl>
    </w:lvlOverride>
  </w:num>
  <w:num w:numId="63" w16cid:durableId="537276590">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64" w16cid:durableId="56323098">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65" w16cid:durableId="1981838968">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66" w16cid:durableId="1531532665">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67" w16cid:durableId="1138842193">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68" w16cid:durableId="1536650156">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69" w16cid:durableId="2130776087">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70" w16cid:durableId="262031313">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71" w16cid:durableId="288246887">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72" w16cid:durableId="345712185">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73" w16cid:durableId="967782844">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74" w16cid:durableId="929511530">
    <w:abstractNumId w:val="14"/>
    <w:lvlOverride w:ilvl="0">
      <w:startOverride w:val="1"/>
      <w:lvl w:ilvl="0" w:tplc="57E4625E">
        <w:start w:val="1"/>
        <w:numFmt w:val="bullet"/>
        <w:lvlText w:val=""/>
        <w:lvlJc w:val="right"/>
        <w:pPr>
          <w:ind w:left="500" w:hanging="180"/>
        </w:pPr>
        <w:rPr>
          <w:rFonts w:ascii="Symbol" w:hAnsi="Symbol" w:hint="default"/>
        </w:rPr>
      </w:lvl>
    </w:lvlOverride>
    <w:lvlOverride w:ilvl="1">
      <w:startOverride w:val="1"/>
      <w:lvl w:ilvl="1" w:tplc="48A09D36">
        <w:start w:val="1"/>
        <w:numFmt w:val="decimal"/>
        <w:lvlText w:val="%2."/>
        <w:lvlJc w:val="right"/>
        <w:pPr>
          <w:ind w:left="1000" w:hanging="180"/>
        </w:pPr>
      </w:lvl>
    </w:lvlOverride>
    <w:lvlOverride w:ilvl="2">
      <w:startOverride w:val="1"/>
      <w:lvl w:ilvl="2" w:tplc="8CA40E1A">
        <w:start w:val="1"/>
        <w:numFmt w:val="decimal"/>
        <w:lvlText w:val="%3."/>
        <w:lvlJc w:val="right"/>
        <w:pPr>
          <w:ind w:left="1500" w:hanging="180"/>
        </w:pPr>
      </w:lvl>
    </w:lvlOverride>
    <w:lvlOverride w:ilvl="3">
      <w:startOverride w:val="1"/>
      <w:lvl w:ilvl="3" w:tplc="5D342826">
        <w:start w:val="1"/>
        <w:numFmt w:val="decimal"/>
        <w:lvlText w:val="%4."/>
        <w:lvlJc w:val="right"/>
        <w:pPr>
          <w:ind w:left="2000" w:hanging="180"/>
        </w:pPr>
      </w:lvl>
    </w:lvlOverride>
    <w:lvlOverride w:ilvl="4">
      <w:startOverride w:val="1"/>
      <w:lvl w:ilvl="4" w:tplc="96DE4898">
        <w:start w:val="1"/>
        <w:numFmt w:val="decimal"/>
        <w:lvlText w:val="%5."/>
        <w:lvlJc w:val="right"/>
        <w:pPr>
          <w:ind w:left="2500" w:hanging="180"/>
        </w:pPr>
      </w:lvl>
    </w:lvlOverride>
    <w:lvlOverride w:ilvl="5">
      <w:startOverride w:val="1"/>
      <w:lvl w:ilvl="5" w:tplc="6A98D62E">
        <w:start w:val="1"/>
        <w:numFmt w:val="decimal"/>
        <w:lvlText w:val="%6."/>
        <w:lvlJc w:val="right"/>
        <w:pPr>
          <w:ind w:left="3000" w:hanging="180"/>
        </w:pPr>
      </w:lvl>
    </w:lvlOverride>
    <w:lvlOverride w:ilvl="6">
      <w:startOverride w:val="1"/>
      <w:lvl w:ilvl="6" w:tplc="561E2706">
        <w:start w:val="1"/>
        <w:numFmt w:val="decimal"/>
        <w:lvlText w:val="%7."/>
        <w:lvlJc w:val="right"/>
        <w:pPr>
          <w:ind w:left="3500" w:hanging="180"/>
        </w:pPr>
      </w:lvl>
    </w:lvlOverride>
    <w:lvlOverride w:ilvl="7">
      <w:startOverride w:val="1"/>
      <w:lvl w:ilvl="7" w:tplc="608AF578">
        <w:start w:val="1"/>
        <w:numFmt w:val="decimal"/>
        <w:lvlText w:val="%8."/>
        <w:lvlJc w:val="right"/>
        <w:pPr>
          <w:ind w:left="4000" w:hanging="180"/>
        </w:pPr>
      </w:lvl>
    </w:lvlOverride>
    <w:lvlOverride w:ilvl="8">
      <w:startOverride w:val="1"/>
      <w:lvl w:ilvl="8" w:tplc="7E7032FC">
        <w:start w:val="1"/>
        <w:numFmt w:val="decimal"/>
        <w:lvlText w:val="%9."/>
        <w:lvlJc w:val="right"/>
        <w:pPr>
          <w:ind w:left="4500" w:hanging="180"/>
        </w:pPr>
      </w:lvl>
    </w:lvlOverride>
  </w:num>
  <w:num w:numId="75" w16cid:durableId="1069885440">
    <w:abstractNumId w:val="15"/>
    <w:lvlOverride w:ilvl="0">
      <w:startOverride w:val="1"/>
      <w:lvl w:ilvl="0" w:tplc="C04CBD50">
        <w:start w:val="1"/>
        <w:numFmt w:val="bullet"/>
        <w:lvlText w:val=""/>
        <w:lvlJc w:val="right"/>
        <w:pPr>
          <w:ind w:left="500" w:hanging="180"/>
        </w:pPr>
        <w:rPr>
          <w:rFonts w:ascii="Symbol" w:hAnsi="Symbol" w:hint="default"/>
        </w:rPr>
      </w:lvl>
    </w:lvlOverride>
    <w:lvlOverride w:ilvl="1">
      <w:startOverride w:val="1"/>
      <w:lvl w:ilvl="1" w:tplc="3412267A">
        <w:start w:val="1"/>
        <w:numFmt w:val="decimal"/>
        <w:lvlText w:val="%2."/>
        <w:lvlJc w:val="right"/>
        <w:pPr>
          <w:ind w:left="1000" w:hanging="180"/>
        </w:pPr>
      </w:lvl>
    </w:lvlOverride>
    <w:lvlOverride w:ilvl="2">
      <w:startOverride w:val="1"/>
      <w:lvl w:ilvl="2" w:tplc="77F6BAE2">
        <w:start w:val="1"/>
        <w:numFmt w:val="decimal"/>
        <w:lvlText w:val="%3."/>
        <w:lvlJc w:val="right"/>
        <w:pPr>
          <w:ind w:left="1500" w:hanging="180"/>
        </w:pPr>
      </w:lvl>
    </w:lvlOverride>
    <w:lvlOverride w:ilvl="3">
      <w:startOverride w:val="1"/>
      <w:lvl w:ilvl="3" w:tplc="E5A6AB06">
        <w:start w:val="1"/>
        <w:numFmt w:val="decimal"/>
        <w:lvlText w:val="%4."/>
        <w:lvlJc w:val="right"/>
        <w:pPr>
          <w:ind w:left="2000" w:hanging="180"/>
        </w:pPr>
      </w:lvl>
    </w:lvlOverride>
    <w:lvlOverride w:ilvl="4">
      <w:startOverride w:val="1"/>
      <w:lvl w:ilvl="4" w:tplc="834EE334">
        <w:start w:val="1"/>
        <w:numFmt w:val="decimal"/>
        <w:lvlText w:val="%5."/>
        <w:lvlJc w:val="right"/>
        <w:pPr>
          <w:ind w:left="2500" w:hanging="180"/>
        </w:pPr>
      </w:lvl>
    </w:lvlOverride>
    <w:lvlOverride w:ilvl="5">
      <w:startOverride w:val="1"/>
      <w:lvl w:ilvl="5" w:tplc="E14CA790">
        <w:start w:val="1"/>
        <w:numFmt w:val="decimal"/>
        <w:lvlText w:val="%6."/>
        <w:lvlJc w:val="right"/>
        <w:pPr>
          <w:ind w:left="3000" w:hanging="180"/>
        </w:pPr>
      </w:lvl>
    </w:lvlOverride>
    <w:lvlOverride w:ilvl="6">
      <w:startOverride w:val="1"/>
      <w:lvl w:ilvl="6" w:tplc="B6E283E4">
        <w:start w:val="1"/>
        <w:numFmt w:val="decimal"/>
        <w:lvlText w:val="%7."/>
        <w:lvlJc w:val="right"/>
        <w:pPr>
          <w:ind w:left="3500" w:hanging="180"/>
        </w:pPr>
      </w:lvl>
    </w:lvlOverride>
    <w:lvlOverride w:ilvl="7">
      <w:startOverride w:val="1"/>
      <w:lvl w:ilvl="7" w:tplc="2C703822">
        <w:start w:val="1"/>
        <w:numFmt w:val="decimal"/>
        <w:lvlText w:val="%8."/>
        <w:lvlJc w:val="right"/>
        <w:pPr>
          <w:ind w:left="4000" w:hanging="180"/>
        </w:pPr>
      </w:lvl>
    </w:lvlOverride>
    <w:lvlOverride w:ilvl="8">
      <w:startOverride w:val="1"/>
      <w:lvl w:ilvl="8" w:tplc="BEDE0120">
        <w:start w:val="1"/>
        <w:numFmt w:val="decimal"/>
        <w:lvlText w:val="%9."/>
        <w:lvlJc w:val="right"/>
        <w:pPr>
          <w:ind w:left="4500" w:hanging="180"/>
        </w:pPr>
      </w:lvl>
    </w:lvlOverride>
  </w:num>
  <w:num w:numId="76" w16cid:durableId="1875995496">
    <w:abstractNumId w:val="31"/>
    <w:lvlOverride w:ilvl="0">
      <w:startOverride w:val="1"/>
      <w:lvl w:ilvl="0" w:tplc="F6FE1C0A">
        <w:start w:val="1"/>
        <w:numFmt w:val="bullet"/>
        <w:lvlText w:val=""/>
        <w:lvlJc w:val="right"/>
        <w:pPr>
          <w:ind w:left="500" w:hanging="180"/>
        </w:pPr>
        <w:rPr>
          <w:rFonts w:ascii="Symbol" w:hAnsi="Symbol" w:hint="default"/>
        </w:rPr>
      </w:lvl>
    </w:lvlOverride>
    <w:lvlOverride w:ilvl="1">
      <w:startOverride w:val="1"/>
      <w:lvl w:ilvl="1" w:tplc="0166FF1E">
        <w:start w:val="1"/>
        <w:numFmt w:val="decimal"/>
        <w:lvlText w:val="%2."/>
        <w:lvlJc w:val="right"/>
        <w:pPr>
          <w:ind w:left="1000" w:hanging="180"/>
        </w:pPr>
      </w:lvl>
    </w:lvlOverride>
    <w:lvlOverride w:ilvl="2">
      <w:startOverride w:val="1"/>
      <w:lvl w:ilvl="2" w:tplc="E73EECFE">
        <w:start w:val="1"/>
        <w:numFmt w:val="decimal"/>
        <w:lvlText w:val="%3."/>
        <w:lvlJc w:val="right"/>
        <w:pPr>
          <w:ind w:left="1500" w:hanging="180"/>
        </w:pPr>
      </w:lvl>
    </w:lvlOverride>
    <w:lvlOverride w:ilvl="3">
      <w:startOverride w:val="1"/>
      <w:lvl w:ilvl="3" w:tplc="922061DE">
        <w:start w:val="1"/>
        <w:numFmt w:val="decimal"/>
        <w:lvlText w:val="%4."/>
        <w:lvlJc w:val="right"/>
        <w:pPr>
          <w:ind w:left="2000" w:hanging="180"/>
        </w:pPr>
      </w:lvl>
    </w:lvlOverride>
    <w:lvlOverride w:ilvl="4">
      <w:startOverride w:val="1"/>
      <w:lvl w:ilvl="4" w:tplc="20329C4A">
        <w:start w:val="1"/>
        <w:numFmt w:val="decimal"/>
        <w:lvlText w:val="%5."/>
        <w:lvlJc w:val="right"/>
        <w:pPr>
          <w:ind w:left="2500" w:hanging="180"/>
        </w:pPr>
      </w:lvl>
    </w:lvlOverride>
    <w:lvlOverride w:ilvl="5">
      <w:startOverride w:val="1"/>
      <w:lvl w:ilvl="5" w:tplc="5BA8A73E">
        <w:start w:val="1"/>
        <w:numFmt w:val="decimal"/>
        <w:lvlText w:val="%6."/>
        <w:lvlJc w:val="right"/>
        <w:pPr>
          <w:ind w:left="3000" w:hanging="180"/>
        </w:pPr>
      </w:lvl>
    </w:lvlOverride>
    <w:lvlOverride w:ilvl="6">
      <w:startOverride w:val="1"/>
      <w:lvl w:ilvl="6" w:tplc="76365B30">
        <w:start w:val="1"/>
        <w:numFmt w:val="decimal"/>
        <w:lvlText w:val="%7."/>
        <w:lvlJc w:val="right"/>
        <w:pPr>
          <w:ind w:left="3500" w:hanging="180"/>
        </w:pPr>
      </w:lvl>
    </w:lvlOverride>
    <w:lvlOverride w:ilvl="7">
      <w:startOverride w:val="1"/>
      <w:lvl w:ilvl="7" w:tplc="CA5CC786">
        <w:start w:val="1"/>
        <w:numFmt w:val="decimal"/>
        <w:lvlText w:val="%8."/>
        <w:lvlJc w:val="right"/>
        <w:pPr>
          <w:ind w:left="4000" w:hanging="180"/>
        </w:pPr>
      </w:lvl>
    </w:lvlOverride>
    <w:lvlOverride w:ilvl="8">
      <w:startOverride w:val="1"/>
      <w:lvl w:ilvl="8" w:tplc="080C3326">
        <w:start w:val="1"/>
        <w:numFmt w:val="decimal"/>
        <w:lvlText w:val="%9."/>
        <w:lvlJc w:val="right"/>
        <w:pPr>
          <w:ind w:left="4500" w:hanging="180"/>
        </w:pPr>
      </w:lvl>
    </w:lvlOverride>
  </w:num>
  <w:num w:numId="77" w16cid:durableId="1423842635">
    <w:abstractNumId w:val="11"/>
    <w:lvlOverride w:ilvl="0">
      <w:startOverride w:val="1"/>
      <w:lvl w:ilvl="0" w:tplc="6DFCF0CC">
        <w:start w:val="1"/>
        <w:numFmt w:val="bullet"/>
        <w:lvlText w:val=""/>
        <w:lvlJc w:val="right"/>
        <w:pPr>
          <w:ind w:left="500" w:hanging="180"/>
        </w:pPr>
        <w:rPr>
          <w:rFonts w:ascii="Symbol" w:hAnsi="Symbol" w:hint="default"/>
        </w:rPr>
      </w:lvl>
    </w:lvlOverride>
    <w:lvlOverride w:ilvl="1">
      <w:startOverride w:val="1"/>
      <w:lvl w:ilvl="1" w:tplc="4EEE7EDC">
        <w:start w:val="1"/>
        <w:numFmt w:val="decimal"/>
        <w:lvlText w:val="%2."/>
        <w:lvlJc w:val="right"/>
        <w:pPr>
          <w:ind w:left="1000" w:hanging="180"/>
        </w:pPr>
      </w:lvl>
    </w:lvlOverride>
    <w:lvlOverride w:ilvl="2">
      <w:startOverride w:val="1"/>
      <w:lvl w:ilvl="2" w:tplc="58C8725C">
        <w:start w:val="1"/>
        <w:numFmt w:val="decimal"/>
        <w:lvlText w:val="%3."/>
        <w:lvlJc w:val="right"/>
        <w:pPr>
          <w:ind w:left="1500" w:hanging="180"/>
        </w:pPr>
      </w:lvl>
    </w:lvlOverride>
    <w:lvlOverride w:ilvl="3">
      <w:startOverride w:val="1"/>
      <w:lvl w:ilvl="3" w:tplc="D30AD24C">
        <w:start w:val="1"/>
        <w:numFmt w:val="decimal"/>
        <w:lvlText w:val="%4."/>
        <w:lvlJc w:val="right"/>
        <w:pPr>
          <w:ind w:left="2000" w:hanging="180"/>
        </w:pPr>
      </w:lvl>
    </w:lvlOverride>
    <w:lvlOverride w:ilvl="4">
      <w:startOverride w:val="1"/>
      <w:lvl w:ilvl="4" w:tplc="344CA5CA">
        <w:start w:val="1"/>
        <w:numFmt w:val="decimal"/>
        <w:lvlText w:val="%5."/>
        <w:lvlJc w:val="right"/>
        <w:pPr>
          <w:ind w:left="2500" w:hanging="180"/>
        </w:pPr>
      </w:lvl>
    </w:lvlOverride>
    <w:lvlOverride w:ilvl="5">
      <w:startOverride w:val="1"/>
      <w:lvl w:ilvl="5" w:tplc="C81ECBE2">
        <w:start w:val="1"/>
        <w:numFmt w:val="decimal"/>
        <w:lvlText w:val="%6."/>
        <w:lvlJc w:val="right"/>
        <w:pPr>
          <w:ind w:left="3000" w:hanging="180"/>
        </w:pPr>
      </w:lvl>
    </w:lvlOverride>
    <w:lvlOverride w:ilvl="6">
      <w:startOverride w:val="1"/>
      <w:lvl w:ilvl="6" w:tplc="5CDCBDAA">
        <w:start w:val="1"/>
        <w:numFmt w:val="decimal"/>
        <w:lvlText w:val="%7."/>
        <w:lvlJc w:val="right"/>
        <w:pPr>
          <w:ind w:left="3500" w:hanging="180"/>
        </w:pPr>
      </w:lvl>
    </w:lvlOverride>
    <w:lvlOverride w:ilvl="7">
      <w:startOverride w:val="1"/>
      <w:lvl w:ilvl="7" w:tplc="C4266572">
        <w:start w:val="1"/>
        <w:numFmt w:val="decimal"/>
        <w:lvlText w:val="%8."/>
        <w:lvlJc w:val="right"/>
        <w:pPr>
          <w:ind w:left="4000" w:hanging="180"/>
        </w:pPr>
      </w:lvl>
    </w:lvlOverride>
    <w:lvlOverride w:ilvl="8">
      <w:startOverride w:val="1"/>
      <w:lvl w:ilvl="8" w:tplc="5BA099B2">
        <w:start w:val="1"/>
        <w:numFmt w:val="decimal"/>
        <w:lvlText w:val="%9."/>
        <w:lvlJc w:val="right"/>
        <w:pPr>
          <w:ind w:left="4500" w:hanging="180"/>
        </w:pPr>
      </w:lvl>
    </w:lvlOverride>
  </w:num>
  <w:num w:numId="78" w16cid:durableId="1332369324">
    <w:abstractNumId w:val="20"/>
    <w:lvlOverride w:ilvl="0">
      <w:startOverride w:val="1"/>
      <w:lvl w:ilvl="0" w:tplc="24EE49C8">
        <w:start w:val="1"/>
        <w:numFmt w:val="bullet"/>
        <w:lvlText w:val=""/>
        <w:lvlJc w:val="right"/>
        <w:pPr>
          <w:ind w:left="500" w:hanging="180"/>
        </w:pPr>
        <w:rPr>
          <w:rFonts w:ascii="Symbol" w:hAnsi="Symbol" w:hint="default"/>
        </w:rPr>
      </w:lvl>
    </w:lvlOverride>
    <w:lvlOverride w:ilvl="1">
      <w:startOverride w:val="1"/>
      <w:lvl w:ilvl="1" w:tplc="155A8E22">
        <w:start w:val="1"/>
        <w:numFmt w:val="decimal"/>
        <w:lvlText w:val="%2."/>
        <w:lvlJc w:val="right"/>
        <w:pPr>
          <w:ind w:left="1000" w:hanging="180"/>
        </w:pPr>
      </w:lvl>
    </w:lvlOverride>
    <w:lvlOverride w:ilvl="2">
      <w:startOverride w:val="1"/>
      <w:lvl w:ilvl="2" w:tplc="4792122C">
        <w:start w:val="1"/>
        <w:numFmt w:val="decimal"/>
        <w:lvlText w:val="%3."/>
        <w:lvlJc w:val="right"/>
        <w:pPr>
          <w:ind w:left="1500" w:hanging="180"/>
        </w:pPr>
      </w:lvl>
    </w:lvlOverride>
    <w:lvlOverride w:ilvl="3">
      <w:startOverride w:val="1"/>
      <w:lvl w:ilvl="3" w:tplc="8E26C8E2">
        <w:start w:val="1"/>
        <w:numFmt w:val="decimal"/>
        <w:lvlText w:val="%4."/>
        <w:lvlJc w:val="right"/>
        <w:pPr>
          <w:ind w:left="2000" w:hanging="180"/>
        </w:pPr>
      </w:lvl>
    </w:lvlOverride>
    <w:lvlOverride w:ilvl="4">
      <w:startOverride w:val="1"/>
      <w:lvl w:ilvl="4" w:tplc="3BD272EC">
        <w:start w:val="1"/>
        <w:numFmt w:val="decimal"/>
        <w:lvlText w:val="%5."/>
        <w:lvlJc w:val="right"/>
        <w:pPr>
          <w:ind w:left="2500" w:hanging="180"/>
        </w:pPr>
      </w:lvl>
    </w:lvlOverride>
    <w:lvlOverride w:ilvl="5">
      <w:startOverride w:val="1"/>
      <w:lvl w:ilvl="5" w:tplc="453429D4">
        <w:start w:val="1"/>
        <w:numFmt w:val="decimal"/>
        <w:lvlText w:val="%6."/>
        <w:lvlJc w:val="right"/>
        <w:pPr>
          <w:ind w:left="3000" w:hanging="180"/>
        </w:pPr>
      </w:lvl>
    </w:lvlOverride>
    <w:lvlOverride w:ilvl="6">
      <w:startOverride w:val="1"/>
      <w:lvl w:ilvl="6" w:tplc="F21827CE">
        <w:start w:val="1"/>
        <w:numFmt w:val="decimal"/>
        <w:lvlText w:val="%7."/>
        <w:lvlJc w:val="right"/>
        <w:pPr>
          <w:ind w:left="3500" w:hanging="180"/>
        </w:pPr>
      </w:lvl>
    </w:lvlOverride>
    <w:lvlOverride w:ilvl="7">
      <w:startOverride w:val="1"/>
      <w:lvl w:ilvl="7" w:tplc="6472036E">
        <w:start w:val="1"/>
        <w:numFmt w:val="decimal"/>
        <w:lvlText w:val="%8."/>
        <w:lvlJc w:val="right"/>
        <w:pPr>
          <w:ind w:left="4000" w:hanging="180"/>
        </w:pPr>
      </w:lvl>
    </w:lvlOverride>
    <w:lvlOverride w:ilvl="8">
      <w:startOverride w:val="1"/>
      <w:lvl w:ilvl="8" w:tplc="DF3CA8D0">
        <w:start w:val="1"/>
        <w:numFmt w:val="decimal"/>
        <w:lvlText w:val="%9."/>
        <w:lvlJc w:val="right"/>
        <w:pPr>
          <w:ind w:left="4500" w:hanging="180"/>
        </w:pPr>
      </w:lvl>
    </w:lvlOverride>
  </w:num>
  <w:num w:numId="79" w16cid:durableId="1394430505">
    <w:abstractNumId w:val="30"/>
    <w:lvlOverride w:ilvl="0">
      <w:startOverride w:val="1"/>
      <w:lvl w:ilvl="0" w:tplc="630A068A">
        <w:start w:val="1"/>
        <w:numFmt w:val="bullet"/>
        <w:lvlText w:val=""/>
        <w:lvlJc w:val="right"/>
        <w:pPr>
          <w:ind w:left="500" w:hanging="180"/>
        </w:pPr>
        <w:rPr>
          <w:rFonts w:ascii="Symbol" w:hAnsi="Symbol" w:hint="default"/>
        </w:rPr>
      </w:lvl>
    </w:lvlOverride>
    <w:lvlOverride w:ilvl="1">
      <w:startOverride w:val="1"/>
      <w:lvl w:ilvl="1" w:tplc="1D186F04">
        <w:start w:val="1"/>
        <w:numFmt w:val="decimal"/>
        <w:lvlText w:val="%2."/>
        <w:lvlJc w:val="right"/>
        <w:pPr>
          <w:ind w:left="1000" w:hanging="180"/>
        </w:pPr>
      </w:lvl>
    </w:lvlOverride>
    <w:lvlOverride w:ilvl="2">
      <w:startOverride w:val="1"/>
      <w:lvl w:ilvl="2" w:tplc="626C3BA0">
        <w:start w:val="1"/>
        <w:numFmt w:val="decimal"/>
        <w:lvlText w:val="%3."/>
        <w:lvlJc w:val="right"/>
        <w:pPr>
          <w:ind w:left="1500" w:hanging="180"/>
        </w:pPr>
      </w:lvl>
    </w:lvlOverride>
    <w:lvlOverride w:ilvl="3">
      <w:startOverride w:val="1"/>
      <w:lvl w:ilvl="3" w:tplc="C5304F12">
        <w:start w:val="1"/>
        <w:numFmt w:val="decimal"/>
        <w:lvlText w:val="%4."/>
        <w:lvlJc w:val="right"/>
        <w:pPr>
          <w:ind w:left="2000" w:hanging="180"/>
        </w:pPr>
      </w:lvl>
    </w:lvlOverride>
    <w:lvlOverride w:ilvl="4">
      <w:startOverride w:val="1"/>
      <w:lvl w:ilvl="4" w:tplc="EC923658">
        <w:start w:val="1"/>
        <w:numFmt w:val="decimal"/>
        <w:lvlText w:val="%5."/>
        <w:lvlJc w:val="right"/>
        <w:pPr>
          <w:ind w:left="2500" w:hanging="180"/>
        </w:pPr>
      </w:lvl>
    </w:lvlOverride>
    <w:lvlOverride w:ilvl="5">
      <w:startOverride w:val="1"/>
      <w:lvl w:ilvl="5" w:tplc="2DF0A1B6">
        <w:start w:val="1"/>
        <w:numFmt w:val="decimal"/>
        <w:lvlText w:val="%6."/>
        <w:lvlJc w:val="right"/>
        <w:pPr>
          <w:ind w:left="3000" w:hanging="180"/>
        </w:pPr>
      </w:lvl>
    </w:lvlOverride>
    <w:lvlOverride w:ilvl="6">
      <w:startOverride w:val="1"/>
      <w:lvl w:ilvl="6" w:tplc="3D44D9B6">
        <w:start w:val="1"/>
        <w:numFmt w:val="decimal"/>
        <w:lvlText w:val="%7."/>
        <w:lvlJc w:val="right"/>
        <w:pPr>
          <w:ind w:left="3500" w:hanging="180"/>
        </w:pPr>
      </w:lvl>
    </w:lvlOverride>
    <w:lvlOverride w:ilvl="7">
      <w:startOverride w:val="1"/>
      <w:lvl w:ilvl="7" w:tplc="D9D8DC88">
        <w:start w:val="1"/>
        <w:numFmt w:val="decimal"/>
        <w:lvlText w:val="%8."/>
        <w:lvlJc w:val="right"/>
        <w:pPr>
          <w:ind w:left="4000" w:hanging="180"/>
        </w:pPr>
      </w:lvl>
    </w:lvlOverride>
    <w:lvlOverride w:ilvl="8">
      <w:startOverride w:val="1"/>
      <w:lvl w:ilvl="8" w:tplc="0F32701E">
        <w:start w:val="1"/>
        <w:numFmt w:val="decimal"/>
        <w:lvlText w:val="%9."/>
        <w:lvlJc w:val="right"/>
        <w:pPr>
          <w:ind w:left="4500" w:hanging="180"/>
        </w:pPr>
      </w:lvl>
    </w:lvlOverride>
  </w:num>
  <w:num w:numId="80" w16cid:durableId="584993671">
    <w:abstractNumId w:val="32"/>
    <w:lvlOverride w:ilvl="0">
      <w:startOverride w:val="1"/>
      <w:lvl w:ilvl="0" w:tplc="BD8C33E6">
        <w:start w:val="1"/>
        <w:numFmt w:val="bullet"/>
        <w:lvlText w:val=""/>
        <w:lvlJc w:val="right"/>
        <w:pPr>
          <w:ind w:left="500" w:hanging="180"/>
        </w:pPr>
        <w:rPr>
          <w:rFonts w:ascii="Symbol" w:hAnsi="Symbol" w:hint="default"/>
        </w:rPr>
      </w:lvl>
    </w:lvlOverride>
    <w:lvlOverride w:ilvl="1">
      <w:startOverride w:val="1"/>
      <w:lvl w:ilvl="1" w:tplc="68EA713C">
        <w:start w:val="1"/>
        <w:numFmt w:val="decimal"/>
        <w:lvlText w:val="%2."/>
        <w:lvlJc w:val="right"/>
        <w:pPr>
          <w:ind w:left="1000" w:hanging="180"/>
        </w:pPr>
      </w:lvl>
    </w:lvlOverride>
    <w:lvlOverride w:ilvl="2">
      <w:startOverride w:val="1"/>
      <w:lvl w:ilvl="2" w:tplc="A84AA472">
        <w:start w:val="1"/>
        <w:numFmt w:val="decimal"/>
        <w:lvlText w:val="%3."/>
        <w:lvlJc w:val="right"/>
        <w:pPr>
          <w:ind w:left="1500" w:hanging="180"/>
        </w:pPr>
      </w:lvl>
    </w:lvlOverride>
    <w:lvlOverride w:ilvl="3">
      <w:startOverride w:val="1"/>
      <w:lvl w:ilvl="3" w:tplc="22E4078E">
        <w:start w:val="1"/>
        <w:numFmt w:val="decimal"/>
        <w:lvlText w:val="%4."/>
        <w:lvlJc w:val="right"/>
        <w:pPr>
          <w:ind w:left="2000" w:hanging="180"/>
        </w:pPr>
      </w:lvl>
    </w:lvlOverride>
    <w:lvlOverride w:ilvl="4">
      <w:startOverride w:val="1"/>
      <w:lvl w:ilvl="4" w:tplc="3162F69C">
        <w:start w:val="1"/>
        <w:numFmt w:val="decimal"/>
        <w:lvlText w:val="%5."/>
        <w:lvlJc w:val="right"/>
        <w:pPr>
          <w:ind w:left="2500" w:hanging="180"/>
        </w:pPr>
      </w:lvl>
    </w:lvlOverride>
    <w:lvlOverride w:ilvl="5">
      <w:startOverride w:val="1"/>
      <w:lvl w:ilvl="5" w:tplc="7B12D070">
        <w:start w:val="1"/>
        <w:numFmt w:val="decimal"/>
        <w:lvlText w:val="%6."/>
        <w:lvlJc w:val="right"/>
        <w:pPr>
          <w:ind w:left="3000" w:hanging="180"/>
        </w:pPr>
      </w:lvl>
    </w:lvlOverride>
    <w:lvlOverride w:ilvl="6">
      <w:startOverride w:val="1"/>
      <w:lvl w:ilvl="6" w:tplc="09A0B77A">
        <w:start w:val="1"/>
        <w:numFmt w:val="decimal"/>
        <w:lvlText w:val="%7."/>
        <w:lvlJc w:val="right"/>
        <w:pPr>
          <w:ind w:left="3500" w:hanging="180"/>
        </w:pPr>
      </w:lvl>
    </w:lvlOverride>
    <w:lvlOverride w:ilvl="7">
      <w:startOverride w:val="1"/>
      <w:lvl w:ilvl="7" w:tplc="403ED9E4">
        <w:start w:val="1"/>
        <w:numFmt w:val="decimal"/>
        <w:lvlText w:val="%8."/>
        <w:lvlJc w:val="right"/>
        <w:pPr>
          <w:ind w:left="4000" w:hanging="180"/>
        </w:pPr>
      </w:lvl>
    </w:lvlOverride>
    <w:lvlOverride w:ilvl="8">
      <w:startOverride w:val="1"/>
      <w:lvl w:ilvl="8" w:tplc="97809014">
        <w:start w:val="1"/>
        <w:numFmt w:val="decimal"/>
        <w:lvlText w:val="%9."/>
        <w:lvlJc w:val="right"/>
        <w:pPr>
          <w:ind w:left="4500" w:hanging="180"/>
        </w:pPr>
      </w:lvl>
    </w:lvlOverride>
  </w:num>
  <w:num w:numId="81" w16cid:durableId="156115491">
    <w:abstractNumId w:val="45"/>
    <w:lvlOverride w:ilvl="0">
      <w:startOverride w:val="1"/>
      <w:lvl w:ilvl="0" w:tplc="B4EAF53C">
        <w:start w:val="1"/>
        <w:numFmt w:val="bullet"/>
        <w:lvlText w:val=""/>
        <w:lvlJc w:val="right"/>
        <w:pPr>
          <w:ind w:left="500" w:hanging="180"/>
        </w:pPr>
        <w:rPr>
          <w:rFonts w:ascii="Symbol" w:hAnsi="Symbol" w:hint="default"/>
        </w:rPr>
      </w:lvl>
    </w:lvlOverride>
    <w:lvlOverride w:ilvl="1">
      <w:startOverride w:val="1"/>
      <w:lvl w:ilvl="1" w:tplc="8C0EA0D6">
        <w:start w:val="1"/>
        <w:numFmt w:val="decimal"/>
        <w:lvlText w:val="%2."/>
        <w:lvlJc w:val="right"/>
        <w:pPr>
          <w:ind w:left="1000" w:hanging="180"/>
        </w:pPr>
      </w:lvl>
    </w:lvlOverride>
    <w:lvlOverride w:ilvl="2">
      <w:startOverride w:val="1"/>
      <w:lvl w:ilvl="2" w:tplc="B58AE68E">
        <w:start w:val="1"/>
        <w:numFmt w:val="decimal"/>
        <w:lvlText w:val="%3."/>
        <w:lvlJc w:val="right"/>
        <w:pPr>
          <w:ind w:left="1500" w:hanging="180"/>
        </w:pPr>
      </w:lvl>
    </w:lvlOverride>
    <w:lvlOverride w:ilvl="3">
      <w:startOverride w:val="1"/>
      <w:lvl w:ilvl="3" w:tplc="7E5E8442">
        <w:start w:val="1"/>
        <w:numFmt w:val="decimal"/>
        <w:lvlText w:val="%4."/>
        <w:lvlJc w:val="right"/>
        <w:pPr>
          <w:ind w:left="2000" w:hanging="180"/>
        </w:pPr>
      </w:lvl>
    </w:lvlOverride>
    <w:lvlOverride w:ilvl="4">
      <w:startOverride w:val="1"/>
      <w:lvl w:ilvl="4" w:tplc="70EC8BEA">
        <w:start w:val="1"/>
        <w:numFmt w:val="decimal"/>
        <w:lvlText w:val="%5."/>
        <w:lvlJc w:val="right"/>
        <w:pPr>
          <w:ind w:left="2500" w:hanging="180"/>
        </w:pPr>
      </w:lvl>
    </w:lvlOverride>
    <w:lvlOverride w:ilvl="5">
      <w:startOverride w:val="1"/>
      <w:lvl w:ilvl="5" w:tplc="2BA605A4">
        <w:start w:val="1"/>
        <w:numFmt w:val="decimal"/>
        <w:lvlText w:val="%6."/>
        <w:lvlJc w:val="right"/>
        <w:pPr>
          <w:ind w:left="3000" w:hanging="180"/>
        </w:pPr>
      </w:lvl>
    </w:lvlOverride>
    <w:lvlOverride w:ilvl="6">
      <w:startOverride w:val="1"/>
      <w:lvl w:ilvl="6" w:tplc="BB08C46A">
        <w:start w:val="1"/>
        <w:numFmt w:val="decimal"/>
        <w:lvlText w:val="%7."/>
        <w:lvlJc w:val="right"/>
        <w:pPr>
          <w:ind w:left="3500" w:hanging="180"/>
        </w:pPr>
      </w:lvl>
    </w:lvlOverride>
    <w:lvlOverride w:ilvl="7">
      <w:startOverride w:val="1"/>
      <w:lvl w:ilvl="7" w:tplc="95AED58C">
        <w:start w:val="1"/>
        <w:numFmt w:val="decimal"/>
        <w:lvlText w:val="%8."/>
        <w:lvlJc w:val="right"/>
        <w:pPr>
          <w:ind w:left="4000" w:hanging="180"/>
        </w:pPr>
      </w:lvl>
    </w:lvlOverride>
    <w:lvlOverride w:ilvl="8">
      <w:startOverride w:val="1"/>
      <w:lvl w:ilvl="8" w:tplc="0274613E">
        <w:start w:val="1"/>
        <w:numFmt w:val="decimal"/>
        <w:lvlText w:val="%9."/>
        <w:lvlJc w:val="right"/>
        <w:pPr>
          <w:ind w:left="4500" w:hanging="180"/>
        </w:pPr>
      </w:lvl>
    </w:lvlOverride>
  </w:num>
  <w:num w:numId="82" w16cid:durableId="130445862">
    <w:abstractNumId w:val="45"/>
    <w:lvlOverride w:ilvl="0">
      <w:startOverride w:val="1"/>
      <w:lvl w:ilvl="0" w:tplc="B4EAF53C">
        <w:start w:val="1"/>
        <w:numFmt w:val="bullet"/>
        <w:lvlText w:val=""/>
        <w:lvlJc w:val="right"/>
        <w:pPr>
          <w:ind w:left="500" w:hanging="180"/>
        </w:pPr>
        <w:rPr>
          <w:rFonts w:ascii="Symbol" w:hAnsi="Symbol" w:hint="default"/>
        </w:rPr>
      </w:lvl>
    </w:lvlOverride>
    <w:lvlOverride w:ilvl="1">
      <w:startOverride w:val="1"/>
      <w:lvl w:ilvl="1" w:tplc="8C0EA0D6">
        <w:start w:val="1"/>
        <w:numFmt w:val="decimal"/>
        <w:lvlText w:val="%2."/>
        <w:lvlJc w:val="right"/>
        <w:pPr>
          <w:ind w:left="1000" w:hanging="180"/>
        </w:pPr>
      </w:lvl>
    </w:lvlOverride>
    <w:lvlOverride w:ilvl="2">
      <w:startOverride w:val="1"/>
      <w:lvl w:ilvl="2" w:tplc="B58AE68E">
        <w:start w:val="1"/>
        <w:numFmt w:val="decimal"/>
        <w:lvlText w:val="%3."/>
        <w:lvlJc w:val="right"/>
        <w:pPr>
          <w:ind w:left="1500" w:hanging="180"/>
        </w:pPr>
      </w:lvl>
    </w:lvlOverride>
    <w:lvlOverride w:ilvl="3">
      <w:startOverride w:val="1"/>
      <w:lvl w:ilvl="3" w:tplc="7E5E8442">
        <w:start w:val="1"/>
        <w:numFmt w:val="decimal"/>
        <w:lvlText w:val="%4."/>
        <w:lvlJc w:val="right"/>
        <w:pPr>
          <w:ind w:left="2000" w:hanging="180"/>
        </w:pPr>
      </w:lvl>
    </w:lvlOverride>
    <w:lvlOverride w:ilvl="4">
      <w:startOverride w:val="1"/>
      <w:lvl w:ilvl="4" w:tplc="70EC8BEA">
        <w:start w:val="1"/>
        <w:numFmt w:val="decimal"/>
        <w:lvlText w:val="%5."/>
        <w:lvlJc w:val="right"/>
        <w:pPr>
          <w:ind w:left="2500" w:hanging="180"/>
        </w:pPr>
      </w:lvl>
    </w:lvlOverride>
    <w:lvlOverride w:ilvl="5">
      <w:startOverride w:val="1"/>
      <w:lvl w:ilvl="5" w:tplc="2BA605A4">
        <w:start w:val="1"/>
        <w:numFmt w:val="decimal"/>
        <w:lvlText w:val="%6."/>
        <w:lvlJc w:val="right"/>
        <w:pPr>
          <w:ind w:left="3000" w:hanging="180"/>
        </w:pPr>
      </w:lvl>
    </w:lvlOverride>
    <w:lvlOverride w:ilvl="6">
      <w:startOverride w:val="1"/>
      <w:lvl w:ilvl="6" w:tplc="BB08C46A">
        <w:start w:val="1"/>
        <w:numFmt w:val="decimal"/>
        <w:lvlText w:val="%7."/>
        <w:lvlJc w:val="right"/>
        <w:pPr>
          <w:ind w:left="3500" w:hanging="180"/>
        </w:pPr>
      </w:lvl>
    </w:lvlOverride>
    <w:lvlOverride w:ilvl="7">
      <w:startOverride w:val="1"/>
      <w:lvl w:ilvl="7" w:tplc="95AED58C">
        <w:start w:val="1"/>
        <w:numFmt w:val="decimal"/>
        <w:lvlText w:val="%8."/>
        <w:lvlJc w:val="right"/>
        <w:pPr>
          <w:ind w:left="4000" w:hanging="180"/>
        </w:pPr>
      </w:lvl>
    </w:lvlOverride>
    <w:lvlOverride w:ilvl="8">
      <w:startOverride w:val="1"/>
      <w:lvl w:ilvl="8" w:tplc="0274613E">
        <w:start w:val="1"/>
        <w:numFmt w:val="decimal"/>
        <w:lvlText w:val="%9."/>
        <w:lvlJc w:val="right"/>
        <w:pPr>
          <w:ind w:left="4500" w:hanging="180"/>
        </w:pPr>
      </w:lvl>
    </w:lvlOverride>
  </w:num>
  <w:num w:numId="83" w16cid:durableId="1194074894">
    <w:abstractNumId w:val="45"/>
    <w:lvlOverride w:ilvl="0">
      <w:startOverride w:val="1"/>
      <w:lvl w:ilvl="0" w:tplc="B4EAF53C">
        <w:start w:val="1"/>
        <w:numFmt w:val="bullet"/>
        <w:lvlText w:val=""/>
        <w:lvlJc w:val="right"/>
        <w:pPr>
          <w:ind w:left="500" w:hanging="180"/>
        </w:pPr>
        <w:rPr>
          <w:rFonts w:ascii="Symbol" w:hAnsi="Symbol" w:hint="default"/>
        </w:rPr>
      </w:lvl>
    </w:lvlOverride>
    <w:lvlOverride w:ilvl="1">
      <w:startOverride w:val="1"/>
      <w:lvl w:ilvl="1" w:tplc="8C0EA0D6">
        <w:start w:val="1"/>
        <w:numFmt w:val="decimal"/>
        <w:lvlText w:val="%2."/>
        <w:lvlJc w:val="right"/>
        <w:pPr>
          <w:ind w:left="1000" w:hanging="180"/>
        </w:pPr>
      </w:lvl>
    </w:lvlOverride>
    <w:lvlOverride w:ilvl="2">
      <w:startOverride w:val="1"/>
      <w:lvl w:ilvl="2" w:tplc="B58AE68E">
        <w:start w:val="1"/>
        <w:numFmt w:val="decimal"/>
        <w:lvlText w:val="%3."/>
        <w:lvlJc w:val="right"/>
        <w:pPr>
          <w:ind w:left="1500" w:hanging="180"/>
        </w:pPr>
      </w:lvl>
    </w:lvlOverride>
    <w:lvlOverride w:ilvl="3">
      <w:startOverride w:val="1"/>
      <w:lvl w:ilvl="3" w:tplc="7E5E8442">
        <w:start w:val="1"/>
        <w:numFmt w:val="decimal"/>
        <w:lvlText w:val="%4."/>
        <w:lvlJc w:val="right"/>
        <w:pPr>
          <w:ind w:left="2000" w:hanging="180"/>
        </w:pPr>
      </w:lvl>
    </w:lvlOverride>
    <w:lvlOverride w:ilvl="4">
      <w:startOverride w:val="1"/>
      <w:lvl w:ilvl="4" w:tplc="70EC8BEA">
        <w:start w:val="1"/>
        <w:numFmt w:val="decimal"/>
        <w:lvlText w:val="%5."/>
        <w:lvlJc w:val="right"/>
        <w:pPr>
          <w:ind w:left="2500" w:hanging="180"/>
        </w:pPr>
      </w:lvl>
    </w:lvlOverride>
    <w:lvlOverride w:ilvl="5">
      <w:startOverride w:val="1"/>
      <w:lvl w:ilvl="5" w:tplc="2BA605A4">
        <w:start w:val="1"/>
        <w:numFmt w:val="decimal"/>
        <w:lvlText w:val="%6."/>
        <w:lvlJc w:val="right"/>
        <w:pPr>
          <w:ind w:left="3000" w:hanging="180"/>
        </w:pPr>
      </w:lvl>
    </w:lvlOverride>
    <w:lvlOverride w:ilvl="6">
      <w:startOverride w:val="1"/>
      <w:lvl w:ilvl="6" w:tplc="BB08C46A">
        <w:start w:val="1"/>
        <w:numFmt w:val="decimal"/>
        <w:lvlText w:val="%7."/>
        <w:lvlJc w:val="right"/>
        <w:pPr>
          <w:ind w:left="3500" w:hanging="180"/>
        </w:pPr>
      </w:lvl>
    </w:lvlOverride>
    <w:lvlOverride w:ilvl="7">
      <w:startOverride w:val="1"/>
      <w:lvl w:ilvl="7" w:tplc="95AED58C">
        <w:start w:val="1"/>
        <w:numFmt w:val="decimal"/>
        <w:lvlText w:val="%8."/>
        <w:lvlJc w:val="right"/>
        <w:pPr>
          <w:ind w:left="4000" w:hanging="180"/>
        </w:pPr>
      </w:lvl>
    </w:lvlOverride>
    <w:lvlOverride w:ilvl="8">
      <w:startOverride w:val="1"/>
      <w:lvl w:ilvl="8" w:tplc="0274613E">
        <w:start w:val="1"/>
        <w:numFmt w:val="decimal"/>
        <w:lvlText w:val="%9."/>
        <w:lvlJc w:val="right"/>
        <w:pPr>
          <w:ind w:left="4500" w:hanging="180"/>
        </w:pPr>
      </w:lvl>
    </w:lvlOverride>
  </w:num>
  <w:num w:numId="84" w16cid:durableId="2092582076">
    <w:abstractNumId w:val="45"/>
    <w:lvlOverride w:ilvl="0">
      <w:startOverride w:val="1"/>
      <w:lvl w:ilvl="0" w:tplc="B4EAF53C">
        <w:start w:val="1"/>
        <w:numFmt w:val="bullet"/>
        <w:lvlText w:val=""/>
        <w:lvlJc w:val="right"/>
        <w:pPr>
          <w:ind w:left="500" w:hanging="180"/>
        </w:pPr>
        <w:rPr>
          <w:rFonts w:ascii="Symbol" w:hAnsi="Symbol" w:hint="default"/>
        </w:rPr>
      </w:lvl>
    </w:lvlOverride>
    <w:lvlOverride w:ilvl="1">
      <w:startOverride w:val="1"/>
      <w:lvl w:ilvl="1" w:tplc="8C0EA0D6">
        <w:start w:val="1"/>
        <w:numFmt w:val="decimal"/>
        <w:lvlText w:val="%2."/>
        <w:lvlJc w:val="right"/>
        <w:pPr>
          <w:ind w:left="1000" w:hanging="180"/>
        </w:pPr>
      </w:lvl>
    </w:lvlOverride>
    <w:lvlOverride w:ilvl="2">
      <w:startOverride w:val="1"/>
      <w:lvl w:ilvl="2" w:tplc="B58AE68E">
        <w:start w:val="1"/>
        <w:numFmt w:val="decimal"/>
        <w:lvlText w:val="%3."/>
        <w:lvlJc w:val="right"/>
        <w:pPr>
          <w:ind w:left="1500" w:hanging="180"/>
        </w:pPr>
      </w:lvl>
    </w:lvlOverride>
    <w:lvlOverride w:ilvl="3">
      <w:startOverride w:val="1"/>
      <w:lvl w:ilvl="3" w:tplc="7E5E8442">
        <w:start w:val="1"/>
        <w:numFmt w:val="decimal"/>
        <w:lvlText w:val="%4."/>
        <w:lvlJc w:val="right"/>
        <w:pPr>
          <w:ind w:left="2000" w:hanging="180"/>
        </w:pPr>
      </w:lvl>
    </w:lvlOverride>
    <w:lvlOverride w:ilvl="4">
      <w:startOverride w:val="1"/>
      <w:lvl w:ilvl="4" w:tplc="70EC8BEA">
        <w:start w:val="1"/>
        <w:numFmt w:val="decimal"/>
        <w:lvlText w:val="%5."/>
        <w:lvlJc w:val="right"/>
        <w:pPr>
          <w:ind w:left="2500" w:hanging="180"/>
        </w:pPr>
      </w:lvl>
    </w:lvlOverride>
    <w:lvlOverride w:ilvl="5">
      <w:startOverride w:val="1"/>
      <w:lvl w:ilvl="5" w:tplc="2BA605A4">
        <w:start w:val="1"/>
        <w:numFmt w:val="decimal"/>
        <w:lvlText w:val="%6."/>
        <w:lvlJc w:val="right"/>
        <w:pPr>
          <w:ind w:left="3000" w:hanging="180"/>
        </w:pPr>
      </w:lvl>
    </w:lvlOverride>
    <w:lvlOverride w:ilvl="6">
      <w:startOverride w:val="1"/>
      <w:lvl w:ilvl="6" w:tplc="BB08C46A">
        <w:start w:val="1"/>
        <w:numFmt w:val="decimal"/>
        <w:lvlText w:val="%7."/>
        <w:lvlJc w:val="right"/>
        <w:pPr>
          <w:ind w:left="3500" w:hanging="180"/>
        </w:pPr>
      </w:lvl>
    </w:lvlOverride>
    <w:lvlOverride w:ilvl="7">
      <w:startOverride w:val="1"/>
      <w:lvl w:ilvl="7" w:tplc="95AED58C">
        <w:start w:val="1"/>
        <w:numFmt w:val="decimal"/>
        <w:lvlText w:val="%8."/>
        <w:lvlJc w:val="right"/>
        <w:pPr>
          <w:ind w:left="4000" w:hanging="180"/>
        </w:pPr>
      </w:lvl>
    </w:lvlOverride>
    <w:lvlOverride w:ilvl="8">
      <w:startOverride w:val="1"/>
      <w:lvl w:ilvl="8" w:tplc="0274613E">
        <w:start w:val="1"/>
        <w:numFmt w:val="decimal"/>
        <w:lvlText w:val="%9."/>
        <w:lvlJc w:val="right"/>
        <w:pPr>
          <w:ind w:left="4500" w:hanging="180"/>
        </w:pPr>
      </w:lvl>
    </w:lvlOverride>
  </w:num>
  <w:num w:numId="85" w16cid:durableId="260996687">
    <w:abstractNumId w:val="3"/>
    <w:lvlOverride w:ilvl="0">
      <w:startOverride w:val="1"/>
      <w:lvl w:ilvl="0" w:tplc="AF2225CE">
        <w:start w:val="1"/>
        <w:numFmt w:val="bullet"/>
        <w:lvlText w:val=""/>
        <w:lvlJc w:val="right"/>
        <w:pPr>
          <w:ind w:left="500" w:hanging="180"/>
        </w:pPr>
        <w:rPr>
          <w:rFonts w:ascii="Symbol" w:hAnsi="Symbol" w:hint="default"/>
        </w:rPr>
      </w:lvl>
    </w:lvlOverride>
    <w:lvlOverride w:ilvl="1">
      <w:startOverride w:val="1"/>
      <w:lvl w:ilvl="1" w:tplc="D0EA4F68">
        <w:start w:val="1"/>
        <w:numFmt w:val="decimal"/>
        <w:lvlText w:val="%2."/>
        <w:lvlJc w:val="right"/>
        <w:pPr>
          <w:ind w:left="1000" w:hanging="180"/>
        </w:pPr>
      </w:lvl>
    </w:lvlOverride>
    <w:lvlOverride w:ilvl="2">
      <w:startOverride w:val="1"/>
      <w:lvl w:ilvl="2" w:tplc="CDDE46FE">
        <w:start w:val="1"/>
        <w:numFmt w:val="decimal"/>
        <w:lvlText w:val="%3."/>
        <w:lvlJc w:val="right"/>
        <w:pPr>
          <w:ind w:left="1500" w:hanging="180"/>
        </w:pPr>
      </w:lvl>
    </w:lvlOverride>
    <w:lvlOverride w:ilvl="3">
      <w:startOverride w:val="1"/>
      <w:lvl w:ilvl="3" w:tplc="0EB6DD0E">
        <w:start w:val="1"/>
        <w:numFmt w:val="decimal"/>
        <w:lvlText w:val="%4."/>
        <w:lvlJc w:val="right"/>
        <w:pPr>
          <w:ind w:left="2000" w:hanging="180"/>
        </w:pPr>
      </w:lvl>
    </w:lvlOverride>
    <w:lvlOverride w:ilvl="4">
      <w:startOverride w:val="1"/>
      <w:lvl w:ilvl="4" w:tplc="F7BA592E">
        <w:start w:val="1"/>
        <w:numFmt w:val="decimal"/>
        <w:lvlText w:val="%5."/>
        <w:lvlJc w:val="right"/>
        <w:pPr>
          <w:ind w:left="2500" w:hanging="180"/>
        </w:pPr>
      </w:lvl>
    </w:lvlOverride>
    <w:lvlOverride w:ilvl="5">
      <w:startOverride w:val="1"/>
      <w:lvl w:ilvl="5" w:tplc="C3DA375E">
        <w:start w:val="1"/>
        <w:numFmt w:val="decimal"/>
        <w:lvlText w:val="%6."/>
        <w:lvlJc w:val="right"/>
        <w:pPr>
          <w:ind w:left="3000" w:hanging="180"/>
        </w:pPr>
      </w:lvl>
    </w:lvlOverride>
    <w:lvlOverride w:ilvl="6">
      <w:startOverride w:val="1"/>
      <w:lvl w:ilvl="6" w:tplc="91DE741C">
        <w:start w:val="1"/>
        <w:numFmt w:val="decimal"/>
        <w:lvlText w:val="%7."/>
        <w:lvlJc w:val="right"/>
        <w:pPr>
          <w:ind w:left="3500" w:hanging="180"/>
        </w:pPr>
      </w:lvl>
    </w:lvlOverride>
    <w:lvlOverride w:ilvl="7">
      <w:startOverride w:val="1"/>
      <w:lvl w:ilvl="7" w:tplc="F8BA9A98">
        <w:start w:val="1"/>
        <w:numFmt w:val="decimal"/>
        <w:lvlText w:val="%8."/>
        <w:lvlJc w:val="right"/>
        <w:pPr>
          <w:ind w:left="4000" w:hanging="180"/>
        </w:pPr>
      </w:lvl>
    </w:lvlOverride>
    <w:lvlOverride w:ilvl="8">
      <w:startOverride w:val="1"/>
      <w:lvl w:ilvl="8" w:tplc="4734007A">
        <w:start w:val="1"/>
        <w:numFmt w:val="decimal"/>
        <w:lvlText w:val="%9."/>
        <w:lvlJc w:val="right"/>
        <w:pPr>
          <w:ind w:left="4500" w:hanging="180"/>
        </w:pPr>
      </w:lvl>
    </w:lvlOverride>
  </w:num>
  <w:num w:numId="86" w16cid:durableId="1488083922">
    <w:abstractNumId w:val="38"/>
    <w:lvlOverride w:ilvl="0">
      <w:startOverride w:val="1"/>
      <w:lvl w:ilvl="0" w:tplc="4C28F626">
        <w:start w:val="1"/>
        <w:numFmt w:val="bullet"/>
        <w:lvlText w:val=""/>
        <w:lvlJc w:val="right"/>
        <w:pPr>
          <w:ind w:left="500" w:hanging="180"/>
        </w:pPr>
        <w:rPr>
          <w:rFonts w:ascii="Symbol" w:hAnsi="Symbol" w:hint="default"/>
        </w:rPr>
      </w:lvl>
    </w:lvlOverride>
    <w:lvlOverride w:ilvl="1">
      <w:startOverride w:val="1"/>
      <w:lvl w:ilvl="1" w:tplc="B330E570">
        <w:start w:val="1"/>
        <w:numFmt w:val="decimal"/>
        <w:lvlText w:val="%2."/>
        <w:lvlJc w:val="right"/>
        <w:pPr>
          <w:ind w:left="1000" w:hanging="180"/>
        </w:pPr>
      </w:lvl>
    </w:lvlOverride>
    <w:lvlOverride w:ilvl="2">
      <w:startOverride w:val="1"/>
      <w:lvl w:ilvl="2" w:tplc="A03E0CD4">
        <w:start w:val="1"/>
        <w:numFmt w:val="decimal"/>
        <w:lvlText w:val="%3."/>
        <w:lvlJc w:val="right"/>
        <w:pPr>
          <w:ind w:left="1500" w:hanging="180"/>
        </w:pPr>
      </w:lvl>
    </w:lvlOverride>
    <w:lvlOverride w:ilvl="3">
      <w:startOverride w:val="1"/>
      <w:lvl w:ilvl="3" w:tplc="5D0AA0D4">
        <w:start w:val="1"/>
        <w:numFmt w:val="decimal"/>
        <w:lvlText w:val="%4."/>
        <w:lvlJc w:val="right"/>
        <w:pPr>
          <w:ind w:left="2000" w:hanging="180"/>
        </w:pPr>
      </w:lvl>
    </w:lvlOverride>
    <w:lvlOverride w:ilvl="4">
      <w:startOverride w:val="1"/>
      <w:lvl w:ilvl="4" w:tplc="74987632">
        <w:start w:val="1"/>
        <w:numFmt w:val="decimal"/>
        <w:lvlText w:val="%5."/>
        <w:lvlJc w:val="right"/>
        <w:pPr>
          <w:ind w:left="2500" w:hanging="180"/>
        </w:pPr>
      </w:lvl>
    </w:lvlOverride>
    <w:lvlOverride w:ilvl="5">
      <w:startOverride w:val="1"/>
      <w:lvl w:ilvl="5" w:tplc="F278A0D6">
        <w:start w:val="1"/>
        <w:numFmt w:val="decimal"/>
        <w:lvlText w:val="%6."/>
        <w:lvlJc w:val="right"/>
        <w:pPr>
          <w:ind w:left="3000" w:hanging="180"/>
        </w:pPr>
      </w:lvl>
    </w:lvlOverride>
    <w:lvlOverride w:ilvl="6">
      <w:startOverride w:val="1"/>
      <w:lvl w:ilvl="6" w:tplc="A802D81E">
        <w:start w:val="1"/>
        <w:numFmt w:val="decimal"/>
        <w:lvlText w:val="%7."/>
        <w:lvlJc w:val="right"/>
        <w:pPr>
          <w:ind w:left="3500" w:hanging="180"/>
        </w:pPr>
      </w:lvl>
    </w:lvlOverride>
    <w:lvlOverride w:ilvl="7">
      <w:startOverride w:val="1"/>
      <w:lvl w:ilvl="7" w:tplc="7B9A41C4">
        <w:start w:val="1"/>
        <w:numFmt w:val="decimal"/>
        <w:lvlText w:val="%8."/>
        <w:lvlJc w:val="right"/>
        <w:pPr>
          <w:ind w:left="4000" w:hanging="180"/>
        </w:pPr>
      </w:lvl>
    </w:lvlOverride>
    <w:lvlOverride w:ilvl="8">
      <w:startOverride w:val="1"/>
      <w:lvl w:ilvl="8" w:tplc="914ED958">
        <w:start w:val="1"/>
        <w:numFmt w:val="decimal"/>
        <w:lvlText w:val="%9."/>
        <w:lvlJc w:val="right"/>
        <w:pPr>
          <w:ind w:left="4500" w:hanging="180"/>
        </w:pPr>
      </w:lvl>
    </w:lvlOverride>
  </w:num>
  <w:num w:numId="87" w16cid:durableId="483400977">
    <w:abstractNumId w:val="12"/>
    <w:lvlOverride w:ilvl="0">
      <w:startOverride w:val="1"/>
      <w:lvl w:ilvl="0" w:tplc="E8328B18">
        <w:start w:val="1"/>
        <w:numFmt w:val="bullet"/>
        <w:lvlText w:val=""/>
        <w:lvlJc w:val="right"/>
        <w:pPr>
          <w:ind w:left="500" w:hanging="180"/>
        </w:pPr>
        <w:rPr>
          <w:rFonts w:ascii="Symbol" w:hAnsi="Symbol" w:hint="default"/>
        </w:rPr>
      </w:lvl>
    </w:lvlOverride>
    <w:lvlOverride w:ilvl="1">
      <w:startOverride w:val="1"/>
      <w:lvl w:ilvl="1" w:tplc="9B00D052">
        <w:start w:val="1"/>
        <w:numFmt w:val="decimal"/>
        <w:lvlText w:val="%2."/>
        <w:lvlJc w:val="right"/>
        <w:pPr>
          <w:ind w:left="1000" w:hanging="180"/>
        </w:pPr>
      </w:lvl>
    </w:lvlOverride>
    <w:lvlOverride w:ilvl="2">
      <w:startOverride w:val="1"/>
      <w:lvl w:ilvl="2" w:tplc="617076E4">
        <w:start w:val="1"/>
        <w:numFmt w:val="decimal"/>
        <w:lvlText w:val="%3."/>
        <w:lvlJc w:val="right"/>
        <w:pPr>
          <w:ind w:left="1500" w:hanging="180"/>
        </w:pPr>
      </w:lvl>
    </w:lvlOverride>
    <w:lvlOverride w:ilvl="3">
      <w:startOverride w:val="1"/>
      <w:lvl w:ilvl="3" w:tplc="A60C8B0A">
        <w:start w:val="1"/>
        <w:numFmt w:val="decimal"/>
        <w:lvlText w:val="%4."/>
        <w:lvlJc w:val="right"/>
        <w:pPr>
          <w:ind w:left="2000" w:hanging="180"/>
        </w:pPr>
      </w:lvl>
    </w:lvlOverride>
    <w:lvlOverride w:ilvl="4">
      <w:startOverride w:val="1"/>
      <w:lvl w:ilvl="4" w:tplc="65481B58">
        <w:start w:val="1"/>
        <w:numFmt w:val="decimal"/>
        <w:lvlText w:val="%5."/>
        <w:lvlJc w:val="right"/>
        <w:pPr>
          <w:ind w:left="2500" w:hanging="180"/>
        </w:pPr>
      </w:lvl>
    </w:lvlOverride>
    <w:lvlOverride w:ilvl="5">
      <w:startOverride w:val="1"/>
      <w:lvl w:ilvl="5" w:tplc="531A7DC2">
        <w:start w:val="1"/>
        <w:numFmt w:val="decimal"/>
        <w:lvlText w:val="%6."/>
        <w:lvlJc w:val="right"/>
        <w:pPr>
          <w:ind w:left="3000" w:hanging="180"/>
        </w:pPr>
      </w:lvl>
    </w:lvlOverride>
    <w:lvlOverride w:ilvl="6">
      <w:startOverride w:val="1"/>
      <w:lvl w:ilvl="6" w:tplc="EF508EC2">
        <w:start w:val="1"/>
        <w:numFmt w:val="decimal"/>
        <w:lvlText w:val="%7."/>
        <w:lvlJc w:val="right"/>
        <w:pPr>
          <w:ind w:left="3500" w:hanging="180"/>
        </w:pPr>
      </w:lvl>
    </w:lvlOverride>
    <w:lvlOverride w:ilvl="7">
      <w:startOverride w:val="1"/>
      <w:lvl w:ilvl="7" w:tplc="1634338A">
        <w:start w:val="1"/>
        <w:numFmt w:val="decimal"/>
        <w:lvlText w:val="%8."/>
        <w:lvlJc w:val="right"/>
        <w:pPr>
          <w:ind w:left="4000" w:hanging="180"/>
        </w:pPr>
      </w:lvl>
    </w:lvlOverride>
    <w:lvlOverride w:ilvl="8">
      <w:startOverride w:val="1"/>
      <w:lvl w:ilvl="8" w:tplc="ABFC7786">
        <w:start w:val="1"/>
        <w:numFmt w:val="decimal"/>
        <w:lvlText w:val="%9."/>
        <w:lvlJc w:val="right"/>
        <w:pPr>
          <w:ind w:left="4500" w:hanging="180"/>
        </w:pPr>
      </w:lvl>
    </w:lvlOverride>
  </w:num>
  <w:num w:numId="88" w16cid:durableId="706950274">
    <w:abstractNumId w:val="12"/>
    <w:lvlOverride w:ilvl="0">
      <w:startOverride w:val="1"/>
      <w:lvl w:ilvl="0" w:tplc="E8328B18">
        <w:start w:val="1"/>
        <w:numFmt w:val="bullet"/>
        <w:lvlText w:val=""/>
        <w:lvlJc w:val="right"/>
        <w:pPr>
          <w:ind w:left="500" w:hanging="180"/>
        </w:pPr>
        <w:rPr>
          <w:rFonts w:ascii="Symbol" w:hAnsi="Symbol" w:hint="default"/>
        </w:rPr>
      </w:lvl>
    </w:lvlOverride>
    <w:lvlOverride w:ilvl="1">
      <w:startOverride w:val="1"/>
      <w:lvl w:ilvl="1" w:tplc="9B00D052">
        <w:start w:val="1"/>
        <w:numFmt w:val="decimal"/>
        <w:lvlText w:val="%2."/>
        <w:lvlJc w:val="right"/>
        <w:pPr>
          <w:ind w:left="1000" w:hanging="180"/>
        </w:pPr>
      </w:lvl>
    </w:lvlOverride>
    <w:lvlOverride w:ilvl="2">
      <w:startOverride w:val="1"/>
      <w:lvl w:ilvl="2" w:tplc="617076E4">
        <w:start w:val="1"/>
        <w:numFmt w:val="decimal"/>
        <w:lvlText w:val="%3."/>
        <w:lvlJc w:val="right"/>
        <w:pPr>
          <w:ind w:left="1500" w:hanging="180"/>
        </w:pPr>
      </w:lvl>
    </w:lvlOverride>
    <w:lvlOverride w:ilvl="3">
      <w:startOverride w:val="1"/>
      <w:lvl w:ilvl="3" w:tplc="A60C8B0A">
        <w:start w:val="1"/>
        <w:numFmt w:val="decimal"/>
        <w:lvlText w:val="%4."/>
        <w:lvlJc w:val="right"/>
        <w:pPr>
          <w:ind w:left="2000" w:hanging="180"/>
        </w:pPr>
      </w:lvl>
    </w:lvlOverride>
    <w:lvlOverride w:ilvl="4">
      <w:startOverride w:val="1"/>
      <w:lvl w:ilvl="4" w:tplc="65481B58">
        <w:start w:val="1"/>
        <w:numFmt w:val="decimal"/>
        <w:lvlText w:val="%5."/>
        <w:lvlJc w:val="right"/>
        <w:pPr>
          <w:ind w:left="2500" w:hanging="180"/>
        </w:pPr>
      </w:lvl>
    </w:lvlOverride>
    <w:lvlOverride w:ilvl="5">
      <w:startOverride w:val="1"/>
      <w:lvl w:ilvl="5" w:tplc="531A7DC2">
        <w:start w:val="1"/>
        <w:numFmt w:val="decimal"/>
        <w:lvlText w:val="%6."/>
        <w:lvlJc w:val="right"/>
        <w:pPr>
          <w:ind w:left="3000" w:hanging="180"/>
        </w:pPr>
      </w:lvl>
    </w:lvlOverride>
    <w:lvlOverride w:ilvl="6">
      <w:startOverride w:val="1"/>
      <w:lvl w:ilvl="6" w:tplc="EF508EC2">
        <w:start w:val="1"/>
        <w:numFmt w:val="decimal"/>
        <w:lvlText w:val="%7."/>
        <w:lvlJc w:val="right"/>
        <w:pPr>
          <w:ind w:left="3500" w:hanging="180"/>
        </w:pPr>
      </w:lvl>
    </w:lvlOverride>
    <w:lvlOverride w:ilvl="7">
      <w:startOverride w:val="1"/>
      <w:lvl w:ilvl="7" w:tplc="1634338A">
        <w:start w:val="1"/>
        <w:numFmt w:val="decimal"/>
        <w:lvlText w:val="%8."/>
        <w:lvlJc w:val="right"/>
        <w:pPr>
          <w:ind w:left="4000" w:hanging="180"/>
        </w:pPr>
      </w:lvl>
    </w:lvlOverride>
    <w:lvlOverride w:ilvl="8">
      <w:startOverride w:val="1"/>
      <w:lvl w:ilvl="8" w:tplc="ABFC7786">
        <w:start w:val="1"/>
        <w:numFmt w:val="decimal"/>
        <w:lvlText w:val="%9."/>
        <w:lvlJc w:val="right"/>
        <w:pPr>
          <w:ind w:left="4500" w:hanging="180"/>
        </w:pPr>
      </w:lvl>
    </w:lvlOverride>
  </w:num>
  <w:num w:numId="89" w16cid:durableId="845170326">
    <w:abstractNumId w:val="12"/>
    <w:lvlOverride w:ilvl="0">
      <w:startOverride w:val="1"/>
      <w:lvl w:ilvl="0" w:tplc="E8328B18">
        <w:start w:val="1"/>
        <w:numFmt w:val="bullet"/>
        <w:lvlText w:val=""/>
        <w:lvlJc w:val="right"/>
        <w:pPr>
          <w:ind w:left="500" w:hanging="180"/>
        </w:pPr>
        <w:rPr>
          <w:rFonts w:ascii="Symbol" w:hAnsi="Symbol" w:hint="default"/>
        </w:rPr>
      </w:lvl>
    </w:lvlOverride>
    <w:lvlOverride w:ilvl="1">
      <w:startOverride w:val="1"/>
      <w:lvl w:ilvl="1" w:tplc="9B00D052">
        <w:start w:val="1"/>
        <w:numFmt w:val="decimal"/>
        <w:lvlText w:val="%2."/>
        <w:lvlJc w:val="right"/>
        <w:pPr>
          <w:ind w:left="1000" w:hanging="180"/>
        </w:pPr>
      </w:lvl>
    </w:lvlOverride>
    <w:lvlOverride w:ilvl="2">
      <w:startOverride w:val="1"/>
      <w:lvl w:ilvl="2" w:tplc="617076E4">
        <w:start w:val="1"/>
        <w:numFmt w:val="decimal"/>
        <w:lvlText w:val="%3."/>
        <w:lvlJc w:val="right"/>
        <w:pPr>
          <w:ind w:left="1500" w:hanging="180"/>
        </w:pPr>
      </w:lvl>
    </w:lvlOverride>
    <w:lvlOverride w:ilvl="3">
      <w:startOverride w:val="1"/>
      <w:lvl w:ilvl="3" w:tplc="A60C8B0A">
        <w:start w:val="1"/>
        <w:numFmt w:val="decimal"/>
        <w:lvlText w:val="%4."/>
        <w:lvlJc w:val="right"/>
        <w:pPr>
          <w:ind w:left="2000" w:hanging="180"/>
        </w:pPr>
      </w:lvl>
    </w:lvlOverride>
    <w:lvlOverride w:ilvl="4">
      <w:startOverride w:val="1"/>
      <w:lvl w:ilvl="4" w:tplc="65481B58">
        <w:start w:val="1"/>
        <w:numFmt w:val="decimal"/>
        <w:lvlText w:val="%5."/>
        <w:lvlJc w:val="right"/>
        <w:pPr>
          <w:ind w:left="2500" w:hanging="180"/>
        </w:pPr>
      </w:lvl>
    </w:lvlOverride>
    <w:lvlOverride w:ilvl="5">
      <w:startOverride w:val="1"/>
      <w:lvl w:ilvl="5" w:tplc="531A7DC2">
        <w:start w:val="1"/>
        <w:numFmt w:val="decimal"/>
        <w:lvlText w:val="%6."/>
        <w:lvlJc w:val="right"/>
        <w:pPr>
          <w:ind w:left="3000" w:hanging="180"/>
        </w:pPr>
      </w:lvl>
    </w:lvlOverride>
    <w:lvlOverride w:ilvl="6">
      <w:startOverride w:val="1"/>
      <w:lvl w:ilvl="6" w:tplc="EF508EC2">
        <w:start w:val="1"/>
        <w:numFmt w:val="decimal"/>
        <w:lvlText w:val="%7."/>
        <w:lvlJc w:val="right"/>
        <w:pPr>
          <w:ind w:left="3500" w:hanging="180"/>
        </w:pPr>
      </w:lvl>
    </w:lvlOverride>
    <w:lvlOverride w:ilvl="7">
      <w:startOverride w:val="1"/>
      <w:lvl w:ilvl="7" w:tplc="1634338A">
        <w:start w:val="1"/>
        <w:numFmt w:val="decimal"/>
        <w:lvlText w:val="%8."/>
        <w:lvlJc w:val="right"/>
        <w:pPr>
          <w:ind w:left="4000" w:hanging="180"/>
        </w:pPr>
      </w:lvl>
    </w:lvlOverride>
    <w:lvlOverride w:ilvl="8">
      <w:startOverride w:val="1"/>
      <w:lvl w:ilvl="8" w:tplc="ABFC7786">
        <w:start w:val="1"/>
        <w:numFmt w:val="decimal"/>
        <w:lvlText w:val="%9."/>
        <w:lvlJc w:val="right"/>
        <w:pPr>
          <w:ind w:left="4500" w:hanging="180"/>
        </w:pPr>
      </w:lvl>
    </w:lvlOverride>
  </w:num>
  <w:num w:numId="90" w16cid:durableId="1995641653">
    <w:abstractNumId w:val="17"/>
    <w:lvlOverride w:ilvl="0">
      <w:startOverride w:val="1"/>
      <w:lvl w:ilvl="0" w:tplc="A80448C4">
        <w:start w:val="1"/>
        <w:numFmt w:val="bullet"/>
        <w:lvlText w:val=""/>
        <w:lvlJc w:val="right"/>
        <w:pPr>
          <w:ind w:left="500" w:hanging="180"/>
        </w:pPr>
        <w:rPr>
          <w:rFonts w:ascii="Symbol" w:hAnsi="Symbol" w:hint="default"/>
        </w:rPr>
      </w:lvl>
    </w:lvlOverride>
    <w:lvlOverride w:ilvl="1">
      <w:startOverride w:val="1"/>
      <w:lvl w:ilvl="1" w:tplc="DBF86DC4">
        <w:start w:val="1"/>
        <w:numFmt w:val="decimal"/>
        <w:lvlText w:val="%2."/>
        <w:lvlJc w:val="right"/>
        <w:pPr>
          <w:ind w:left="1000" w:hanging="180"/>
        </w:pPr>
      </w:lvl>
    </w:lvlOverride>
    <w:lvlOverride w:ilvl="2">
      <w:startOverride w:val="1"/>
      <w:lvl w:ilvl="2" w:tplc="536E16A2">
        <w:start w:val="1"/>
        <w:numFmt w:val="decimal"/>
        <w:lvlText w:val="%3."/>
        <w:lvlJc w:val="right"/>
        <w:pPr>
          <w:ind w:left="1500" w:hanging="180"/>
        </w:pPr>
      </w:lvl>
    </w:lvlOverride>
    <w:lvlOverride w:ilvl="3">
      <w:startOverride w:val="1"/>
      <w:lvl w:ilvl="3" w:tplc="91D0673A">
        <w:start w:val="1"/>
        <w:numFmt w:val="decimal"/>
        <w:lvlText w:val="%4."/>
        <w:lvlJc w:val="right"/>
        <w:pPr>
          <w:ind w:left="2000" w:hanging="180"/>
        </w:pPr>
      </w:lvl>
    </w:lvlOverride>
    <w:lvlOverride w:ilvl="4">
      <w:startOverride w:val="1"/>
      <w:lvl w:ilvl="4" w:tplc="A7306E04">
        <w:start w:val="1"/>
        <w:numFmt w:val="decimal"/>
        <w:lvlText w:val="%5."/>
        <w:lvlJc w:val="right"/>
        <w:pPr>
          <w:ind w:left="2500" w:hanging="180"/>
        </w:pPr>
      </w:lvl>
    </w:lvlOverride>
    <w:lvlOverride w:ilvl="5">
      <w:startOverride w:val="1"/>
      <w:lvl w:ilvl="5" w:tplc="00EE1806">
        <w:start w:val="1"/>
        <w:numFmt w:val="decimal"/>
        <w:lvlText w:val="%6."/>
        <w:lvlJc w:val="right"/>
        <w:pPr>
          <w:ind w:left="3000" w:hanging="180"/>
        </w:pPr>
      </w:lvl>
    </w:lvlOverride>
    <w:lvlOverride w:ilvl="6">
      <w:startOverride w:val="1"/>
      <w:lvl w:ilvl="6" w:tplc="24E4B4E2">
        <w:start w:val="1"/>
        <w:numFmt w:val="decimal"/>
        <w:lvlText w:val="%7."/>
        <w:lvlJc w:val="right"/>
        <w:pPr>
          <w:ind w:left="3500" w:hanging="180"/>
        </w:pPr>
      </w:lvl>
    </w:lvlOverride>
    <w:lvlOverride w:ilvl="7">
      <w:startOverride w:val="1"/>
      <w:lvl w:ilvl="7" w:tplc="E38E4BF8">
        <w:start w:val="1"/>
        <w:numFmt w:val="decimal"/>
        <w:lvlText w:val="%8."/>
        <w:lvlJc w:val="right"/>
        <w:pPr>
          <w:ind w:left="4000" w:hanging="180"/>
        </w:pPr>
      </w:lvl>
    </w:lvlOverride>
    <w:lvlOverride w:ilvl="8">
      <w:startOverride w:val="1"/>
      <w:lvl w:ilvl="8" w:tplc="CA2EEC2E">
        <w:start w:val="1"/>
        <w:numFmt w:val="decimal"/>
        <w:lvlText w:val="%9."/>
        <w:lvlJc w:val="right"/>
        <w:pPr>
          <w:ind w:left="4500" w:hanging="180"/>
        </w:pPr>
      </w:lvl>
    </w:lvlOverride>
  </w:num>
  <w:num w:numId="91" w16cid:durableId="207497675">
    <w:abstractNumId w:val="17"/>
    <w:lvlOverride w:ilvl="0">
      <w:startOverride w:val="1"/>
      <w:lvl w:ilvl="0" w:tplc="A80448C4">
        <w:start w:val="1"/>
        <w:numFmt w:val="bullet"/>
        <w:lvlText w:val=""/>
        <w:lvlJc w:val="right"/>
        <w:pPr>
          <w:ind w:left="500" w:hanging="180"/>
        </w:pPr>
        <w:rPr>
          <w:rFonts w:ascii="Symbol" w:hAnsi="Symbol" w:hint="default"/>
        </w:rPr>
      </w:lvl>
    </w:lvlOverride>
    <w:lvlOverride w:ilvl="1">
      <w:startOverride w:val="1"/>
      <w:lvl w:ilvl="1" w:tplc="DBF86DC4">
        <w:start w:val="1"/>
        <w:numFmt w:val="decimal"/>
        <w:lvlText w:val="%2."/>
        <w:lvlJc w:val="right"/>
        <w:pPr>
          <w:ind w:left="1000" w:hanging="180"/>
        </w:pPr>
      </w:lvl>
    </w:lvlOverride>
    <w:lvlOverride w:ilvl="2">
      <w:startOverride w:val="1"/>
      <w:lvl w:ilvl="2" w:tplc="536E16A2">
        <w:start w:val="1"/>
        <w:numFmt w:val="decimal"/>
        <w:lvlText w:val="%3."/>
        <w:lvlJc w:val="right"/>
        <w:pPr>
          <w:ind w:left="1500" w:hanging="180"/>
        </w:pPr>
      </w:lvl>
    </w:lvlOverride>
    <w:lvlOverride w:ilvl="3">
      <w:startOverride w:val="1"/>
      <w:lvl w:ilvl="3" w:tplc="91D0673A">
        <w:start w:val="1"/>
        <w:numFmt w:val="decimal"/>
        <w:lvlText w:val="%4."/>
        <w:lvlJc w:val="right"/>
        <w:pPr>
          <w:ind w:left="2000" w:hanging="180"/>
        </w:pPr>
      </w:lvl>
    </w:lvlOverride>
    <w:lvlOverride w:ilvl="4">
      <w:startOverride w:val="1"/>
      <w:lvl w:ilvl="4" w:tplc="A7306E04">
        <w:start w:val="1"/>
        <w:numFmt w:val="decimal"/>
        <w:lvlText w:val="%5."/>
        <w:lvlJc w:val="right"/>
        <w:pPr>
          <w:ind w:left="2500" w:hanging="180"/>
        </w:pPr>
      </w:lvl>
    </w:lvlOverride>
    <w:lvlOverride w:ilvl="5">
      <w:startOverride w:val="1"/>
      <w:lvl w:ilvl="5" w:tplc="00EE1806">
        <w:start w:val="1"/>
        <w:numFmt w:val="decimal"/>
        <w:lvlText w:val="%6."/>
        <w:lvlJc w:val="right"/>
        <w:pPr>
          <w:ind w:left="3000" w:hanging="180"/>
        </w:pPr>
      </w:lvl>
    </w:lvlOverride>
    <w:lvlOverride w:ilvl="6">
      <w:startOverride w:val="1"/>
      <w:lvl w:ilvl="6" w:tplc="24E4B4E2">
        <w:start w:val="1"/>
        <w:numFmt w:val="decimal"/>
        <w:lvlText w:val="%7."/>
        <w:lvlJc w:val="right"/>
        <w:pPr>
          <w:ind w:left="3500" w:hanging="180"/>
        </w:pPr>
      </w:lvl>
    </w:lvlOverride>
    <w:lvlOverride w:ilvl="7">
      <w:startOverride w:val="1"/>
      <w:lvl w:ilvl="7" w:tplc="E38E4BF8">
        <w:start w:val="1"/>
        <w:numFmt w:val="decimal"/>
        <w:lvlText w:val="%8."/>
        <w:lvlJc w:val="right"/>
        <w:pPr>
          <w:ind w:left="4000" w:hanging="180"/>
        </w:pPr>
      </w:lvl>
    </w:lvlOverride>
    <w:lvlOverride w:ilvl="8">
      <w:startOverride w:val="1"/>
      <w:lvl w:ilvl="8" w:tplc="CA2EEC2E">
        <w:start w:val="1"/>
        <w:numFmt w:val="decimal"/>
        <w:lvlText w:val="%9."/>
        <w:lvlJc w:val="right"/>
        <w:pPr>
          <w:ind w:left="4500" w:hanging="180"/>
        </w:pPr>
      </w:lvl>
    </w:lvlOverride>
  </w:num>
  <w:num w:numId="92" w16cid:durableId="627056493">
    <w:abstractNumId w:val="17"/>
    <w:lvlOverride w:ilvl="0">
      <w:startOverride w:val="1"/>
      <w:lvl w:ilvl="0" w:tplc="A80448C4">
        <w:start w:val="1"/>
        <w:numFmt w:val="bullet"/>
        <w:lvlText w:val=""/>
        <w:lvlJc w:val="right"/>
        <w:pPr>
          <w:ind w:left="500" w:hanging="180"/>
        </w:pPr>
        <w:rPr>
          <w:rFonts w:ascii="Symbol" w:hAnsi="Symbol" w:hint="default"/>
        </w:rPr>
      </w:lvl>
    </w:lvlOverride>
    <w:lvlOverride w:ilvl="1">
      <w:startOverride w:val="1"/>
      <w:lvl w:ilvl="1" w:tplc="DBF86DC4">
        <w:start w:val="1"/>
        <w:numFmt w:val="decimal"/>
        <w:lvlText w:val="%2."/>
        <w:lvlJc w:val="right"/>
        <w:pPr>
          <w:ind w:left="1000" w:hanging="180"/>
        </w:pPr>
      </w:lvl>
    </w:lvlOverride>
    <w:lvlOverride w:ilvl="2">
      <w:startOverride w:val="1"/>
      <w:lvl w:ilvl="2" w:tplc="536E16A2">
        <w:start w:val="1"/>
        <w:numFmt w:val="decimal"/>
        <w:lvlText w:val="%3."/>
        <w:lvlJc w:val="right"/>
        <w:pPr>
          <w:ind w:left="1500" w:hanging="180"/>
        </w:pPr>
      </w:lvl>
    </w:lvlOverride>
    <w:lvlOverride w:ilvl="3">
      <w:startOverride w:val="1"/>
      <w:lvl w:ilvl="3" w:tplc="91D0673A">
        <w:start w:val="1"/>
        <w:numFmt w:val="decimal"/>
        <w:lvlText w:val="%4."/>
        <w:lvlJc w:val="right"/>
        <w:pPr>
          <w:ind w:left="2000" w:hanging="180"/>
        </w:pPr>
      </w:lvl>
    </w:lvlOverride>
    <w:lvlOverride w:ilvl="4">
      <w:startOverride w:val="1"/>
      <w:lvl w:ilvl="4" w:tplc="A7306E04">
        <w:start w:val="1"/>
        <w:numFmt w:val="decimal"/>
        <w:lvlText w:val="%5."/>
        <w:lvlJc w:val="right"/>
        <w:pPr>
          <w:ind w:left="2500" w:hanging="180"/>
        </w:pPr>
      </w:lvl>
    </w:lvlOverride>
    <w:lvlOverride w:ilvl="5">
      <w:startOverride w:val="1"/>
      <w:lvl w:ilvl="5" w:tplc="00EE1806">
        <w:start w:val="1"/>
        <w:numFmt w:val="decimal"/>
        <w:lvlText w:val="%6."/>
        <w:lvlJc w:val="right"/>
        <w:pPr>
          <w:ind w:left="3000" w:hanging="180"/>
        </w:pPr>
      </w:lvl>
    </w:lvlOverride>
    <w:lvlOverride w:ilvl="6">
      <w:startOverride w:val="1"/>
      <w:lvl w:ilvl="6" w:tplc="24E4B4E2">
        <w:start w:val="1"/>
        <w:numFmt w:val="decimal"/>
        <w:lvlText w:val="%7."/>
        <w:lvlJc w:val="right"/>
        <w:pPr>
          <w:ind w:left="3500" w:hanging="180"/>
        </w:pPr>
      </w:lvl>
    </w:lvlOverride>
    <w:lvlOverride w:ilvl="7">
      <w:startOverride w:val="1"/>
      <w:lvl w:ilvl="7" w:tplc="E38E4BF8">
        <w:start w:val="1"/>
        <w:numFmt w:val="decimal"/>
        <w:lvlText w:val="%8."/>
        <w:lvlJc w:val="right"/>
        <w:pPr>
          <w:ind w:left="4000" w:hanging="180"/>
        </w:pPr>
      </w:lvl>
    </w:lvlOverride>
    <w:lvlOverride w:ilvl="8">
      <w:startOverride w:val="1"/>
      <w:lvl w:ilvl="8" w:tplc="CA2EEC2E">
        <w:start w:val="1"/>
        <w:numFmt w:val="decimal"/>
        <w:lvlText w:val="%9."/>
        <w:lvlJc w:val="right"/>
        <w:pPr>
          <w:ind w:left="4500" w:hanging="180"/>
        </w:pPr>
      </w:lvl>
    </w:lvlOverride>
  </w:num>
  <w:num w:numId="93" w16cid:durableId="1884977920">
    <w:abstractNumId w:val="0"/>
    <w:lvlOverride w:ilvl="0">
      <w:startOverride w:val="1"/>
      <w:lvl w:ilvl="0" w:tplc="3636126E">
        <w:start w:val="1"/>
        <w:numFmt w:val="bullet"/>
        <w:lvlText w:val=""/>
        <w:lvlJc w:val="right"/>
        <w:pPr>
          <w:ind w:left="500" w:hanging="180"/>
        </w:pPr>
        <w:rPr>
          <w:rFonts w:ascii="Symbol" w:hAnsi="Symbol" w:hint="default"/>
        </w:rPr>
      </w:lvl>
    </w:lvlOverride>
    <w:lvlOverride w:ilvl="1">
      <w:startOverride w:val="1"/>
      <w:lvl w:ilvl="1" w:tplc="4468D5AC">
        <w:start w:val="1"/>
        <w:numFmt w:val="decimal"/>
        <w:lvlText w:val="%2."/>
        <w:lvlJc w:val="right"/>
        <w:pPr>
          <w:ind w:left="1000" w:hanging="180"/>
        </w:pPr>
      </w:lvl>
    </w:lvlOverride>
    <w:lvlOverride w:ilvl="2">
      <w:startOverride w:val="1"/>
      <w:lvl w:ilvl="2" w:tplc="A612AFAA">
        <w:start w:val="1"/>
        <w:numFmt w:val="decimal"/>
        <w:lvlText w:val="%3."/>
        <w:lvlJc w:val="right"/>
        <w:pPr>
          <w:ind w:left="1500" w:hanging="180"/>
        </w:pPr>
      </w:lvl>
    </w:lvlOverride>
    <w:lvlOverride w:ilvl="3">
      <w:startOverride w:val="1"/>
      <w:lvl w:ilvl="3" w:tplc="B474558A">
        <w:start w:val="1"/>
        <w:numFmt w:val="decimal"/>
        <w:lvlText w:val="%4."/>
        <w:lvlJc w:val="right"/>
        <w:pPr>
          <w:ind w:left="2000" w:hanging="180"/>
        </w:pPr>
      </w:lvl>
    </w:lvlOverride>
    <w:lvlOverride w:ilvl="4">
      <w:startOverride w:val="1"/>
      <w:lvl w:ilvl="4" w:tplc="FF5043DA">
        <w:start w:val="1"/>
        <w:numFmt w:val="decimal"/>
        <w:lvlText w:val="%5."/>
        <w:lvlJc w:val="right"/>
        <w:pPr>
          <w:ind w:left="2500" w:hanging="180"/>
        </w:pPr>
      </w:lvl>
    </w:lvlOverride>
    <w:lvlOverride w:ilvl="5">
      <w:startOverride w:val="1"/>
      <w:lvl w:ilvl="5" w:tplc="82CC4C16">
        <w:start w:val="1"/>
        <w:numFmt w:val="decimal"/>
        <w:lvlText w:val="%6."/>
        <w:lvlJc w:val="right"/>
        <w:pPr>
          <w:ind w:left="3000" w:hanging="180"/>
        </w:pPr>
      </w:lvl>
    </w:lvlOverride>
    <w:lvlOverride w:ilvl="6">
      <w:startOverride w:val="1"/>
      <w:lvl w:ilvl="6" w:tplc="39AE5320">
        <w:start w:val="1"/>
        <w:numFmt w:val="decimal"/>
        <w:lvlText w:val="%7."/>
        <w:lvlJc w:val="right"/>
        <w:pPr>
          <w:ind w:left="3500" w:hanging="180"/>
        </w:pPr>
      </w:lvl>
    </w:lvlOverride>
    <w:lvlOverride w:ilvl="7">
      <w:startOverride w:val="1"/>
      <w:lvl w:ilvl="7" w:tplc="4C6EB036">
        <w:start w:val="1"/>
        <w:numFmt w:val="decimal"/>
        <w:lvlText w:val="%8."/>
        <w:lvlJc w:val="right"/>
        <w:pPr>
          <w:ind w:left="4000" w:hanging="180"/>
        </w:pPr>
      </w:lvl>
    </w:lvlOverride>
    <w:lvlOverride w:ilvl="8">
      <w:startOverride w:val="1"/>
      <w:lvl w:ilvl="8" w:tplc="B8F28E5C">
        <w:start w:val="1"/>
        <w:numFmt w:val="decimal"/>
        <w:lvlText w:val="%9."/>
        <w:lvlJc w:val="right"/>
        <w:pPr>
          <w:ind w:left="4500" w:hanging="180"/>
        </w:pPr>
      </w:lvl>
    </w:lvlOverride>
  </w:num>
  <w:num w:numId="94" w16cid:durableId="398744957">
    <w:abstractNumId w:val="36"/>
    <w:lvlOverride w:ilvl="0">
      <w:startOverride w:val="1"/>
      <w:lvl w:ilvl="0" w:tplc="9C92161A">
        <w:start w:val="1"/>
        <w:numFmt w:val="bullet"/>
        <w:lvlText w:val=""/>
        <w:lvlJc w:val="right"/>
        <w:pPr>
          <w:ind w:left="500" w:hanging="180"/>
        </w:pPr>
        <w:rPr>
          <w:rFonts w:ascii="Symbol" w:hAnsi="Symbol" w:hint="default"/>
        </w:rPr>
      </w:lvl>
    </w:lvlOverride>
    <w:lvlOverride w:ilvl="1">
      <w:startOverride w:val="1"/>
      <w:lvl w:ilvl="1" w:tplc="33D4BFAA">
        <w:start w:val="1"/>
        <w:numFmt w:val="decimal"/>
        <w:lvlText w:val="%2."/>
        <w:lvlJc w:val="right"/>
        <w:pPr>
          <w:ind w:left="1000" w:hanging="180"/>
        </w:pPr>
      </w:lvl>
    </w:lvlOverride>
    <w:lvlOverride w:ilvl="2">
      <w:startOverride w:val="1"/>
      <w:lvl w:ilvl="2" w:tplc="7138F22A">
        <w:start w:val="1"/>
        <w:numFmt w:val="decimal"/>
        <w:lvlText w:val="%3."/>
        <w:lvlJc w:val="right"/>
        <w:pPr>
          <w:ind w:left="1500" w:hanging="180"/>
        </w:pPr>
      </w:lvl>
    </w:lvlOverride>
    <w:lvlOverride w:ilvl="3">
      <w:startOverride w:val="1"/>
      <w:lvl w:ilvl="3" w:tplc="D3BA2D82">
        <w:start w:val="1"/>
        <w:numFmt w:val="decimal"/>
        <w:lvlText w:val="%4."/>
        <w:lvlJc w:val="right"/>
        <w:pPr>
          <w:ind w:left="2000" w:hanging="180"/>
        </w:pPr>
      </w:lvl>
    </w:lvlOverride>
    <w:lvlOverride w:ilvl="4">
      <w:startOverride w:val="1"/>
      <w:lvl w:ilvl="4" w:tplc="1DC46172">
        <w:start w:val="1"/>
        <w:numFmt w:val="decimal"/>
        <w:lvlText w:val="%5."/>
        <w:lvlJc w:val="right"/>
        <w:pPr>
          <w:ind w:left="2500" w:hanging="180"/>
        </w:pPr>
      </w:lvl>
    </w:lvlOverride>
    <w:lvlOverride w:ilvl="5">
      <w:startOverride w:val="1"/>
      <w:lvl w:ilvl="5" w:tplc="BE4CFBB4">
        <w:start w:val="1"/>
        <w:numFmt w:val="decimal"/>
        <w:lvlText w:val="%6."/>
        <w:lvlJc w:val="right"/>
        <w:pPr>
          <w:ind w:left="3000" w:hanging="180"/>
        </w:pPr>
      </w:lvl>
    </w:lvlOverride>
    <w:lvlOverride w:ilvl="6">
      <w:startOverride w:val="1"/>
      <w:lvl w:ilvl="6" w:tplc="CB2AA5E0">
        <w:start w:val="1"/>
        <w:numFmt w:val="decimal"/>
        <w:lvlText w:val="%7."/>
        <w:lvlJc w:val="right"/>
        <w:pPr>
          <w:ind w:left="3500" w:hanging="180"/>
        </w:pPr>
      </w:lvl>
    </w:lvlOverride>
    <w:lvlOverride w:ilvl="7">
      <w:startOverride w:val="1"/>
      <w:lvl w:ilvl="7" w:tplc="0D944C12">
        <w:start w:val="1"/>
        <w:numFmt w:val="decimal"/>
        <w:lvlText w:val="%8."/>
        <w:lvlJc w:val="right"/>
        <w:pPr>
          <w:ind w:left="4000" w:hanging="180"/>
        </w:pPr>
      </w:lvl>
    </w:lvlOverride>
    <w:lvlOverride w:ilvl="8">
      <w:startOverride w:val="1"/>
      <w:lvl w:ilvl="8" w:tplc="A40498BE">
        <w:start w:val="1"/>
        <w:numFmt w:val="decimal"/>
        <w:lvlText w:val="%9."/>
        <w:lvlJc w:val="right"/>
        <w:pPr>
          <w:ind w:left="4500" w:hanging="180"/>
        </w:pPr>
      </w:lvl>
    </w:lvlOverride>
  </w:num>
  <w:num w:numId="95" w16cid:durableId="1043292746">
    <w:abstractNumId w:val="39"/>
    <w:lvlOverride w:ilvl="0">
      <w:startOverride w:val="1"/>
      <w:lvl w:ilvl="0" w:tplc="A6C41DB8">
        <w:start w:val="1"/>
        <w:numFmt w:val="bullet"/>
        <w:lvlText w:val=""/>
        <w:lvlJc w:val="right"/>
        <w:pPr>
          <w:ind w:left="500" w:hanging="180"/>
        </w:pPr>
        <w:rPr>
          <w:rFonts w:ascii="Symbol" w:hAnsi="Symbol" w:hint="default"/>
        </w:rPr>
      </w:lvl>
    </w:lvlOverride>
    <w:lvlOverride w:ilvl="1">
      <w:startOverride w:val="1"/>
      <w:lvl w:ilvl="1" w:tplc="7D14C4C4">
        <w:start w:val="1"/>
        <w:numFmt w:val="decimal"/>
        <w:lvlText w:val="%2."/>
        <w:lvlJc w:val="right"/>
        <w:pPr>
          <w:ind w:left="1000" w:hanging="180"/>
        </w:pPr>
      </w:lvl>
    </w:lvlOverride>
    <w:lvlOverride w:ilvl="2">
      <w:startOverride w:val="1"/>
      <w:lvl w:ilvl="2" w:tplc="050E6372">
        <w:start w:val="1"/>
        <w:numFmt w:val="decimal"/>
        <w:lvlText w:val="%3."/>
        <w:lvlJc w:val="right"/>
        <w:pPr>
          <w:ind w:left="1500" w:hanging="180"/>
        </w:pPr>
      </w:lvl>
    </w:lvlOverride>
    <w:lvlOverride w:ilvl="3">
      <w:startOverride w:val="1"/>
      <w:lvl w:ilvl="3" w:tplc="7744EB40">
        <w:start w:val="1"/>
        <w:numFmt w:val="decimal"/>
        <w:lvlText w:val="%4."/>
        <w:lvlJc w:val="right"/>
        <w:pPr>
          <w:ind w:left="2000" w:hanging="180"/>
        </w:pPr>
      </w:lvl>
    </w:lvlOverride>
    <w:lvlOverride w:ilvl="4">
      <w:startOverride w:val="1"/>
      <w:lvl w:ilvl="4" w:tplc="BC94128E">
        <w:start w:val="1"/>
        <w:numFmt w:val="decimal"/>
        <w:lvlText w:val="%5."/>
        <w:lvlJc w:val="right"/>
        <w:pPr>
          <w:ind w:left="2500" w:hanging="180"/>
        </w:pPr>
      </w:lvl>
    </w:lvlOverride>
    <w:lvlOverride w:ilvl="5">
      <w:startOverride w:val="1"/>
      <w:lvl w:ilvl="5" w:tplc="27D208BC">
        <w:start w:val="1"/>
        <w:numFmt w:val="decimal"/>
        <w:lvlText w:val="%6."/>
        <w:lvlJc w:val="right"/>
        <w:pPr>
          <w:ind w:left="3000" w:hanging="180"/>
        </w:pPr>
      </w:lvl>
    </w:lvlOverride>
    <w:lvlOverride w:ilvl="6">
      <w:startOverride w:val="1"/>
      <w:lvl w:ilvl="6" w:tplc="7C927F64">
        <w:start w:val="1"/>
        <w:numFmt w:val="decimal"/>
        <w:lvlText w:val="%7."/>
        <w:lvlJc w:val="right"/>
        <w:pPr>
          <w:ind w:left="3500" w:hanging="180"/>
        </w:pPr>
      </w:lvl>
    </w:lvlOverride>
    <w:lvlOverride w:ilvl="7">
      <w:startOverride w:val="1"/>
      <w:lvl w:ilvl="7" w:tplc="A790D26C">
        <w:start w:val="1"/>
        <w:numFmt w:val="decimal"/>
        <w:lvlText w:val="%8."/>
        <w:lvlJc w:val="right"/>
        <w:pPr>
          <w:ind w:left="4000" w:hanging="180"/>
        </w:pPr>
      </w:lvl>
    </w:lvlOverride>
    <w:lvlOverride w:ilvl="8">
      <w:startOverride w:val="1"/>
      <w:lvl w:ilvl="8" w:tplc="361C21A6">
        <w:start w:val="1"/>
        <w:numFmt w:val="decimal"/>
        <w:lvlText w:val="%9."/>
        <w:lvlJc w:val="right"/>
        <w:pPr>
          <w:ind w:left="4500" w:hanging="180"/>
        </w:pPr>
      </w:lvl>
    </w:lvlOverride>
  </w:num>
  <w:num w:numId="96" w16cid:durableId="126827467">
    <w:abstractNumId w:val="48"/>
    <w:lvlOverride w:ilvl="0">
      <w:startOverride w:val="1"/>
      <w:lvl w:ilvl="0" w:tplc="17BE2A46">
        <w:start w:val="1"/>
        <w:numFmt w:val="bullet"/>
        <w:lvlText w:val=""/>
        <w:lvlJc w:val="right"/>
        <w:pPr>
          <w:ind w:left="500" w:hanging="180"/>
        </w:pPr>
        <w:rPr>
          <w:rFonts w:ascii="Symbol" w:hAnsi="Symbol" w:hint="default"/>
        </w:rPr>
      </w:lvl>
    </w:lvlOverride>
    <w:lvlOverride w:ilvl="1">
      <w:startOverride w:val="1"/>
      <w:lvl w:ilvl="1" w:tplc="26EA4772">
        <w:start w:val="1"/>
        <w:numFmt w:val="decimal"/>
        <w:lvlText w:val="%2."/>
        <w:lvlJc w:val="right"/>
        <w:pPr>
          <w:ind w:left="1000" w:hanging="180"/>
        </w:pPr>
      </w:lvl>
    </w:lvlOverride>
    <w:lvlOverride w:ilvl="2">
      <w:startOverride w:val="1"/>
      <w:lvl w:ilvl="2" w:tplc="73A64184">
        <w:start w:val="1"/>
        <w:numFmt w:val="decimal"/>
        <w:lvlText w:val="%3."/>
        <w:lvlJc w:val="right"/>
        <w:pPr>
          <w:ind w:left="1500" w:hanging="180"/>
        </w:pPr>
      </w:lvl>
    </w:lvlOverride>
    <w:lvlOverride w:ilvl="3">
      <w:startOverride w:val="1"/>
      <w:lvl w:ilvl="3" w:tplc="AFD05D86">
        <w:start w:val="1"/>
        <w:numFmt w:val="decimal"/>
        <w:lvlText w:val="%4."/>
        <w:lvlJc w:val="right"/>
        <w:pPr>
          <w:ind w:left="2000" w:hanging="180"/>
        </w:pPr>
      </w:lvl>
    </w:lvlOverride>
    <w:lvlOverride w:ilvl="4">
      <w:startOverride w:val="1"/>
      <w:lvl w:ilvl="4" w:tplc="3CC80E6E">
        <w:start w:val="1"/>
        <w:numFmt w:val="decimal"/>
        <w:lvlText w:val="%5."/>
        <w:lvlJc w:val="right"/>
        <w:pPr>
          <w:ind w:left="2500" w:hanging="180"/>
        </w:pPr>
      </w:lvl>
    </w:lvlOverride>
    <w:lvlOverride w:ilvl="5">
      <w:startOverride w:val="1"/>
      <w:lvl w:ilvl="5" w:tplc="D354BAD2">
        <w:start w:val="1"/>
        <w:numFmt w:val="decimal"/>
        <w:lvlText w:val="%6."/>
        <w:lvlJc w:val="right"/>
        <w:pPr>
          <w:ind w:left="3000" w:hanging="180"/>
        </w:pPr>
      </w:lvl>
    </w:lvlOverride>
    <w:lvlOverride w:ilvl="6">
      <w:startOverride w:val="1"/>
      <w:lvl w:ilvl="6" w:tplc="839434CC">
        <w:start w:val="1"/>
        <w:numFmt w:val="decimal"/>
        <w:lvlText w:val="%7."/>
        <w:lvlJc w:val="right"/>
        <w:pPr>
          <w:ind w:left="3500" w:hanging="180"/>
        </w:pPr>
      </w:lvl>
    </w:lvlOverride>
    <w:lvlOverride w:ilvl="7">
      <w:startOverride w:val="1"/>
      <w:lvl w:ilvl="7" w:tplc="BF629958">
        <w:start w:val="1"/>
        <w:numFmt w:val="decimal"/>
        <w:lvlText w:val="%8."/>
        <w:lvlJc w:val="right"/>
        <w:pPr>
          <w:ind w:left="4000" w:hanging="180"/>
        </w:pPr>
      </w:lvl>
    </w:lvlOverride>
    <w:lvlOverride w:ilvl="8">
      <w:startOverride w:val="1"/>
      <w:lvl w:ilvl="8" w:tplc="6AC810BE">
        <w:start w:val="1"/>
        <w:numFmt w:val="decimal"/>
        <w:lvlText w:val="%9."/>
        <w:lvlJc w:val="right"/>
        <w:pPr>
          <w:ind w:left="4500" w:hanging="180"/>
        </w:pPr>
      </w:lvl>
    </w:lvlOverride>
  </w:num>
  <w:num w:numId="97" w16cid:durableId="99184866">
    <w:abstractNumId w:val="23"/>
    <w:lvlOverride w:ilvl="0">
      <w:startOverride w:val="1"/>
      <w:lvl w:ilvl="0" w:tplc="578AC1C0">
        <w:start w:val="1"/>
        <w:numFmt w:val="bullet"/>
        <w:lvlText w:val=""/>
        <w:lvlJc w:val="right"/>
        <w:pPr>
          <w:ind w:left="500" w:hanging="180"/>
        </w:pPr>
        <w:rPr>
          <w:rFonts w:ascii="Symbol" w:hAnsi="Symbol" w:hint="default"/>
        </w:rPr>
      </w:lvl>
    </w:lvlOverride>
    <w:lvlOverride w:ilvl="1">
      <w:startOverride w:val="1"/>
      <w:lvl w:ilvl="1" w:tplc="92125D08">
        <w:start w:val="1"/>
        <w:numFmt w:val="decimal"/>
        <w:lvlText w:val="%2."/>
        <w:lvlJc w:val="right"/>
        <w:pPr>
          <w:ind w:left="1000" w:hanging="180"/>
        </w:pPr>
      </w:lvl>
    </w:lvlOverride>
    <w:lvlOverride w:ilvl="2">
      <w:startOverride w:val="1"/>
      <w:lvl w:ilvl="2" w:tplc="52B42B36">
        <w:start w:val="1"/>
        <w:numFmt w:val="decimal"/>
        <w:lvlText w:val="%3."/>
        <w:lvlJc w:val="right"/>
        <w:pPr>
          <w:ind w:left="1500" w:hanging="180"/>
        </w:pPr>
      </w:lvl>
    </w:lvlOverride>
    <w:lvlOverride w:ilvl="3">
      <w:startOverride w:val="1"/>
      <w:lvl w:ilvl="3" w:tplc="22BA85D2">
        <w:start w:val="1"/>
        <w:numFmt w:val="decimal"/>
        <w:lvlText w:val="%4."/>
        <w:lvlJc w:val="right"/>
        <w:pPr>
          <w:ind w:left="2000" w:hanging="180"/>
        </w:pPr>
      </w:lvl>
    </w:lvlOverride>
    <w:lvlOverride w:ilvl="4">
      <w:startOverride w:val="1"/>
      <w:lvl w:ilvl="4" w:tplc="2A460E94">
        <w:start w:val="1"/>
        <w:numFmt w:val="decimal"/>
        <w:lvlText w:val="%5."/>
        <w:lvlJc w:val="right"/>
        <w:pPr>
          <w:ind w:left="2500" w:hanging="180"/>
        </w:pPr>
      </w:lvl>
    </w:lvlOverride>
    <w:lvlOverride w:ilvl="5">
      <w:startOverride w:val="1"/>
      <w:lvl w:ilvl="5" w:tplc="7E8E710E">
        <w:start w:val="1"/>
        <w:numFmt w:val="decimal"/>
        <w:lvlText w:val="%6."/>
        <w:lvlJc w:val="right"/>
        <w:pPr>
          <w:ind w:left="3000" w:hanging="180"/>
        </w:pPr>
      </w:lvl>
    </w:lvlOverride>
    <w:lvlOverride w:ilvl="6">
      <w:startOverride w:val="1"/>
      <w:lvl w:ilvl="6" w:tplc="9558C810">
        <w:start w:val="1"/>
        <w:numFmt w:val="decimal"/>
        <w:lvlText w:val="%7."/>
        <w:lvlJc w:val="right"/>
        <w:pPr>
          <w:ind w:left="3500" w:hanging="180"/>
        </w:pPr>
      </w:lvl>
    </w:lvlOverride>
    <w:lvlOverride w:ilvl="7">
      <w:startOverride w:val="1"/>
      <w:lvl w:ilvl="7" w:tplc="A544A3F6">
        <w:start w:val="1"/>
        <w:numFmt w:val="decimal"/>
        <w:lvlText w:val="%8."/>
        <w:lvlJc w:val="right"/>
        <w:pPr>
          <w:ind w:left="4000" w:hanging="180"/>
        </w:pPr>
      </w:lvl>
    </w:lvlOverride>
    <w:lvlOverride w:ilvl="8">
      <w:startOverride w:val="1"/>
      <w:lvl w:ilvl="8" w:tplc="BF3A8C10">
        <w:start w:val="1"/>
        <w:numFmt w:val="decimal"/>
        <w:lvlText w:val="%9."/>
        <w:lvlJc w:val="right"/>
        <w:pPr>
          <w:ind w:left="4500" w:hanging="180"/>
        </w:pPr>
      </w:lvl>
    </w:lvlOverride>
  </w:num>
  <w:num w:numId="98" w16cid:durableId="2106346202">
    <w:abstractNumId w:val="23"/>
    <w:lvlOverride w:ilvl="0">
      <w:startOverride w:val="1"/>
      <w:lvl w:ilvl="0" w:tplc="578AC1C0">
        <w:start w:val="1"/>
        <w:numFmt w:val="bullet"/>
        <w:lvlText w:val=""/>
        <w:lvlJc w:val="right"/>
        <w:pPr>
          <w:ind w:left="500" w:hanging="180"/>
        </w:pPr>
        <w:rPr>
          <w:rFonts w:ascii="Symbol" w:hAnsi="Symbol" w:hint="default"/>
        </w:rPr>
      </w:lvl>
    </w:lvlOverride>
    <w:lvlOverride w:ilvl="1">
      <w:startOverride w:val="1"/>
      <w:lvl w:ilvl="1" w:tplc="92125D08">
        <w:start w:val="1"/>
        <w:numFmt w:val="decimal"/>
        <w:lvlText w:val="%2."/>
        <w:lvlJc w:val="right"/>
        <w:pPr>
          <w:ind w:left="1000" w:hanging="180"/>
        </w:pPr>
      </w:lvl>
    </w:lvlOverride>
    <w:lvlOverride w:ilvl="2">
      <w:startOverride w:val="1"/>
      <w:lvl w:ilvl="2" w:tplc="52B42B36">
        <w:start w:val="1"/>
        <w:numFmt w:val="decimal"/>
        <w:lvlText w:val="%3."/>
        <w:lvlJc w:val="right"/>
        <w:pPr>
          <w:ind w:left="1500" w:hanging="180"/>
        </w:pPr>
      </w:lvl>
    </w:lvlOverride>
    <w:lvlOverride w:ilvl="3">
      <w:startOverride w:val="1"/>
      <w:lvl w:ilvl="3" w:tplc="22BA85D2">
        <w:start w:val="1"/>
        <w:numFmt w:val="decimal"/>
        <w:lvlText w:val="%4."/>
        <w:lvlJc w:val="right"/>
        <w:pPr>
          <w:ind w:left="2000" w:hanging="180"/>
        </w:pPr>
      </w:lvl>
    </w:lvlOverride>
    <w:lvlOverride w:ilvl="4">
      <w:startOverride w:val="1"/>
      <w:lvl w:ilvl="4" w:tplc="2A460E94">
        <w:start w:val="1"/>
        <w:numFmt w:val="decimal"/>
        <w:lvlText w:val="%5."/>
        <w:lvlJc w:val="right"/>
        <w:pPr>
          <w:ind w:left="2500" w:hanging="180"/>
        </w:pPr>
      </w:lvl>
    </w:lvlOverride>
    <w:lvlOverride w:ilvl="5">
      <w:startOverride w:val="1"/>
      <w:lvl w:ilvl="5" w:tplc="7E8E710E">
        <w:start w:val="1"/>
        <w:numFmt w:val="decimal"/>
        <w:lvlText w:val="%6."/>
        <w:lvlJc w:val="right"/>
        <w:pPr>
          <w:ind w:left="3000" w:hanging="180"/>
        </w:pPr>
      </w:lvl>
    </w:lvlOverride>
    <w:lvlOverride w:ilvl="6">
      <w:startOverride w:val="1"/>
      <w:lvl w:ilvl="6" w:tplc="9558C810">
        <w:start w:val="1"/>
        <w:numFmt w:val="decimal"/>
        <w:lvlText w:val="%7."/>
        <w:lvlJc w:val="right"/>
        <w:pPr>
          <w:ind w:left="3500" w:hanging="180"/>
        </w:pPr>
      </w:lvl>
    </w:lvlOverride>
    <w:lvlOverride w:ilvl="7">
      <w:startOverride w:val="1"/>
      <w:lvl w:ilvl="7" w:tplc="A544A3F6">
        <w:start w:val="1"/>
        <w:numFmt w:val="decimal"/>
        <w:lvlText w:val="%8."/>
        <w:lvlJc w:val="right"/>
        <w:pPr>
          <w:ind w:left="4000" w:hanging="180"/>
        </w:pPr>
      </w:lvl>
    </w:lvlOverride>
    <w:lvlOverride w:ilvl="8">
      <w:startOverride w:val="1"/>
      <w:lvl w:ilvl="8" w:tplc="BF3A8C10">
        <w:start w:val="1"/>
        <w:numFmt w:val="decimal"/>
        <w:lvlText w:val="%9."/>
        <w:lvlJc w:val="right"/>
        <w:pPr>
          <w:ind w:left="4500" w:hanging="180"/>
        </w:pPr>
      </w:lvl>
    </w:lvlOverride>
  </w:num>
  <w:num w:numId="99" w16cid:durableId="380790153">
    <w:abstractNumId w:val="25"/>
    <w:lvlOverride w:ilvl="0">
      <w:startOverride w:val="1"/>
      <w:lvl w:ilvl="0" w:tplc="4976B7C6">
        <w:start w:val="1"/>
        <w:numFmt w:val="bullet"/>
        <w:lvlText w:val=""/>
        <w:lvlJc w:val="right"/>
        <w:pPr>
          <w:ind w:left="500" w:hanging="180"/>
        </w:pPr>
        <w:rPr>
          <w:rFonts w:ascii="Symbol" w:hAnsi="Symbol" w:hint="default"/>
        </w:rPr>
      </w:lvl>
    </w:lvlOverride>
    <w:lvlOverride w:ilvl="1">
      <w:startOverride w:val="1"/>
      <w:lvl w:ilvl="1" w:tplc="DD6E3E56">
        <w:start w:val="1"/>
        <w:numFmt w:val="decimal"/>
        <w:lvlText w:val="%2."/>
        <w:lvlJc w:val="right"/>
        <w:pPr>
          <w:ind w:left="1000" w:hanging="180"/>
        </w:pPr>
      </w:lvl>
    </w:lvlOverride>
    <w:lvlOverride w:ilvl="2">
      <w:startOverride w:val="1"/>
      <w:lvl w:ilvl="2" w:tplc="E1CE542C">
        <w:start w:val="1"/>
        <w:numFmt w:val="decimal"/>
        <w:lvlText w:val="%3."/>
        <w:lvlJc w:val="right"/>
        <w:pPr>
          <w:ind w:left="1500" w:hanging="180"/>
        </w:pPr>
      </w:lvl>
    </w:lvlOverride>
    <w:lvlOverride w:ilvl="3">
      <w:startOverride w:val="1"/>
      <w:lvl w:ilvl="3" w:tplc="8342EDB4">
        <w:start w:val="1"/>
        <w:numFmt w:val="decimal"/>
        <w:lvlText w:val="%4."/>
        <w:lvlJc w:val="right"/>
        <w:pPr>
          <w:ind w:left="2000" w:hanging="180"/>
        </w:pPr>
      </w:lvl>
    </w:lvlOverride>
    <w:lvlOverride w:ilvl="4">
      <w:startOverride w:val="1"/>
      <w:lvl w:ilvl="4" w:tplc="AEDEE74E">
        <w:start w:val="1"/>
        <w:numFmt w:val="decimal"/>
        <w:lvlText w:val="%5."/>
        <w:lvlJc w:val="right"/>
        <w:pPr>
          <w:ind w:left="2500" w:hanging="180"/>
        </w:pPr>
      </w:lvl>
    </w:lvlOverride>
    <w:lvlOverride w:ilvl="5">
      <w:startOverride w:val="1"/>
      <w:lvl w:ilvl="5" w:tplc="2CFADCF4">
        <w:start w:val="1"/>
        <w:numFmt w:val="decimal"/>
        <w:lvlText w:val="%6."/>
        <w:lvlJc w:val="right"/>
        <w:pPr>
          <w:ind w:left="3000" w:hanging="180"/>
        </w:pPr>
      </w:lvl>
    </w:lvlOverride>
    <w:lvlOverride w:ilvl="6">
      <w:startOverride w:val="1"/>
      <w:lvl w:ilvl="6" w:tplc="18CA684C">
        <w:start w:val="1"/>
        <w:numFmt w:val="decimal"/>
        <w:lvlText w:val="%7."/>
        <w:lvlJc w:val="right"/>
        <w:pPr>
          <w:ind w:left="3500" w:hanging="180"/>
        </w:pPr>
      </w:lvl>
    </w:lvlOverride>
    <w:lvlOverride w:ilvl="7">
      <w:startOverride w:val="1"/>
      <w:lvl w:ilvl="7" w:tplc="8FB463B0">
        <w:start w:val="1"/>
        <w:numFmt w:val="decimal"/>
        <w:lvlText w:val="%8."/>
        <w:lvlJc w:val="right"/>
        <w:pPr>
          <w:ind w:left="4000" w:hanging="180"/>
        </w:pPr>
      </w:lvl>
    </w:lvlOverride>
    <w:lvlOverride w:ilvl="8">
      <w:startOverride w:val="1"/>
      <w:lvl w:ilvl="8" w:tplc="CD3AD250">
        <w:start w:val="1"/>
        <w:numFmt w:val="decimal"/>
        <w:lvlText w:val="%9."/>
        <w:lvlJc w:val="right"/>
        <w:pPr>
          <w:ind w:left="4500" w:hanging="180"/>
        </w:pPr>
      </w:lvl>
    </w:lvlOverride>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72E5"/>
    <w:rsid w:val="00051287"/>
    <w:rsid w:val="00056138"/>
    <w:rsid w:val="0005773C"/>
    <w:rsid w:val="00061BF5"/>
    <w:rsid w:val="0006290B"/>
    <w:rsid w:val="00090261"/>
    <w:rsid w:val="00096805"/>
    <w:rsid w:val="000A0D11"/>
    <w:rsid w:val="000A3060"/>
    <w:rsid w:val="000C3EDA"/>
    <w:rsid w:val="000E2E43"/>
    <w:rsid w:val="000E6F9C"/>
    <w:rsid w:val="000F7AA1"/>
    <w:rsid w:val="001069DC"/>
    <w:rsid w:val="00112F79"/>
    <w:rsid w:val="00121C60"/>
    <w:rsid w:val="00132830"/>
    <w:rsid w:val="00157D88"/>
    <w:rsid w:val="00176D31"/>
    <w:rsid w:val="00183F41"/>
    <w:rsid w:val="00190023"/>
    <w:rsid w:val="0019391F"/>
    <w:rsid w:val="00195576"/>
    <w:rsid w:val="001A2AE5"/>
    <w:rsid w:val="001A53A7"/>
    <w:rsid w:val="001A720F"/>
    <w:rsid w:val="001A7A4B"/>
    <w:rsid w:val="001E22B7"/>
    <w:rsid w:val="001F0F35"/>
    <w:rsid w:val="001F3DED"/>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306A70"/>
    <w:rsid w:val="003210DA"/>
    <w:rsid w:val="00323562"/>
    <w:rsid w:val="00325BB4"/>
    <w:rsid w:val="003436D6"/>
    <w:rsid w:val="00345D8F"/>
    <w:rsid w:val="003616D2"/>
    <w:rsid w:val="00366DB5"/>
    <w:rsid w:val="003672C0"/>
    <w:rsid w:val="003721F3"/>
    <w:rsid w:val="00394899"/>
    <w:rsid w:val="003D423F"/>
    <w:rsid w:val="003F1E43"/>
    <w:rsid w:val="003F2E85"/>
    <w:rsid w:val="003F3570"/>
    <w:rsid w:val="0040333A"/>
    <w:rsid w:val="00404C3C"/>
    <w:rsid w:val="0041775C"/>
    <w:rsid w:val="00420EC0"/>
    <w:rsid w:val="00424358"/>
    <w:rsid w:val="004259BF"/>
    <w:rsid w:val="00426191"/>
    <w:rsid w:val="004274E3"/>
    <w:rsid w:val="0043195C"/>
    <w:rsid w:val="00454E26"/>
    <w:rsid w:val="00466E17"/>
    <w:rsid w:val="00472210"/>
    <w:rsid w:val="00472A70"/>
    <w:rsid w:val="004749B4"/>
    <w:rsid w:val="004800FB"/>
    <w:rsid w:val="004803B4"/>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3915"/>
    <w:rsid w:val="005C493A"/>
    <w:rsid w:val="005E24C6"/>
    <w:rsid w:val="005E6C48"/>
    <w:rsid w:val="005F38F0"/>
    <w:rsid w:val="005F7858"/>
    <w:rsid w:val="005F7FF2"/>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21C98"/>
    <w:rsid w:val="0075539F"/>
    <w:rsid w:val="00766BAD"/>
    <w:rsid w:val="007723CB"/>
    <w:rsid w:val="007A4C10"/>
    <w:rsid w:val="007C4082"/>
    <w:rsid w:val="007D25FE"/>
    <w:rsid w:val="007D34AE"/>
    <w:rsid w:val="007F2102"/>
    <w:rsid w:val="007F32E8"/>
    <w:rsid w:val="007F3AAB"/>
    <w:rsid w:val="008110DE"/>
    <w:rsid w:val="00813945"/>
    <w:rsid w:val="0082499D"/>
    <w:rsid w:val="008425FA"/>
    <w:rsid w:val="0084701E"/>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5E78"/>
    <w:rsid w:val="00A37189"/>
    <w:rsid w:val="00A40C6D"/>
    <w:rsid w:val="00A46AB8"/>
    <w:rsid w:val="00A5734C"/>
    <w:rsid w:val="00A86183"/>
    <w:rsid w:val="00A91436"/>
    <w:rsid w:val="00A927B5"/>
    <w:rsid w:val="00AB2808"/>
    <w:rsid w:val="00AB3BCF"/>
    <w:rsid w:val="00AD0403"/>
    <w:rsid w:val="00AD214F"/>
    <w:rsid w:val="00AE4833"/>
    <w:rsid w:val="00AE7B71"/>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7FC8"/>
    <w:rsid w:val="00D10FD8"/>
    <w:rsid w:val="00D162FC"/>
    <w:rsid w:val="00D177EE"/>
    <w:rsid w:val="00D24F6F"/>
    <w:rsid w:val="00D32964"/>
    <w:rsid w:val="00D367BE"/>
    <w:rsid w:val="00D41228"/>
    <w:rsid w:val="00D60B33"/>
    <w:rsid w:val="00D742DA"/>
    <w:rsid w:val="00D7627B"/>
    <w:rsid w:val="00D7779A"/>
    <w:rsid w:val="00D9322D"/>
    <w:rsid w:val="00D9502B"/>
    <w:rsid w:val="00DA1E6F"/>
    <w:rsid w:val="00DA7204"/>
    <w:rsid w:val="00DB0584"/>
    <w:rsid w:val="00DB4111"/>
    <w:rsid w:val="00DD3AB3"/>
    <w:rsid w:val="00DE7BB9"/>
    <w:rsid w:val="00DF5E1F"/>
    <w:rsid w:val="00E03849"/>
    <w:rsid w:val="00E10C08"/>
    <w:rsid w:val="00E1280F"/>
    <w:rsid w:val="00E16359"/>
    <w:rsid w:val="00E2040E"/>
    <w:rsid w:val="00E305D2"/>
    <w:rsid w:val="00E40095"/>
    <w:rsid w:val="00E50FCC"/>
    <w:rsid w:val="00E5322C"/>
    <w:rsid w:val="00E560B7"/>
    <w:rsid w:val="00E607D7"/>
    <w:rsid w:val="00E60F77"/>
    <w:rsid w:val="00E80A71"/>
    <w:rsid w:val="00EB037A"/>
    <w:rsid w:val="00EB7762"/>
    <w:rsid w:val="00EE683F"/>
    <w:rsid w:val="00EF3203"/>
    <w:rsid w:val="00EF390A"/>
    <w:rsid w:val="00EF7F2D"/>
    <w:rsid w:val="00F26F64"/>
    <w:rsid w:val="00F33EAE"/>
    <w:rsid w:val="00F37A29"/>
    <w:rsid w:val="00F40A5D"/>
    <w:rsid w:val="00F54918"/>
    <w:rsid w:val="00F712D3"/>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10B8D"/>
  <w15:docId w15:val="{F6FC0B1B-F21C-42BB-8766-EE14E7BE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2"/>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3"/>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4"/>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5"/>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earch-and-innovation.ec.europa.eu/statistics/performance-indicators/european-innovation-scoreboard_en" TargetMode="External"/><Relationship Id="rId18" Type="http://schemas.openxmlformats.org/officeDocument/2006/relationships/hyperlink" Target="https://projects.research-and-innovation.ec.europa.eu/en/statistics/policy-support-facility/psf-challenge/mutual-learning-exercise-public-engagement-ri" TargetMode="External"/><Relationship Id="rId26" Type="http://schemas.openxmlformats.org/officeDocument/2006/relationships/hyperlink" Target="http://ec.europa.eu/research/participants/portal/desktop/en/home.html" TargetMode="External"/><Relationship Id="rId39" Type="http://schemas.openxmlformats.org/officeDocument/2006/relationships/header" Target="header3.xml"/><Relationship Id="rId21" Type="http://schemas.openxmlformats.org/officeDocument/2006/relationships/hyperlink" Target="https://research-and-innovation.ec.europa.eu/jobs-research/researchcomp-european-competence-framework-researchers_en" TargetMode="External"/><Relationship Id="rId34" Type="http://schemas.openxmlformats.org/officeDocument/2006/relationships/hyperlink" Target="https://european-research-area.ec.europa.e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search-and-innovation.ec.europa.eu/research-area/industrial-research-and-innovation/eu-valorisation-policy/knowledge-valorisation-platform_en" TargetMode="External"/><Relationship Id="rId20" Type="http://schemas.openxmlformats.org/officeDocument/2006/relationships/hyperlink" Target="https://www.coalition-s.org/" TargetMode="External"/><Relationship Id="rId29" Type="http://schemas.openxmlformats.org/officeDocument/2006/relationships/hyperlink" Target="https://european-research-area.ec.europa.eu/era-foru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ara.eu/" TargetMode="External"/><Relationship Id="rId24" Type="http://schemas.openxmlformats.org/officeDocument/2006/relationships/hyperlink" Target="https://research-and-innovation.ec.europa.eu/jobs-research/rm-comp-european-competence-framework-research-managers_en" TargetMode="External"/><Relationship Id="rId32" Type="http://schemas.openxmlformats.org/officeDocument/2006/relationships/hyperlink" Target="https://ec.europa.eu/era-talent-platform/"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mbassy.science/wiki/Main_Page" TargetMode="External"/><Relationship Id="rId23" Type="http://schemas.openxmlformats.org/officeDocument/2006/relationships/hyperlink" Target="https://research-and-innovation.ec.europa.eu/jobs-research/researchcomp-european-competence-framework-researchers_en" TargetMode="External"/><Relationship Id="rId28" Type="http://schemas.openxmlformats.org/officeDocument/2006/relationships/hyperlink" Target="http://ec.europa.eu/research/participants/portal/desktop/en/home.html" TargetMode="External"/><Relationship Id="rId36" Type="http://schemas.openxmlformats.org/officeDocument/2006/relationships/header" Target="header1.xml"/><Relationship Id="rId10" Type="http://schemas.openxmlformats.org/officeDocument/2006/relationships/hyperlink" Target="https://coara.eu/agreement/the-agreement-full-text/" TargetMode="External"/><Relationship Id="rId19" Type="http://schemas.openxmlformats.org/officeDocument/2006/relationships/hyperlink" Target="https://research-and-innovation.ec.europa.eu/research-area/industrial-research-and-innovation/eu-valorisation-policy/knowledge-valorisation-platform/guiding-principles-knowledge-valorisation-and-implementing-codes-practice/code-practice-citizen-engagement_en" TargetMode="External"/><Relationship Id="rId31" Type="http://schemas.openxmlformats.org/officeDocument/2006/relationships/hyperlink" Target="https://euraxess.ec.europa.eu/" TargetMode="External"/><Relationship Id="rId4" Type="http://schemas.openxmlformats.org/officeDocument/2006/relationships/settings" Target="settings.xml"/><Relationship Id="rId9" Type="http://schemas.openxmlformats.org/officeDocument/2006/relationships/hyperlink" Target="https://www.oecd.org/en/publications/2015/10/frascati-manual-2015_g1g57dcb.html" TargetMode="External"/><Relationship Id="rId14" Type="http://schemas.openxmlformats.org/officeDocument/2006/relationships/hyperlink" Target="https://www.oecd.org/en/publications/2015/10/frascati-manual-2015_g1g57dcb.html" TargetMode="External"/><Relationship Id="rId22" Type="http://schemas.openxmlformats.org/officeDocument/2006/relationships/hyperlink" Target="https://research-and-innovation.ec.europa.eu/jobs-research/rm-comp-european-competence-framework-research-managers_en" TargetMode="External"/><Relationship Id="rId27" Type="http://schemas.openxmlformats.org/officeDocument/2006/relationships/hyperlink" Target="http://ec.europa.eu/research/participants/portal/desktop/en/home.html" TargetMode="External"/><Relationship Id="rId30" Type="http://schemas.openxmlformats.org/officeDocument/2006/relationships/hyperlink" Target="https://european-research-area.ec.europa.eu" TargetMode="External"/><Relationship Id="rId35" Type="http://schemas.openxmlformats.org/officeDocument/2006/relationships/hyperlink" Target="https://ec.europa.eu/era-talent-platform/" TargetMode="External"/><Relationship Id="rId8" Type="http://schemas.openxmlformats.org/officeDocument/2006/relationships/hyperlink" Target="https://european-research-area.ec.europa.eu/era-horizon-europe" TargetMode="External"/><Relationship Id="rId3" Type="http://schemas.openxmlformats.org/officeDocument/2006/relationships/styles" Target="styles.xml"/><Relationship Id="rId12" Type="http://schemas.openxmlformats.org/officeDocument/2006/relationships/hyperlink" Target="https://embassy.science/wiki/Main_Page" TargetMode="External"/><Relationship Id="rId17" Type="http://schemas.openxmlformats.org/officeDocument/2006/relationships/hyperlink" Target="https://projects.research-and-innovation.ec.europa.eu/en/statistics/policy-support-facility/psf-challenge/mutual-learning-exercise-citizen-science-initiatives-policy-and-practice" TargetMode="External"/><Relationship Id="rId25" Type="http://schemas.openxmlformats.org/officeDocument/2006/relationships/hyperlink" Target="http://ec.europa.eu/research/participants/portal/desktop/en/home.html" TargetMode="External"/><Relationship Id="rId33" Type="http://schemas.openxmlformats.org/officeDocument/2006/relationships/hyperlink" Target="https://cordis.europa.eu/project/id/101058093"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s://ec.europa.eu/era-talent-platform/reico/" TargetMode="External"/><Relationship Id="rId21" Type="http://schemas.openxmlformats.org/officeDocument/2006/relationships/hyperlink" Target="https://cdn5.euraxess.org/sites/default/files/policy_library/towards_a_european_framework_for_research_careers_final.pdf" TargetMode="External"/><Relationship Id="rId42" Type="http://schemas.openxmlformats.org/officeDocument/2006/relationships/hyperlink" Target="https://cordis.europa.eu/programme/id/HORIZON_HORIZON-WIDERA-2021-ERA-01-91/en" TargetMode="External"/><Relationship Id="rId63" Type="http://schemas.openxmlformats.org/officeDocument/2006/relationships/hyperlink" Target="https://cordis.europa.eu/programme/id/H2020_SwafS-27-2017/en" TargetMode="External"/><Relationship Id="rId84" Type="http://schemas.openxmlformats.org/officeDocument/2006/relationships/hyperlink" Target="https://research-and-innovation.ec.europa.eu/strategy/strategy-research-and-innovation/jobs-and-economy/eu-startup-and-scaleup-strategy_en" TargetMode="External"/><Relationship Id="rId138" Type="http://schemas.openxmlformats.org/officeDocument/2006/relationships/hyperlink" Target="https://ec.europa.eu/info/funding-tenders/opportunities/portal/screen/opportunities/topic-details/horizon-widera-2023-era-01-06" TargetMode="External"/><Relationship Id="rId107" Type="http://schemas.openxmlformats.org/officeDocument/2006/relationships/hyperlink" Target="https://cordis.europa.eu/programme/id/H2020_SwafS-08-2017/en" TargetMode="External"/><Relationship Id="rId11" Type="http://schemas.openxmlformats.org/officeDocument/2006/relationships/hyperlink" Target="https://research-and-innovation.ec.europa.eu/jobs-research/rm-comp-european-competence-framework-research-managers_en" TargetMode="External"/><Relationship Id="rId32" Type="http://schemas.openxmlformats.org/officeDocument/2006/relationships/hyperlink" Target="https://cordis.europa.eu/programme/id/HORIZON_HORIZON-WIDERA-2024-ERA-01-08" TargetMode="External"/><Relationship Id="rId53" Type="http://schemas.openxmlformats.org/officeDocument/2006/relationships/hyperlink" Target="https://cordis.europa.eu/programme/id/HORIZON_HORIZON-WIDERA-2021-ERA-01-80/en" TargetMode="External"/><Relationship Id="rId74" Type="http://schemas.openxmlformats.org/officeDocument/2006/relationships/hyperlink" Target="https://www.greenlabs-nl.eu/" TargetMode="External"/><Relationship Id="rId128" Type="http://schemas.openxmlformats.org/officeDocument/2006/relationships/hyperlink" Target="https://ec.europa.eu/info/funding-tenders/opportunities/docs/2021-2027/horizon/guidance/ls-decision_he_en.pdf" TargetMode="External"/><Relationship Id="rId149" Type="http://schemas.openxmlformats.org/officeDocument/2006/relationships/hyperlink" Target="https://ec.europa.eu/transparency/expert-groups-register/screen/expert-groups/consult?lang=en&amp;groupID=103813" TargetMode="External"/><Relationship Id="rId5" Type="http://schemas.openxmlformats.org/officeDocument/2006/relationships/hyperlink" Target="https://commission.europa.eu/document/download/e6cd4328-673c-4e7a-8683-f63ffb2cf648_en?filename=PoliticalGuidelines2024-2029_EN.pdf" TargetMode="External"/><Relationship Id="rId95" Type="http://schemas.openxmlformats.org/officeDocument/2006/relationships/hyperlink" Target="https://ec.europa.eu/info/funding-tenders/opportunities/docs/2021-2027/horizon/guidance/ls-decision_he_en.pdf" TargetMode="External"/><Relationship Id="rId22" Type="http://schemas.openxmlformats.org/officeDocument/2006/relationships/hyperlink" Target="https://europa.eu/europass/en/create-europass-cv" TargetMode="External"/><Relationship Id="rId27" Type="http://schemas.openxmlformats.org/officeDocument/2006/relationships/hyperlink" Target="https://eur-lex.europa.eu/eli/C/2023/1640/oj" TargetMode="External"/><Relationship Id="rId43" Type="http://schemas.openxmlformats.org/officeDocument/2006/relationships/hyperlink" Target="https://cordis.europa.eu/programme/id/HORIZON_HORIZON-WIDERA-2022-ERA-01-91/en" TargetMode="External"/><Relationship Id="rId48" Type="http://schemas.openxmlformats.org/officeDocument/2006/relationships/hyperlink" Target="https://alf.website/en/who-we-are/" TargetMode="External"/><Relationship Id="rId64" Type="http://schemas.openxmlformats.org/officeDocument/2006/relationships/hyperlink" Target="https://cordis.europa.eu/programme/id/H2020_SwafS-03-2018/en" TargetMode="External"/><Relationship Id="rId69" Type="http://schemas.openxmlformats.org/officeDocument/2006/relationships/hyperlink" Target="https://cordis.europa.eu/programme/id/HORIZON_HORIZON-WIDERA-2023-ERA-01-12/en" TargetMode="External"/><Relationship Id="rId113" Type="http://schemas.openxmlformats.org/officeDocument/2006/relationships/hyperlink" Target="https://cordis.europa.eu/programme/id/H2020_SwafS-09-2018-2019-2020/en" TargetMode="External"/><Relationship Id="rId118" Type="http://schemas.openxmlformats.org/officeDocument/2006/relationships/hyperlink" Target="https://ec.europa.eu/info/funding-tenders/opportunities/docs/2021-2027/horizon/guidance/ls-decision_he_en.pdf" TargetMode="External"/><Relationship Id="rId134" Type="http://schemas.openxmlformats.org/officeDocument/2006/relationships/hyperlink" Target="https://commission.europa.eu/system/files/2019-03/communication-eu-china-a-strategic-outlook.pdf" TargetMode="External"/><Relationship Id="rId139" Type="http://schemas.openxmlformats.org/officeDocument/2006/relationships/hyperlink" Target="https://ec.europa.eu/commission/presscorner/detail/en/ip_23_4735" TargetMode="External"/><Relationship Id="rId80" Type="http://schemas.openxmlformats.org/officeDocument/2006/relationships/hyperlink" Target="https://www.nature.com/collections/efibjjgffj" TargetMode="External"/><Relationship Id="rId85" Type="http://schemas.openxmlformats.org/officeDocument/2006/relationships/hyperlink" Target="https://cordis.europa.eu/programme/id/HORIZON_HORIZON-WIDERA-2023-ERA-01-03" TargetMode="External"/><Relationship Id="rId150" Type="http://schemas.openxmlformats.org/officeDocument/2006/relationships/hyperlink" Target="https://cordis.europa.eu/project/id/741466" TargetMode="External"/><Relationship Id="rId155" Type="http://schemas.openxmlformats.org/officeDocument/2006/relationships/hyperlink" Target="https://research-and-innovation.ec.europa.eu/research-area/industrial-research-and-innovation/eu-valorisation-policy/knowledge-valorisation-platform/guiding-principles-knowledge-valorisation-and-implementing-codes-practice_en" TargetMode="External"/><Relationship Id="rId12" Type="http://schemas.openxmlformats.org/officeDocument/2006/relationships/hyperlink" Target="https://research-and-innovation.ec.europa.eu/jobs-research/rm-comp-european-competence-framework-research-managers_en" TargetMode="External"/><Relationship Id="rId17" Type="http://schemas.openxmlformats.org/officeDocument/2006/relationships/hyperlink" Target="https://ec.europa.eu/info/funding-tenders/opportunities/docs/2021-2027/horizon/guidance/ls-decision_he_en.pdf" TargetMode="External"/><Relationship Id="rId33" Type="http://schemas.openxmlformats.org/officeDocument/2006/relationships/hyperlink" Target="https://cordis.europa.eu/programme/id/HORIZON_HORIZON-WIDERA-2023-ERA-01-07/en" TargetMode="External"/><Relationship Id="rId38" Type="http://schemas.openxmlformats.org/officeDocument/2006/relationships/hyperlink" Target="https://cordis.europa.eu/programme/id/H2020_SwafS-27-2017/en" TargetMode="External"/><Relationship Id="rId59" Type="http://schemas.openxmlformats.org/officeDocument/2006/relationships/hyperlink" Target="https://ec.europa.eu/info/funding-tenders/opportunities/docs/2021-2027/horizon/guidance/ls-decision_he_en.pdf" TargetMode="External"/><Relationship Id="rId103" Type="http://schemas.openxmlformats.org/officeDocument/2006/relationships/hyperlink" Target="https://cordis.europa.eu/programme/id/HORIZON_HORIZON-WIDERA-2021-ERA-01-80/en" TargetMode="External"/><Relationship Id="rId108" Type="http://schemas.openxmlformats.org/officeDocument/2006/relationships/hyperlink" Target="https://cordis.europa.eu/programme/id/HORIZON_HORIZON-WIDERA-2021-ERA-01-80/en" TargetMode="External"/><Relationship Id="rId124" Type="http://schemas.openxmlformats.org/officeDocument/2006/relationships/hyperlink" Target="https://euraxess.ec.europa.eu/hrexcellenceaward" TargetMode="External"/><Relationship Id="rId129" Type="http://schemas.openxmlformats.org/officeDocument/2006/relationships/hyperlink" Target="https://ec.europa.eu/info/funding-tenders/opportunities/docs/2021-2027/horizon/guidance/ls-decision_he_en.pdf" TargetMode="External"/><Relationship Id="rId54" Type="http://schemas.openxmlformats.org/officeDocument/2006/relationships/hyperlink" Target="https://cordis.europa.eu/programme/id/HORIZON_HORIZON-WIDERA-2021-ERA-01-81/en" TargetMode="External"/><Relationship Id="rId70" Type="http://schemas.openxmlformats.org/officeDocument/2006/relationships/hyperlink" Target="https://cordis.europa.eu/programme/id/HORIZON_HORIZON-WIDERA-2024-ERA-01-12/en" TargetMode="External"/><Relationship Id="rId75" Type="http://schemas.openxmlformats.org/officeDocument/2006/relationships/hyperlink" Target="https://marie-sklodowska-curie-actions.ec.europa.eu/about-msca/msca-green-charter" TargetMode="External"/><Relationship Id="rId91" Type="http://schemas.openxmlformats.org/officeDocument/2006/relationships/hyperlink" Target="https://research-and-innovation.ec.europa.eu/funding/funding-opportunities/eucys_en" TargetMode="External"/><Relationship Id="rId96" Type="http://schemas.openxmlformats.org/officeDocument/2006/relationships/hyperlink" Target="https://cordis.europa.eu/programme/id/H2020_SwafS-18-2016/en" TargetMode="External"/><Relationship Id="rId140" Type="http://schemas.openxmlformats.org/officeDocument/2006/relationships/hyperlink" Target="https://eur-lex.europa.eu/legal-content/EN/TXT/?uri=celex:52025DC0030" TargetMode="External"/><Relationship Id="rId145" Type="http://schemas.openxmlformats.org/officeDocument/2006/relationships/hyperlink" Target="https://cordis.europa.eu/programme/id/H2020_SwafS-19-2016/en" TargetMode="External"/><Relationship Id="rId1" Type="http://schemas.openxmlformats.org/officeDocument/2006/relationships/hyperlink" Target="https://eur-lex.europa.eu/legal-content/EN/TXT/HTML/?uri=CELEX:52020DC0628&amp;from=EN" TargetMode="External"/><Relationship Id="rId6" Type="http://schemas.openxmlformats.org/officeDocument/2006/relationships/hyperlink" Target="https://research-and-innovation.ec.europa.eu/document/download/1bde0a38-7c86-4e6c-a4b8-7f9605d9e7e7_en?filename=com_2024_490_en.pdf" TargetMode="External"/><Relationship Id="rId23" Type="http://schemas.openxmlformats.org/officeDocument/2006/relationships/hyperlink" Target="https://research-and-innovation.ec.europa.eu/jobs-research/rm-comp-european-competence-framework-research-managers_en" TargetMode="External"/><Relationship Id="rId28" Type="http://schemas.openxmlformats.org/officeDocument/2006/relationships/hyperlink" Target="https://euraxess.ec.europa.eu/hrexcellenceaward/european-charter-researchers" TargetMode="External"/><Relationship Id="rId49" Type="http://schemas.openxmlformats.org/officeDocument/2006/relationships/hyperlink" Target="https://community.embassy.science/c/nerq/105" TargetMode="External"/><Relationship Id="rId114" Type="http://schemas.openxmlformats.org/officeDocument/2006/relationships/hyperlink" Target="https://geam.act-on-gender.eu/" TargetMode="External"/><Relationship Id="rId119" Type="http://schemas.openxmlformats.org/officeDocument/2006/relationships/hyperlink" Target="https://ec.europa.eu/info/funding-tenders/opportunities/docs/2021-2027/horizon/guidance/ls-decision_he_en.pdf" TargetMode="External"/><Relationship Id="rId44" Type="http://schemas.openxmlformats.org/officeDocument/2006/relationships/hyperlink" Target="https://cordis.europa.eu/programme/id/HORIZON_HORIZON-WIDERA-2023-ERA-01-12/en" TargetMode="External"/><Relationship Id="rId60" Type="http://schemas.openxmlformats.org/officeDocument/2006/relationships/hyperlink" Target="https://ec.europa.eu/info/funding-tenders/opportunities/docs/2021-2027/horizon/guidance/ls-decision_he_en.pdf" TargetMode="External"/><Relationship Id="rId65" Type="http://schemas.openxmlformats.org/officeDocument/2006/relationships/hyperlink" Target="https://cordis.europa.eu/programme/id/H2020_SwafS-29-2020/en" TargetMode="External"/><Relationship Id="rId81" Type="http://schemas.openxmlformats.org/officeDocument/2006/relationships/hyperlink" Target="https://op.europa.eu/en/publication-detail/-/publication/42086c26-e8fe-11ef-b5e9-01aa75ed71a1" TargetMode="External"/><Relationship Id="rId86" Type="http://schemas.openxmlformats.org/officeDocument/2006/relationships/hyperlink" Target="https://cordis.europa.eu/programme/id/HORIZON_HORIZON-WIDERA-2024-ERA-01-05" TargetMode="External"/><Relationship Id="rId130" Type="http://schemas.openxmlformats.org/officeDocument/2006/relationships/hyperlink" Target="https://projects.research-and-innovation.ec.europa.eu/en/statistics/policy-support-facility/psf-challenge/mutual-learning-exercise-public-engagement-ri" TargetMode="External"/><Relationship Id="rId135" Type="http://schemas.openxmlformats.org/officeDocument/2006/relationships/hyperlink" Target="https://research-and-innovation.ec.europa.eu/strategy/strategy-research-and-innovation/europe-world/international-cooperation/strategic-autonomy-and-european-economic-and-research-security_en" TargetMode="External"/><Relationship Id="rId151" Type="http://schemas.openxmlformats.org/officeDocument/2006/relationships/hyperlink" Target="https://cordis.europa.eu/project/id/101058093" TargetMode="External"/><Relationship Id="rId13" Type="http://schemas.openxmlformats.org/officeDocument/2006/relationships/hyperlink" Target="https://ec.europa.eu/info/funding-tenders/opportunities/docs/2021-2027/horizon/guidance/ls-decision_he_en.pdf" TargetMode="External"/><Relationship Id="rId18" Type="http://schemas.openxmlformats.org/officeDocument/2006/relationships/hyperlink" Target="https://europa.eu/europass/en/create-europass-cv" TargetMode="External"/><Relationship Id="rId39" Type="http://schemas.openxmlformats.org/officeDocument/2006/relationships/hyperlink" Target="https://cordis.europa.eu/programme/id/H2020_SwafS-03-2018/en" TargetMode="External"/><Relationship Id="rId109" Type="http://schemas.openxmlformats.org/officeDocument/2006/relationships/hyperlink" Target="https://cordis.europa.eu/programme/id/HORIZON_HORIZON-WIDERA-2021-ERA-01-81/en" TargetMode="External"/><Relationship Id="rId34" Type="http://schemas.openxmlformats.org/officeDocument/2006/relationships/hyperlink" Target="https://cordis.europa.eu/programme/id/HORIZON_HORIZON-INFRA-2022-EOSC-01-01/en" TargetMode="External"/><Relationship Id="rId50" Type="http://schemas.openxmlformats.org/officeDocument/2006/relationships/hyperlink" Target="https://eige.europa.eu/gender-mainstreaming/toolkits/gear?language_content_entity=en" TargetMode="External"/><Relationship Id="rId55" Type="http://schemas.openxmlformats.org/officeDocument/2006/relationships/hyperlink" Target="https://cordis.europa.eu/programme/id/HORIZON_HORIZON-WIDERA-2024-ERA-01-11/en" TargetMode="External"/><Relationship Id="rId76" Type="http://schemas.openxmlformats.org/officeDocument/2006/relationships/hyperlink" Target="https://sels-network.org/" TargetMode="External"/><Relationship Id="rId97" Type="http://schemas.openxmlformats.org/officeDocument/2006/relationships/hyperlink" Target="https://cordis.europa.eu/programme/id/HORIZON_HORIZON-WIDERA-2024-ERA-01-12/en" TargetMode="External"/><Relationship Id="rId104" Type="http://schemas.openxmlformats.org/officeDocument/2006/relationships/hyperlink" Target="https://cordis.europa.eu/programme/id/HORIZON_HORIZON-WIDERA-2022-ERA-01-80/en" TargetMode="External"/><Relationship Id="rId120" Type="http://schemas.openxmlformats.org/officeDocument/2006/relationships/hyperlink" Target="https://ec.europa.eu/info/funding-tenders/opportunities/docs/2021-2027/horizon/guidance/ls-decision_he_en.pdf" TargetMode="External"/><Relationship Id="rId125" Type="http://schemas.openxmlformats.org/officeDocument/2006/relationships/hyperlink" Target="https://research-and-innovation.ec.europa.eu/funding/funding-opportunities/eucys_en" TargetMode="External"/><Relationship Id="rId141" Type="http://schemas.openxmlformats.org/officeDocument/2006/relationships/hyperlink" Target="https://european-union.europa.eu/principles-countries-history/eu-enlargement_en" TargetMode="External"/><Relationship Id="rId146" Type="http://schemas.openxmlformats.org/officeDocument/2006/relationships/hyperlink" Target="https://cordis.europa.eu/programme/id/H2020_SwafS-08-2017/en" TargetMode="External"/><Relationship Id="rId7" Type="http://schemas.openxmlformats.org/officeDocument/2006/relationships/hyperlink" Target="https://european-research-area.ec.europa.eu/era-policy-agenda-2025-2027" TargetMode="External"/><Relationship Id="rId71" Type="http://schemas.openxmlformats.org/officeDocument/2006/relationships/hyperlink" Target="https://cordis.europa.eu/article/id/450170-ethics-and-integrity-building-bridges-for-trust-and-excellence-in-research-and-innovation" TargetMode="External"/><Relationship Id="rId92" Type="http://schemas.openxmlformats.org/officeDocument/2006/relationships/hyperlink" Target="https://research-and-innovation.ec.europa.eu/funding/funding-opportunities/eu-talenton_en" TargetMode="External"/><Relationship Id="rId2" Type="http://schemas.openxmlformats.org/officeDocument/2006/relationships/hyperlink" Target="https://research-and-innovation.ec.europa.eu/document/download/1bde0a38-7c86-4e6c-a4b8-7f9605d9e7e7_en?filename=com_2024_490_en.pdf" TargetMode="External"/><Relationship Id="rId29" Type="http://schemas.openxmlformats.org/officeDocument/2006/relationships/hyperlink" Target="https://cordis.europa.eu/programme/id/HORIZON_HORIZON-WIDERA-2021-ERA-01-43" TargetMode="External"/><Relationship Id="rId24" Type="http://schemas.openxmlformats.org/officeDocument/2006/relationships/hyperlink" Target="https://eur-lex.europa.eu/legal-content/EN/TXT/HTML/?uri=CELEX:52020DC0628&amp;from=EN" TargetMode="External"/><Relationship Id="rId40" Type="http://schemas.openxmlformats.org/officeDocument/2006/relationships/hyperlink" Target="https://cordis.europa.eu/programme/id/H2020_SwafS-29-2020/en" TargetMode="External"/><Relationship Id="rId45" Type="http://schemas.openxmlformats.org/officeDocument/2006/relationships/hyperlink" Target="https://cordis.europa.eu/programme/id/HORIZON_HORIZON-WIDERA-2024-ERA-01-12/en" TargetMode="External"/><Relationship Id="rId66" Type="http://schemas.openxmlformats.org/officeDocument/2006/relationships/hyperlink" Target="https://cordis.europa.eu/programme/id/HORIZON_HORIZON-WIDERA-2021-ERA-01-90/en" TargetMode="External"/><Relationship Id="rId87" Type="http://schemas.openxmlformats.org/officeDocument/2006/relationships/hyperlink" Target="https://ec.europa.eu/info/funding-tenders/opportunities/docs/2021-2027/horizon/guidance/ls-decision_he_en.pdf" TargetMode="External"/><Relationship Id="rId110" Type="http://schemas.openxmlformats.org/officeDocument/2006/relationships/hyperlink" Target="https://cordis.europa.eu/project/id/101094391" TargetMode="External"/><Relationship Id="rId115" Type="http://schemas.openxmlformats.org/officeDocument/2006/relationships/hyperlink" Target="https://ec.europa.eu/transparency/expert-groups-register/screen/expert-groups/consult?lang=en&amp;groupID=103813" TargetMode="External"/><Relationship Id="rId131" Type="http://schemas.openxmlformats.org/officeDocument/2006/relationships/hyperlink" Target="https://projects.research-and-innovation.ec.europa.eu/en/statistics/policy-support-facility/psf-challenge/mutual-learning-exercise-citizen-science-initiatives-policy-and-practice" TargetMode="External"/><Relationship Id="rId136" Type="http://schemas.openxmlformats.org/officeDocument/2006/relationships/hyperlink" Target="https://eur-lex.europa.eu/legal-content/EN/TXT/?uri=celex:52025DC0030" TargetMode="External"/><Relationship Id="rId61" Type="http://schemas.openxmlformats.org/officeDocument/2006/relationships/hyperlink" Target="https://european-code-of-conduct-for-research-integrity_horizon_en.pdf" TargetMode="External"/><Relationship Id="rId82" Type="http://schemas.openxmlformats.org/officeDocument/2006/relationships/hyperlink" Target="https://ec.europa.eu/info/funding-tenders/opportunities/docs/2021-2027/horizon/guidance/ls-decision_he_en.pdf" TargetMode="External"/><Relationship Id="rId152" Type="http://schemas.openxmlformats.org/officeDocument/2006/relationships/hyperlink" Target="https://euraxess.ec.europa.eu/jobs/hrs4r" TargetMode="External"/><Relationship Id="rId19" Type="http://schemas.openxmlformats.org/officeDocument/2006/relationships/hyperlink" Target="http://eur-lex.europa.eu/legal-content/EN/TXT/?uri=COM:2012:0392:FIN" TargetMode="External"/><Relationship Id="rId14" Type="http://schemas.openxmlformats.org/officeDocument/2006/relationships/hyperlink" Target="https://ec.europa.eu/info/funding-tenders/opportunities/docs/2021-2027/horizon/guidance/ls-decision_he_en.pdf" TargetMode="External"/><Relationship Id="rId30" Type="http://schemas.openxmlformats.org/officeDocument/2006/relationships/hyperlink" Target="https://cordis.europa.eu/programme/id/HORIZON_HORIZON-WIDERA-2022-ERA-01-42" TargetMode="External"/><Relationship Id="rId35" Type="http://schemas.openxmlformats.org/officeDocument/2006/relationships/hyperlink" Target="https://cordis.europa.eu/programme/id/HORIZON_HORIZON-WIDERA-2021-ERA-01-45/en" TargetMode="External"/><Relationship Id="rId56" Type="http://schemas.openxmlformats.org/officeDocument/2006/relationships/hyperlink" Target="https://cordis.europa.eu/project/id/824612" TargetMode="External"/><Relationship Id="rId77" Type="http://schemas.openxmlformats.org/officeDocument/2006/relationships/hyperlink" Target="https://scienceeurope.org/our-priorities/greening-research/working-group/" TargetMode="External"/><Relationship Id="rId100" Type="http://schemas.openxmlformats.org/officeDocument/2006/relationships/hyperlink" Target="https://allea.org/" TargetMode="External"/><Relationship Id="rId105" Type="http://schemas.openxmlformats.org/officeDocument/2006/relationships/hyperlink" Target="https://www.oecd.org/content/dam/oecd/en/publications/reports/2015/10/frascati-manual-2015_g1g57dcb/9789264239012-en.pdf" TargetMode="External"/><Relationship Id="rId126" Type="http://schemas.openxmlformats.org/officeDocument/2006/relationships/hyperlink" Target="https://research-and-innovation.ec.europa.eu/funding/funding-opportunities/eu-talenton_en" TargetMode="External"/><Relationship Id="rId147" Type="http://schemas.openxmlformats.org/officeDocument/2006/relationships/hyperlink" Target="https://cordis.europa.eu/programme/id/HORIZON_HORIZON-WIDERA-2021-ERA-01-80/en" TargetMode="External"/><Relationship Id="rId8" Type="http://schemas.openxmlformats.org/officeDocument/2006/relationships/hyperlink" Target="https://data.europa.eu/doi/10.2777/092911" TargetMode="External"/><Relationship Id="rId51" Type="http://schemas.openxmlformats.org/officeDocument/2006/relationships/hyperlink" Target="https://cordis.europa.eu/programme/id/H2020_SwafS-13-2018/en" TargetMode="External"/><Relationship Id="rId72" Type="http://schemas.openxmlformats.org/officeDocument/2006/relationships/hyperlink" Target="https://cordis.europa.eu/programme/id/HORIZON_HORIZON-INFRA-2022-EOSC-01-04/en" TargetMode="External"/><Relationship Id="rId93" Type="http://schemas.openxmlformats.org/officeDocument/2006/relationships/hyperlink" Target="https://marie-sklodowska-curie-actions.ec.europa.eu/actions/msca-citizens" TargetMode="External"/><Relationship Id="rId98" Type="http://schemas.openxmlformats.org/officeDocument/2006/relationships/hyperlink" Target="https://embassy.science/wiki/Main_Page" TargetMode="External"/><Relationship Id="rId121" Type="http://schemas.openxmlformats.org/officeDocument/2006/relationships/hyperlink" Target="https://ec.europa.eu/info/funding-tenders/opportunities/docs/2021-2027/horizon/guidance/ls-decision_he_en.pdf" TargetMode="External"/><Relationship Id="rId142" Type="http://schemas.openxmlformats.org/officeDocument/2006/relationships/hyperlink" Target="https://european-union.europa.eu/principles-countries-history/eu-enlargement_en" TargetMode="External"/><Relationship Id="rId3" Type="http://schemas.openxmlformats.org/officeDocument/2006/relationships/hyperlink" Target="https://eur-lex.europa.eu/legal-content/EN/TXT/?uri=celex:52025DC0030" TargetMode="External"/><Relationship Id="rId25" Type="http://schemas.openxmlformats.org/officeDocument/2006/relationships/hyperlink" Target="https://eur-lex.europa.eu/legal-content/EN/TXT/PDF/?uri=CELEX:32021H2122" TargetMode="External"/><Relationship Id="rId46" Type="http://schemas.openxmlformats.org/officeDocument/2006/relationships/hyperlink" Target="https://cordis.europa.eu/article/id/450170-ethics-and-integrity-building-bridges-for-trust-and-excellence-in-research-and-innovation" TargetMode="External"/><Relationship Id="rId67" Type="http://schemas.openxmlformats.org/officeDocument/2006/relationships/hyperlink" Target="https://cordis.europa.eu/programme/id/HORIZON_HORIZON-WIDERA-2021-ERA-01-91/en" TargetMode="External"/><Relationship Id="rId116" Type="http://schemas.openxmlformats.org/officeDocument/2006/relationships/hyperlink" Target="https://ec.europa.eu/eurostat/databrowser/view/rd_p_persocc/default/table?lang=en" TargetMode="External"/><Relationship Id="rId137" Type="http://schemas.openxmlformats.org/officeDocument/2006/relationships/hyperlink" Target="https://ec.europa.eu/info/funding-tenders/opportunities/portal/screen/opportunities/topic-details/horizon-cl2-2021-transformations-01-07" TargetMode="External"/><Relationship Id="rId20" Type="http://schemas.openxmlformats.org/officeDocument/2006/relationships/hyperlink" Target="http://eur-lex.europa.eu/eli/reco/2005/251/oj" TargetMode="External"/><Relationship Id="rId41" Type="http://schemas.openxmlformats.org/officeDocument/2006/relationships/hyperlink" Target="https://cordis.europa.eu/programme/id/HORIZON_HORIZON-WIDERA-2021-ERA-01-90/en" TargetMode="External"/><Relationship Id="rId62" Type="http://schemas.openxmlformats.org/officeDocument/2006/relationships/hyperlink" Target="https://www.globalcodeofconduct.org/" TargetMode="External"/><Relationship Id="rId83" Type="http://schemas.openxmlformats.org/officeDocument/2006/relationships/hyperlink" Target="https://ec.europa.eu/info/funding-tenders/opportunities/docs/2021-2027/horizon/guidance/ls-decision_he_en.pdf" TargetMode="External"/><Relationship Id="rId88" Type="http://schemas.openxmlformats.org/officeDocument/2006/relationships/hyperlink" Target="https://ec.europa.eu/info/funding-tenders/opportunities/docs/2021-2027/horizon/guidance/ls-decision_he_en.pdf" TargetMode="External"/><Relationship Id="rId111" Type="http://schemas.openxmlformats.org/officeDocument/2006/relationships/hyperlink" Target="https://cordis.europa.eu/programme/id/HORIZON_HORIZON-WIDERA-2022-ERA-01-81/en" TargetMode="External"/><Relationship Id="rId132" Type="http://schemas.openxmlformats.org/officeDocument/2006/relationships/hyperlink" Target="https://ec.europa.eu/info/funding-tenders/opportunities/docs/2021-2027/horizon/guidance/ls-decision_he_en.pdf" TargetMode="External"/><Relationship Id="rId153" Type="http://schemas.openxmlformats.org/officeDocument/2006/relationships/hyperlink" Target="https://eur-lex.europa.eu/eli/C/2023/1640/oj" TargetMode="External"/><Relationship Id="rId15" Type="http://schemas.openxmlformats.org/officeDocument/2006/relationships/hyperlink" Target="https://eic.ec.europa.eu/eic-funding-opportunities/business-acceleration-services_en" TargetMode="External"/><Relationship Id="rId36" Type="http://schemas.openxmlformats.org/officeDocument/2006/relationships/hyperlink" Target="https://ec.europa.eu/info/funding-tenders/opportunities/docs/2021-2027/horizon/guidance/ls-decision_he_en.pdf" TargetMode="External"/><Relationship Id="rId57" Type="http://schemas.openxmlformats.org/officeDocument/2006/relationships/hyperlink" Target="https://cordis.europa.eu/programme/id/H2020_SwafS-20-2018-2019/en" TargetMode="External"/><Relationship Id="rId106" Type="http://schemas.openxmlformats.org/officeDocument/2006/relationships/hyperlink" Target="https://cordis.europa.eu/programme/id/H2020_SwafS-02-2016/en" TargetMode="External"/><Relationship Id="rId127" Type="http://schemas.openxmlformats.org/officeDocument/2006/relationships/hyperlink" Target="https://marie-sklodowska-curie-actions.ec.europa.eu/actions/msca-citizens" TargetMode="External"/><Relationship Id="rId10" Type="http://schemas.openxmlformats.org/officeDocument/2006/relationships/hyperlink" Target="https://ec.europa.eu/info/funding-tenders/opportunities/docs/2021-2027/horizon/guidance/ls-decision_he_en.pdf" TargetMode="External"/><Relationship Id="rId31" Type="http://schemas.openxmlformats.org/officeDocument/2006/relationships/hyperlink" Target="https://cordis.europa.eu/programme/id/HORIZON_HORIZON-INFRA-2022-EOSC-01-02" TargetMode="External"/><Relationship Id="rId52" Type="http://schemas.openxmlformats.org/officeDocument/2006/relationships/hyperlink" Target="https://cordis.europa.eu/programme/id/H2020_SwafS-08-2017/en" TargetMode="External"/><Relationship Id="rId73" Type="http://schemas.openxmlformats.org/officeDocument/2006/relationships/hyperlink" Target="https://cordis.europa.eu/programme/id/HORIZON_HORIZON-WIDERA-2021-ERA-01-41/en" TargetMode="External"/><Relationship Id="rId78" Type="http://schemas.openxmlformats.org/officeDocument/2006/relationships/hyperlink" Target="https://zenodo.org/records/13938809" TargetMode="External"/><Relationship Id="rId94" Type="http://schemas.openxmlformats.org/officeDocument/2006/relationships/hyperlink" Target="https://ec.europa.eu/info/funding-tenders/opportunities/docs/2021-2027/horizon/guidance/ls-decision_he_en.pdf" TargetMode="External"/><Relationship Id="rId99" Type="http://schemas.openxmlformats.org/officeDocument/2006/relationships/hyperlink" Target="https://eurecnet.eu/" TargetMode="External"/><Relationship Id="rId101" Type="http://schemas.openxmlformats.org/officeDocument/2006/relationships/hyperlink" Target="https://iri.jrc.ec.europa.eu/scoreboard" TargetMode="External"/><Relationship Id="rId122" Type="http://schemas.openxmlformats.org/officeDocument/2006/relationships/hyperlink" Target="https://eur-lex.europa.eu/eli/C/2023/1640/oj" TargetMode="External"/><Relationship Id="rId143" Type="http://schemas.openxmlformats.org/officeDocument/2006/relationships/hyperlink" Target="https://cordis.europa.eu/programme/id/HORIZON_HORIZON-WIDERA-2023-ERA-01-02/en" TargetMode="External"/><Relationship Id="rId148" Type="http://schemas.openxmlformats.org/officeDocument/2006/relationships/hyperlink" Target="https://cordis.europa.eu/programme/id/HORIZON_HORIZON-WIDERA-2024-ERA-01-11/en" TargetMode="External"/><Relationship Id="rId4" Type="http://schemas.openxmlformats.org/officeDocument/2006/relationships/hyperlink" Target="https://eur-lex.europa.eu/legal-content/EN/TXT/PDF/?uri=CELEX:32021H2122" TargetMode="External"/><Relationship Id="rId9" Type="http://schemas.openxmlformats.org/officeDocument/2006/relationships/hyperlink" Target="https://ec.europa.eu/info/funding-tenders/opportunities/docs/2021-2027/horizon/guidance/ls-decision_he_en.pdf" TargetMode="External"/><Relationship Id="rId26" Type="http://schemas.openxmlformats.org/officeDocument/2006/relationships/hyperlink" Target="https://european-research-area.ec.europa.eu/era-policy-agenda-2025-2027" TargetMode="External"/><Relationship Id="rId47" Type="http://schemas.openxmlformats.org/officeDocument/2006/relationships/hyperlink" Target="https://eneri.eu/" TargetMode="External"/><Relationship Id="rId68" Type="http://schemas.openxmlformats.org/officeDocument/2006/relationships/hyperlink" Target="https://cordis.europa.eu/programme/id/HORIZON_HORIZON-WIDERA-2022-ERA-01-91/en" TargetMode="External"/><Relationship Id="rId89" Type="http://schemas.openxmlformats.org/officeDocument/2006/relationships/hyperlink" Target="https://cordis.europa.eu/programme/id/HORIZON_HORIZON-WIDERA-2022-ERA-01-40/en" TargetMode="External"/><Relationship Id="rId112" Type="http://schemas.openxmlformats.org/officeDocument/2006/relationships/hyperlink" Target="https://cordis.europa.eu/project/id/873072" TargetMode="External"/><Relationship Id="rId133" Type="http://schemas.openxmlformats.org/officeDocument/2006/relationships/hyperlink" Target="https://ec.europa.eu/info/funding-tenders/opportunities/docs/2021-2027/horizon/guidance/ls-decision_he_en.pdf" TargetMode="External"/><Relationship Id="rId154" Type="http://schemas.openxmlformats.org/officeDocument/2006/relationships/hyperlink" Target="https://ec.europa.eu/research-and-innovation/en/statistics/policy-support-facility" TargetMode="External"/><Relationship Id="rId16" Type="http://schemas.openxmlformats.org/officeDocument/2006/relationships/hyperlink" Target="https://ec.europa.eu/info/funding-tenders/opportunities/docs/2021-2027/horizon/guidance/ls-decision_he_en.pdf" TargetMode="External"/><Relationship Id="rId37" Type="http://schemas.openxmlformats.org/officeDocument/2006/relationships/hyperlink" Target="https://ec.europa.eu/info/funding-tenders/opportunities/docs/2021-2027/horizon/guidance/ls-decision_he_en.pdf" TargetMode="External"/><Relationship Id="rId58" Type="http://schemas.openxmlformats.org/officeDocument/2006/relationships/hyperlink" Target="https://cordis.europa.eu/programme/id/HORIZON_HORIZON-WIDERA-2022-ERA-01-44/en" TargetMode="External"/><Relationship Id="rId79" Type="http://schemas.openxmlformats.org/officeDocument/2006/relationships/hyperlink" Target="https://allea.org/wp-content/uploads/2022/05/ALLEA-Report-Towards-Climate-Sustainability-of-the-Academic-System.pdf" TargetMode="External"/><Relationship Id="rId102" Type="http://schemas.openxmlformats.org/officeDocument/2006/relationships/hyperlink" Target="https://cordis.europa.eu/programme/id/H2020_SwafS-26-2020/en" TargetMode="External"/><Relationship Id="rId123" Type="http://schemas.openxmlformats.org/officeDocument/2006/relationships/hyperlink" Target="https://cordis.europa.eu/programme/id/HORIZON_HORIZON-WIDERA-2024-ERA-02-03" TargetMode="External"/><Relationship Id="rId144" Type="http://schemas.openxmlformats.org/officeDocument/2006/relationships/hyperlink" Target="https://cordis.europa.eu/programme/id/HORIZON_HORIZON-WIDERA-2023-ERA-01-05/en" TargetMode="External"/><Relationship Id="rId90" Type="http://schemas.openxmlformats.org/officeDocument/2006/relationships/hyperlink" Target="https://cordis.europa.eu/programme/id/HORIZON_HORIZON-WIDERA-2022-ERA-01-6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133</Pages>
  <Words>39798</Words>
  <Characters>242371</Characters>
  <Application>Microsoft Office Word</Application>
  <DocSecurity>0</DocSecurity>
  <Lines>5156</Lines>
  <Paragraphs>2453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279716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ABBATE Raffaela (RTD)</cp:lastModifiedBy>
  <cp:revision>27</cp:revision>
  <dcterms:created xsi:type="dcterms:W3CDTF">2017-03-09T12:11:00Z</dcterms:created>
  <dcterms:modified xsi:type="dcterms:W3CDTF">2026-07-27T16:43:00Z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ntext">
    <vt:lpwstr>Context</vt:lpwstr>
  </property>
  <property fmtid="{D5CDD505-2E9C-101B-9397-08002B2CF9AE}" pid="4" name="WP">
    <vt:lpwstr>WP</vt:lpwstr>
  </property>
  <property fmtid="{D5CDD505-2E9C-101B-9397-08002B2CF9AE}" pid="5" name="WPTitle">
    <vt:lpwstr>WP Title</vt:lpwstr>
  </property>
  <property fmtid="{D5CDD505-2E9C-101B-9397-08002B2CF9AE}" pid="6" name="MSIP_Label_6bd9ddd1-4d20-43f6-abfa-fc3c07406f94_Enabled">
    <vt:lpwstr>true</vt:lpwstr>
  </property>
  <property fmtid="{D5CDD505-2E9C-101B-9397-08002B2CF9AE}" pid="7" name="MSIP_Label_6bd9ddd1-4d20-43f6-abfa-fc3c07406f94_SetDate">
    <vt:lpwstr>2026-07-02T11:24:03Z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5c9bb1d5-4e3b-4ad0-a07e-534f3a166354</vt:lpwstr>
  </property>
  <property fmtid="{D5CDD505-2E9C-101B-9397-08002B2CF9AE}" pid="12" name="MSIP_Label_6bd9ddd1-4d20-43f6-abfa-fc3c07406f94_ContentBits">
    <vt:lpwstr>0</vt:lpwstr>
  </property>
  <property fmtid="{D5CDD505-2E9C-101B-9397-08002B2CF9AE}" pid="13" name="MSIP_Label_6bd9ddd1-4d20-43f6-abfa-fc3c07406f94_Tag">
    <vt:lpwstr>10, 3, 0, 1</vt:lpwstr>
  </property>
</Properties>
</file>