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Part B-1</w:t>
      </w:r>
    </w:p>
    <w:p>
      <w:pPr>
        <w:spacing w:before="160"/>
      </w:pPr>
      <w:r>
        <w:rPr>
          <w:rFonts w:ascii="Times New Roman" w:hAnsi="Times New Roman"/>
          <w:b/>
          <w:sz w:val="25"/>
        </w:rPr>
        <w:t>1. Excellence</w:t>
      </w:r>
    </w:p>
    <w:p>
      <w:pPr>
        <w:spacing w:before="120"/>
      </w:pPr>
      <w:r>
        <w:rPr>
          <w:rFonts w:ascii="Times New Roman" w:hAnsi="Times New Roman"/>
          <w:b/>
          <w:sz w:val="22"/>
        </w:rPr>
        <w:t>1.1 Quality and pertinence of the project's research and innovation objectives (and the extent to which they are ambitious, and go beyond the state of the art)</w:t>
      </w:r>
    </w:p>
    <w:p>
      <w:pPr>
        <w:jc w:val="both"/>
      </w:pPr>
      <w:r>
        <w:rPr>
          <w:rFonts w:ascii="Times New Roman" w:hAnsi="Times New Roman"/>
          <w:b/>
          <w:sz w:val="22"/>
        </w:rPr>
        <w:t xml:space="preserve">Problem and overarching aim. </w:t>
      </w:r>
      <w:r>
        <w:rPr>
          <w:rFonts w:ascii="Times New Roman" w:hAnsi="Times New Roman"/>
          <w:b w:val="0"/>
          <w:sz w:val="22"/>
        </w:rPr>
        <w:t>Irrigation decisions in high-value horticulture are still frequently taken from delayed visual symptoms, isolated sensor thresholds or retrospective crop-performance records. Water scarcity and climatic variability raise the cost of every wrong decision. FIELDWISE answers this with a 30-month MSCA European Postdoctoral Fellowship hosted at HUN-REN Agrartudomanyi Kutatokozpont (ATK), Martonvásár, Hungary, carried out by Dr. Rositsa Cholakova. The action asks one question. Can a water-stress signal discovered in a data-rich processing-tomato system remain biologically meaningful across seasons and sensing scales, survive prospective validation under real farmer conditions, and be encoded in a crop-configurable decision-support framework? The evidence base is an existing five-season archive rather than a new campaign, and inter-sectoral exposure runs through an integral end-of-project non-academic placement.</w:t>
      </w:r>
    </w:p>
    <w:p>
      <w:pPr>
        <w:jc w:val="both"/>
      </w:pPr>
      <w:r>
        <w:rPr>
          <w:rFonts w:ascii="Times New Roman" w:hAnsi="Times New Roman"/>
          <w:b/>
          <w:sz w:val="22"/>
        </w:rPr>
        <w:t xml:space="preserve">Pertinence. </w:t>
      </w:r>
      <w:r>
        <w:rPr>
          <w:rFonts w:ascii="Times New Roman" w:hAnsi="Times New Roman"/>
          <w:b w:val="0"/>
          <w:sz w:val="22"/>
        </w:rPr>
        <w:t>The objectives are pertinent in two linked senses. Scientifically, they close three focused gaps: the physiological grounding of water-stress indicators, transferability across unseen conditions, scales and crops, and irrigation decision relevance. Spectral and environmental variables are too often treated as stress proxies without evidence that they track an actual plant response</w:t>
      </w:r>
      <w:r>
        <w:rPr>
          <w:rFonts w:ascii="Times New Roman" w:hAnsi="Times New Roman"/>
          <w:sz w:val="22"/>
          <w:vertAlign w:val="superscript"/>
        </w:rPr>
        <w:footnoteReference w:id="1"/>
      </w:r>
      <w:r>
        <w:rPr>
          <w:rFonts w:ascii="Times New Roman" w:hAnsi="Times New Roman"/>
          <w:b w:val="0"/>
          <w:sz w:val="22"/>
        </w:rPr>
        <w:t>. In career terms, the same objectives carry the fellow's documented transition from plant physiologist and agronomist toward an independent Agricultural Data Scientist. These are the interdisciplinary and inter-sectoral competences the call's expected outcomes seek, so the scientific and career objectives reinforce one another.</w:t>
      </w:r>
    </w:p>
    <w:p>
      <w:pPr>
        <w:jc w:val="both"/>
      </w:pPr>
      <w:r>
        <w:rPr>
          <w:rFonts w:ascii="Times New Roman" w:hAnsi="Times New Roman"/>
          <w:b/>
          <w:sz w:val="22"/>
        </w:rPr>
        <w:t xml:space="preserve">The four objectives, and why they are measurable and verifiable. </w:t>
      </w:r>
      <w:r>
        <w:rPr>
          <w:rFonts w:ascii="Times New Roman" w:hAnsi="Times New Roman"/>
          <w:b w:val="0"/>
          <w:sz w:val="22"/>
        </w:rPr>
        <w:t>Each objective carries a stated, checkable output anchored to a dated deliverable. O1: harmonise the heterogeneous 2022–2026 MATE archive and define a physiologically meaningful water-stress target. Outputs: the harmonised database and variable-availability map (D1.1, month 2) and the stress-target, feature-selection and validation protocol (D1.2, month 3), both before the model freeze at the end of month 3. O2: develop a parsimonious, interpretable and uncertainty-aware predictive framework under HUN-REN supervision, with ELTE spectral/EO harmonisation, separating reusable components from crop-specific parameters. Outputs: the primary model, benchmark and model card (D1.4, month 3) and the spectral/UAV/Sentinel harmonisation and crop-transfer specification (D1.5, month 14).</w:t>
      </w:r>
    </w:p>
    <w:p>
      <w:pPr>
        <w:jc w:val="both"/>
      </w:pPr>
      <w:r>
        <w:rPr>
          <w:rFonts w:ascii="Times New Roman" w:hAnsi="Times New Roman"/>
          <w:b w:val="0"/>
          <w:sz w:val="22"/>
        </w:rPr>
        <w:t>O3: prospectively validate the framework at an independent commercial farmer site equipped with project meteorological and soil sensing. Outputs: the validation dataset (D2.1) and the prospective transferability, uncertainty and limited-recalibration report (D2.2), at month 18. O4: operationalise validated outputs in a crop-configurable DrR architecture through continuous Krumatic development and AgroVIR requirements feedback, followed by industrial evaluation. Outputs: the DrR web MVP and pre-placement dossier (D3.1, D3.2, month 24) and the placement assessment and roadmap (D4.1, D4.2, month 30).</w:t>
      </w:r>
    </w:p>
    <w:p>
      <w:pPr>
        <w:jc w:val="both"/>
      </w:pPr>
      <w:r>
        <w:rPr>
          <w:rFonts w:ascii="Times New Roman" w:hAnsi="Times New Roman"/>
          <w:b w:val="0"/>
          <w:sz w:val="22"/>
        </w:rPr>
        <w:t>Measurability is reinforced by two design choices. First, blocked, leakage-safe unseen-year validation against a pre-specified physiological stress target</w:t>
      </w:r>
      <w:r>
        <w:rPr>
          <w:rFonts w:ascii="Times New Roman" w:hAnsi="Times New Roman"/>
          <w:sz w:val="22"/>
          <w:vertAlign w:val="superscript"/>
        </w:rPr>
        <w:footnoteReference w:id="2"/>
      </w:r>
      <w:r>
        <w:rPr>
          <w:rFonts w:ascii="Times New Roman" w:hAnsi="Times New Roman"/>
          <w:b w:val="0"/>
          <w:sz w:val="22"/>
        </w:rPr>
        <w:t>. The metrics are pre-registered: balanced accuracy, F1 and ROC-AUC (detection); RMSE, MAE and R² (prediction); reliability, Brier score and interval coverage (calibration); lead time and false-alarm rate (operational value)</w:t>
      </w:r>
      <w:r>
        <w:rPr>
          <w:rFonts w:ascii="Times New Roman" w:hAnsi="Times New Roman"/>
          <w:sz w:val="22"/>
          <w:vertAlign w:val="superscript"/>
        </w:rPr>
        <w:footnoteReference w:id="3"/>
      </w:r>
      <w:r>
        <w:rPr>
          <w:rFonts w:ascii="Times New Roman" w:hAnsi="Times New Roman"/>
          <w:b w:val="0"/>
          <w:sz w:val="22"/>
        </w:rPr>
        <w:t>. Acceptance thresholds are literature-derived and fixed in D1.2 before the prospective season. Second, the primary model is frozen and its model card registered (D1.4, MS6) before the first field season. This converts every objective into a falsifiable, auditable claim.</w:t>
      </w:r>
    </w:p>
    <w:p>
      <w:pPr>
        <w:jc w:val="both"/>
      </w:pPr>
      <w:r>
        <w:rPr>
          <w:rFonts w:ascii="Times New Roman" w:hAnsi="Times New Roman"/>
          <w:b/>
          <w:sz w:val="22"/>
        </w:rPr>
        <w:t xml:space="preserve">Realistically achievable. </w:t>
      </w:r>
      <w:r>
        <w:rPr>
          <w:rFonts w:ascii="Times New Roman" w:hAnsi="Times New Roman"/>
          <w:b w:val="0"/>
          <w:sz w:val="22"/>
        </w:rPr>
        <w:t>The objectives are ambitious but bounded within the 30-month action. O1 and O2 rest on the existing MATE archive, developed under ATK supervision (primary supervisor Prof. Tibor Janda) with ELTE spectral/EO harmonisation. O3 is a single, focused prospective test (the minimum the logic requires), protected by a defined site-contingency ladder. O4 builds on the fellow's pre-existing, self-financed research tool DrR – Digital Agronomist, today a monitoring and data-integration tool rather than a validated advisory product. Only validated components are incorporated, and Krumatic supports software engineering from project start.</w:t>
      </w:r>
    </w:p>
    <w:p>
      <w:pPr>
        <w:jc w:val="both"/>
      </w:pPr>
      <w:r>
        <w:rPr>
          <w:rFonts w:ascii="Times New Roman" w:hAnsi="Times New Roman"/>
          <w:b w:val="0"/>
          <w:sz w:val="22"/>
        </w:rPr>
        <w:t>Validation within the action is limited to processing tomato, chosen because roughly five seasons of data, expertise and collaborations already exist for it. The crop-transfer specification (D1.5) defines the gates any later crop must pass, and the follow-on route to Bulgarian conditions sits after the action through MVCRI, with no in-action MVCRI effort claimed.</w:t>
      </w:r>
    </w:p>
    <w:p>
      <w:pPr>
        <w:jc w:val="both"/>
      </w:pPr>
      <w:r>
        <w:rPr>
          <w:rFonts w:ascii="Times New Roman" w:hAnsi="Times New Roman"/>
          <w:b/>
          <w:sz w:val="22"/>
        </w:rPr>
        <w:t xml:space="preserve">Beyond the state of the art, and the extent of the ambition. </w:t>
      </w:r>
      <w:r>
        <w:rPr>
          <w:rFonts w:ascii="Times New Roman" w:hAnsi="Times New Roman"/>
          <w:b w:val="0"/>
          <w:sz w:val="22"/>
        </w:rPr>
        <w:t>The ambition lies in refusing four assumptions routine in the field: that a vegetation index equals water stress; that proximal and satellite indices are interchangeable; that internal cross-validation proves field transferability; and that a tomato-trained model transfers unchanged to another crop. The advance is a chain of transitions: from stress proxy to physiologically defined target, and from internal fit through blocked unseen-year validation to independent commercial-field validation. Sensing extends from proximal instruments through an ELTE hyperspectral/UAV bridge to Sentinel-2 field-scale inputs, and a tomato-specific prototype becomes a crop-configurable framework. The novelty is not a new machine-learning algorithm. The stance is parsimony and interpretability, with no deep-learning dependency. The contribution is a validation framework that judges operational data streams against independent plant-level ground truth under unseen-year and new-field conditions.</w:t>
      </w:r>
    </w:p>
    <w:p>
      <w:pPr>
        <w:jc w:val="both"/>
      </w:pPr>
      <w:r>
        <w:rPr>
          <w:rFonts w:ascii="Times New Roman" w:hAnsi="Times New Roman"/>
          <w:b w:val="0"/>
          <w:sz w:val="22"/>
        </w:rPr>
        <w:t>FIELDWISE yields three citable outputs that do not exist today for irrigated processing tomato. The first is a physiologically grounded water-stress prediction model with documented calibration, uncertainty and unseen-year performance (D1.4). The second is a prospectively quantified research-to-commercial-field transfer gap, measured against pre-registered criteria rather than estimated (D2.2). The third is a crop-transfer specification separating reusable elements from crop-specific components requiring recalibration (D1.5).</w:t>
      </w:r>
    </w:p>
    <w:p>
      <w:pPr>
        <w:jc w:val="both"/>
      </w:pPr>
      <w:r>
        <w:rPr>
          <w:rFonts w:ascii="Times New Roman" w:hAnsi="Times New Roman"/>
          <w:b w:val="0"/>
          <w:sz w:val="22"/>
        </w:rPr>
        <w:t>The second output is what is currently not achievable. Published models for this crop report within-experiment performance, and the transfer loss is asserted rather than prospectively measured. The principal new knowledge is quantitative evidence of whether, and how, a biologically grounded water-stress model remains valid when transferred from experimental data to operational commercial-field conditions.</w:t>
      </w:r>
    </w:p>
    <w:p>
      <w:pPr>
        <w:spacing w:before="120"/>
      </w:pPr>
      <w:r>
        <w:rPr>
          <w:rFonts w:ascii="Times New Roman" w:hAnsi="Times New Roman"/>
          <w:b/>
          <w:sz w:val="22"/>
        </w:rPr>
        <w:t>1.2 Soundness of the proposed methodology (including interdisciplinary approaches, consideration of the gender dimension and other diversity aspects if relevant for the research project, and the quality of open science practices)</w:t>
      </w:r>
    </w:p>
    <w:p>
      <w:pPr>
        <w:jc w:val="both"/>
      </w:pPr>
      <w:r>
        <w:rPr>
          <w:rFonts w:ascii="Times New Roman" w:hAnsi="Times New Roman"/>
          <w:b/>
          <w:sz w:val="22"/>
        </w:rPr>
        <w:t xml:space="preserve">Overall methodology: concepts, models and assumptions. </w:t>
      </w:r>
      <w:r>
        <w:rPr>
          <w:rFonts w:ascii="Times New Roman" w:hAnsi="Times New Roman"/>
          <w:b w:val="0"/>
          <w:sz w:val="22"/>
        </w:rPr>
        <w:t>FIELDWISE rests on one conviction: a water-stress model is only useful for irrigation if judged against four linked criteria at once rather than retrospective accuracy alone</w:t>
      </w:r>
      <w:r>
        <w:rPr>
          <w:rFonts w:ascii="Times New Roman" w:hAnsi="Times New Roman"/>
          <w:sz w:val="22"/>
          <w:vertAlign w:val="superscript"/>
        </w:rPr>
        <w:footnoteReference w:id="4"/>
      </w:r>
      <w:r>
        <w:rPr>
          <w:rFonts w:ascii="Times New Roman" w:hAnsi="Times New Roman"/>
          <w:b w:val="0"/>
          <w:sz w:val="22"/>
        </w:rPr>
        <w:t>. The criteria are physiological validity, predictive performance, transferability to unseen conditions and management relevance. Concretely, the model learns the relationship between operationally obtainable predictors (soil-water, meteorological and spectral/Earth-observation variables) and an independently measured physiological water-stress target. Four stated working hypotheses (physiological signature, transferability, scale transition, operational relevance) make the underlying biology explicit and falsifiable: each can fail visibly.</w:t>
      </w:r>
    </w:p>
    <w:p>
      <w:pPr>
        <w:jc w:val="both"/>
      </w:pPr>
      <w:r>
        <w:rPr>
          <w:rFonts w:ascii="Times New Roman" w:hAnsi="Times New Roman"/>
          <w:b w:val="0"/>
          <w:sz w:val="22"/>
        </w:rPr>
        <w:t>Stage 1 (WP1) establishes the empirical substrate and the model. The 2022–2026 MATE archive is harmonised into a QC-controlled common-variable matrix with an explicit missingness map. A pre-specified stress-target hierarchy is fixed in the protocol before any model fitting. Any substitution forced by the archive audit is documented before results are inspected, never after.</w:t>
      </w:r>
    </w:p>
    <w:p>
      <w:pPr>
        <w:jc w:val="both"/>
      </w:pPr>
      <w:r>
        <w:rPr>
          <w:rFonts w:ascii="Times New Roman" w:hAnsi="Times New Roman"/>
          <w:b w:val="0"/>
          <w:sz w:val="22"/>
        </w:rPr>
        <w:t>Front-loading makes this ordering structural: the harmonised knowledge base (D1.1) lands at month 2 and the validation protocol (D1.2) at month 3, both before the freeze. The primary, parsimonious, uncertainty-aware model, with a single nonlinear benchmark where justified, is frozen at the end of month 3 (MS6). No outcome data from the commercial field are used before the freeze. The scale-harmonisation strand continues to month 14, delivering the crop-transfer specification (D1.5).</w:t>
      </w:r>
    </w:p>
    <w:p>
      <w:pPr>
        <w:jc w:val="both"/>
      </w:pPr>
      <w:r>
        <w:rPr>
          <w:rFonts w:ascii="Times New Roman" w:hAnsi="Times New Roman"/>
          <w:b w:val="0"/>
          <w:sz w:val="22"/>
        </w:rPr>
        <w:t>Stage 2 (WP2) treats transferability at three levels. Temporal transfer is tested by blocked, leakage-safe unseen-year validation. Environmental transfer is tested by prospectively applying the frozen model at an independent commercial farmer field instrumented by the project, supported by physiological, proximal, UAV and Sentinel observations. The transfer gap is quantified, and only a limited, pre-specified recalibration is applied if transfer is incomplete (D2.1, D2.2, month 18). Crop transfer is handled by separating a reusable decision-support core from crop-specific reference ranges, thresholds and calibration parameters, with explicit recalibration gates (D1.5). The core comprises the data architecture, physiology-to-prediction workflow, uncertainty logic, sensing-scale integration and irrigation-attention interface.</w:t>
      </w:r>
    </w:p>
    <w:p>
      <w:pPr>
        <w:jc w:val="both"/>
      </w:pPr>
      <w:r>
        <w:rPr>
          <w:rFonts w:ascii="Times New Roman" w:hAnsi="Times New Roman"/>
          <w:b w:val="0"/>
          <w:sz w:val="22"/>
        </w:rPr>
        <w:t>Stage 3 (WP3, then WP4) operationalises. The pre-existing DrR prototype incrementally absorbs only validated functions into a crop-configurable web MVP (D3.1). AgroVIR evaluates the MVP for usability and interoperability during the placement (D4.1, D4.2). The software follows the science, not the other way around.</w:t>
      </w:r>
    </w:p>
    <w:p>
      <w:pPr>
        <w:jc w:val="both"/>
      </w:pPr>
      <w:r>
        <w:rPr>
          <w:rFonts w:ascii="Times New Roman" w:hAnsi="Times New Roman"/>
          <w:b/>
          <w:sz w:val="22"/>
        </w:rPr>
        <w:t xml:space="preserve">Methodological challenges and how they are overcome. </w:t>
      </w:r>
      <w:r>
        <w:rPr>
          <w:rFonts w:ascii="Times New Roman" w:hAnsi="Times New Roman"/>
          <w:b w:val="0"/>
          <w:sz w:val="22"/>
        </w:rPr>
        <w:t>(i) Archive variables differ among years: an explicit year-by-variable matrix, harmonising only defensible common variables. (ii) Optimistic generalisation from random splits: blocked unseen-year validation, pre-registered thresholds. (iii) The research-to-field gap: a frozen model, prospective testing and a pre-specified limited-recalibration protocol, so any performance drop is measured, not hidden.</w:t>
      </w:r>
    </w:p>
    <w:p>
      <w:pPr>
        <w:jc w:val="both"/>
      </w:pPr>
      <w:r>
        <w:rPr>
          <w:rFonts w:ascii="Times New Roman" w:hAnsi="Times New Roman"/>
          <w:b w:val="0"/>
          <w:sz w:val="22"/>
        </w:rPr>
        <w:t>(iv) Fragile UAV campaigns: acquisitions prioritised around key physiological dates, while physiology and proximal sensing remain the core pathway. (v) A single commercial site: a contingency ladder, with a second processing-tomato producer as claim-preserving backup and a public-garden route as measurement-only fallback with a downgraded transferability claim. (vi) Over-fitting for accuracy: parsimony, with operational value (lead time, false-alarm rate) scored alongside statistical fit.</w:t>
      </w:r>
    </w:p>
    <w:p>
      <w:pPr>
        <w:jc w:val="both"/>
      </w:pPr>
      <w:r>
        <w:rPr>
          <w:rFonts w:ascii="Times New Roman" w:hAnsi="Times New Roman"/>
          <w:b/>
          <w:sz w:val="22"/>
        </w:rPr>
        <w:t xml:space="preserve">Integration of methods and disciplines. </w:t>
      </w:r>
      <w:r>
        <w:rPr>
          <w:rFonts w:ascii="Times New Roman" w:hAnsi="Times New Roman"/>
          <w:b w:val="0"/>
          <w:sz w:val="22"/>
        </w:rPr>
        <w:t>The central challenge runs from plant biology through statistical modelling and remote sensing to operational software. No single discipline can carry it. Plant-stress physiology and agronomy supply the stress target and the judgement of whether signals track real plant responses, anchored in the host's Plant Physiology and Metabolomics Department and the MATE archive. Agricultural data science supplies parsimonious modelling, calibration, uncertainty and leakage-safe validation design, carried on the ELTE side by a named predictive-modelling team member. Remote sensing and geoinformatics supply the hyperspectral/UAV-to-Sentinel scale transition, while software engineering and farm-management expertise (Krumatic, AgroVIR) translate validated functions into a maintainable prototype.</w:t>
      </w:r>
    </w:p>
    <w:p>
      <w:pPr>
        <w:jc w:val="both"/>
      </w:pPr>
      <w:r>
        <w:rPr>
          <w:rFonts w:ascii="Times New Roman" w:hAnsi="Times New Roman"/>
          <w:b w:val="0"/>
          <w:sz w:val="22"/>
        </w:rPr>
        <w:t>The disciplines meet at defined interfaces: the target constrains the predictors, the protocol constrains the model, and the scale specification governs field inputs. The fellow is the integrating agent.</w:t>
      </w:r>
    </w:p>
    <w:p>
      <w:pPr>
        <w:jc w:val="both"/>
      </w:pPr>
      <w:r>
        <w:rPr>
          <w:rFonts w:ascii="Times New Roman" w:hAnsi="Times New Roman"/>
          <w:b/>
          <w:sz w:val="22"/>
        </w:rPr>
        <w:t xml:space="preserve">Gender dimension and other diversity aspects. </w:t>
      </w:r>
      <w:r>
        <w:rPr>
          <w:rFonts w:ascii="Times New Roman" w:hAnsi="Times New Roman"/>
          <w:b w:val="0"/>
          <w:sz w:val="22"/>
        </w:rPr>
        <w:t>A sex/gender dimension in the research content is not relevant. The subject is the processing-tomato crop and its physiological water-stress response, with no human or animal biological data on which a sex/gender analysis could operate. Diversity is addressed where the content touches people. The decision-support output is designed for growers with differing farm sizes, digital literacy and contexts. The uptake pathway is bilingual and cross-border, serving Hungarian and Bulgarian grower communities. Grower feedback is governed by informed consent, withdrawal rights and coded or anonymised processing.</w:t>
      </w:r>
    </w:p>
    <w:p>
      <w:pPr>
        <w:jc w:val="both"/>
      </w:pPr>
      <w:r>
        <w:rPr>
          <w:rFonts w:ascii="Times New Roman" w:hAnsi="Times New Roman"/>
          <w:b/>
          <w:sz w:val="22"/>
        </w:rPr>
        <w:t xml:space="preserve">Open science practices. </w:t>
      </w:r>
      <w:r>
        <w:rPr>
          <w:rFonts w:ascii="Times New Roman" w:hAnsi="Times New Roman"/>
          <w:b w:val="0"/>
          <w:sz w:val="22"/>
        </w:rPr>
        <w:t>Open science is built into the workflow under 'as open as possible, as closed as necessary'. Pre-registration of the stress target, metrics and thresholds (D1.2) guards against outcome-selective reporting, and the primary model ships with a model card (D1.4). The harmonised archive is FAIR-by-design, field-scale inputs use open Copernicus/Sentinel-2 data, and the measured transfer gap is published, not hidden. At least two open-access peer-reviewed papers are targeted, with a possible third methods paper. A Data Management Plan is produced within the first six months, detailing data types, standards, storage, sharing and reuse.</w:t>
      </w:r>
    </w:p>
    <w:p>
      <w:pPr>
        <w:jc w:val="both"/>
      </w:pPr>
      <w:r>
        <w:rPr>
          <w:rFonts w:ascii="Times New Roman" w:hAnsi="Times New Roman"/>
          <w:b w:val="0"/>
          <w:sz w:val="22"/>
        </w:rPr>
        <w:t>Data governance separates four rights layers: DrR background, FIELDWISE foreground, institutional datasets and partner code. Potentially protectable foreground is evaluated before disclosure. Results derived from commercially sensitive farmer or partner information appear only in aggregated, coded or anonymised form.</w:t>
      </w:r>
    </w:p>
    <w:p>
      <w:pPr>
        <w:spacing w:before="120"/>
      </w:pPr>
      <w:r>
        <w:rPr>
          <w:rFonts w:ascii="Times New Roman" w:hAnsi="Times New Roman"/>
          <w:b/>
          <w:sz w:val="22"/>
        </w:rPr>
        <w:t>1.3 Quality of the supervision, training and of the two-way transfer of knowledge between the researcher and the host</w:t>
      </w:r>
    </w:p>
    <w:p>
      <w:pPr>
        <w:jc w:val="both"/>
      </w:pPr>
      <w:r>
        <w:rPr>
          <w:rFonts w:ascii="Times New Roman" w:hAnsi="Times New Roman"/>
          <w:b/>
          <w:sz w:val="22"/>
        </w:rPr>
        <w:t xml:space="preserve">Supervisory architecture and qualifications. </w:t>
      </w:r>
      <w:r>
        <w:rPr>
          <w:rFonts w:ascii="Times New Roman" w:hAnsi="Times New Roman"/>
          <w:b w:val="0"/>
          <w:sz w:val="22"/>
        </w:rPr>
        <w:t>Supervision is structured around the action's two disciplinary pillars. Primary supervision at the recruiting organisation, HUN-REN ATK, is provided by Prof. Tibor Janda, Head of the Plant Physiology and Metabolomics Department at the Agricultural Institute (≈2.5 person-months). His plant-physiology, abiotic-stress (including drought) and stress-metabolomics expertise anchors the stress-target definition, the physiological-validity judgement and the measurement programme. Co-supervision is provided by Prof. András Jung (ELTE, Institute of Cartography and Geoinformatics), whose remote-sensing, hyperspectral-imaging, field-spectroscopy and multisensor-fusion expertise carries the scale-transition strand (≈2.0 person-months).</w:t>
      </w:r>
    </w:p>
    <w:p>
      <w:pPr>
        <w:jc w:val="both"/>
      </w:pPr>
      <w:r>
        <w:rPr>
          <w:rFonts w:ascii="Times New Roman" w:hAnsi="Times New Roman"/>
          <w:b w:val="0"/>
          <w:sz w:val="22"/>
        </w:rPr>
        <w:t>ELTE additionally contributes Dr. Roland Hollós as the named team member for the predictive-modelling and machine-learning strand, and Dr. Zsófia Varga for UAV operations. MATE contributes the five-season archive and agronomic expertise through Dr. Sándor Takács, with precision-agriculture consultation from Prof. Gábor Milics. The host's capacity is evidenced, not asserted: ATK coordinated the MSCA Individual Fellowship LANDRACES (752453, 2017–2019) and participates in Horizon Europe today (COUSIN, AI4SoilHealth, TUdi).</w:t>
      </w:r>
    </w:p>
    <w:p>
      <w:pPr>
        <w:jc w:val="both"/>
      </w:pPr>
      <w:r>
        <w:rPr>
          <w:rFonts w:ascii="Times New Roman" w:hAnsi="Times New Roman"/>
          <w:b/>
          <w:sz w:val="22"/>
        </w:rPr>
        <w:t xml:space="preserve">Structured supervision and governance. </w:t>
      </w:r>
      <w:r>
        <w:rPr>
          <w:rFonts w:ascii="Times New Roman" w:hAnsi="Times New Roman"/>
          <w:b w:val="0"/>
          <w:sz w:val="22"/>
        </w:rPr>
        <w:t>A defined cadence replaces ad hoc contact: weekly one-to-one supervision; technical sessions with the co-supervisor and the ELTE-side modelling team member; a monthly written progress record; quarterly reviews against the Career Development Plan. A Project Steering Group issues go/no-go verdicts at M6, M14, M18, M24 and M27, including a mid-placement review. Its members are the supervisor (chair), fellow, co-supervisor, modelling team member and one named contact per partner. Pre-defined decision rights and a two-step conflict-resolution route make it a stable support structure that protects the returning researcher's scientific independence.</w:t>
      </w:r>
    </w:p>
    <w:p>
      <w:pPr>
        <w:jc w:val="both"/>
      </w:pPr>
      <w:r>
        <w:rPr>
          <w:rFonts w:ascii="Times New Roman" w:hAnsi="Times New Roman"/>
          <w:b/>
          <w:sz w:val="22"/>
        </w:rPr>
        <w:t xml:space="preserve">Planned training activities. </w:t>
      </w:r>
      <w:r>
        <w:rPr>
          <w:rFonts w:ascii="Times New Roman" w:hAnsi="Times New Roman"/>
          <w:b w:val="0"/>
          <w:sz w:val="22"/>
        </w:rPr>
        <w:t>Training is supervised practice on real project work. It covers: (i) physiological water-stress interpretation and phenotyping at the host; (ii) geoinformatics, field spectroscopy, hyperspectral/UAV methods and scale-aware EO interpretation at ELTE; (iii) heterogeneous-data integration, AI/ML-supported modelling, leakage-safe validation design and uncertainty analysis with the ELTE-side modelling team member. Together these close the competence gap and complete the progression to an independent Agricultural Data Scientist. Transferable skills are trained explicitly: research integrity; open science and FAIR practice; generative-AI literacy; grant writing; IP and exploitation; project management; science communication. A teaching strand carries five years of university teaching into the new discipline via guest lectures and practicals at MATE and, where possible, AU Plovdiv. The plan is consolidated in the Career Development Plan (D1.3, agreed by month 3, signed by both supervisors and the fellow) and reviewed at the five steering points.</w:t>
      </w:r>
    </w:p>
    <w:p>
      <w:pPr>
        <w:jc w:val="both"/>
      </w:pPr>
      <w:r>
        <w:rPr>
          <w:rFonts w:ascii="Times New Roman" w:hAnsi="Times New Roman"/>
          <w:b/>
          <w:sz w:val="22"/>
        </w:rPr>
        <w:t xml:space="preserve">Two-way transfer of knowledge. </w:t>
      </w:r>
      <w:r>
        <w:rPr>
          <w:rFonts w:ascii="Times New Roman" w:hAnsi="Times New Roman"/>
          <w:b w:val="0"/>
          <w:sz w:val="22"/>
        </w:rPr>
        <w:t>Into the fellow flow advanced agricultural data science, robust interpretable modelling, uncertainty analysis, hyperspectral/UAV/EO integration and research-to-industry translation. Into the host and partners flow agronomy, plant protection, plant-stress biology, physiological phenotyping, field experimentation, proximal spectral interpretation and the DrR concept. This biological grounding keeps the modelling and EO strands physiologically valid. The two-way exchange is the knowledge-transfer and capacity outcome the call seeks for participating organisations.</w:t>
      </w:r>
    </w:p>
    <w:p>
      <w:pPr>
        <w:jc w:val="both"/>
      </w:pPr>
      <w:r>
        <w:rPr>
          <w:rFonts w:ascii="Times New Roman" w:hAnsi="Times New Roman"/>
          <w:b/>
          <w:sz w:val="22"/>
        </w:rPr>
        <w:t xml:space="preserve">Rationale and added value of the non-academic placement. </w:t>
      </w:r>
      <w:r>
        <w:rPr>
          <w:rFonts w:ascii="Times New Roman" w:hAnsi="Times New Roman"/>
          <w:b w:val="0"/>
          <w:sz w:val="22"/>
        </w:rPr>
        <w:t>A six-month placement at AgroVIR (AGROVIR Üzletviteli Tanácsadó Kft., months 25–30) is an integral, separately evaluated part of the proposal. It supplies inter-sectoral competences the academic host cannot provide: operational model evaluation against a production farm-management information system, requirements engineering, interoperability assessment and exploitation planning. Its added value is operational: an FMIS reported in production use on more than 745,000 ha in eight countries including Hungary and Bulgaria (company-declared, pending written confirmation). The placement is delivered through monthly structured face-to-face technical reviews with continuous remote collaboration, supervised by Miklós Maróti (Managing Director). It is designed around protected, coded data extracts, so no access to proprietary customer systems is required. AgroVIR is consulted from month 1, and a written placement agreement concluded beforehand fixes result ownership (grant-agreement default, vesting in HUN-REN ATK) and DrR background access.</w:t>
      </w:r>
    </w:p>
    <w:p>
      <w:pPr>
        <w:jc w:val="both"/>
      </w:pPr>
      <w:r>
        <w:rPr>
          <w:rFonts w:ascii="Times New Roman" w:hAnsi="Times New Roman"/>
          <w:b w:val="0"/>
          <w:sz w:val="22"/>
        </w:rPr>
        <w:t>The status of forward-looking commitments is stated transparently. The supervisors' formal acceptances and efforts, the ELTE-side modelling representation and instrument access, the data-partner contact and the placement arrangement are declared working assumptions, to be confirmed in partner writing before the action starts. The identities, roles and infrastructure they rest on are confirmed on public and partner-authored evidence.</w:t>
      </w:r>
    </w:p>
    <w:p>
      <w:pPr>
        <w:spacing w:before="120"/>
      </w:pPr>
      <w:r>
        <w:rPr>
          <w:rFonts w:ascii="Times New Roman" w:hAnsi="Times New Roman"/>
          <w:b/>
          <w:sz w:val="22"/>
        </w:rPr>
        <w:t>1.4 Quality and appropriateness of the researcher's professional experience, competences and skills</w:t>
      </w:r>
    </w:p>
    <w:p>
      <w:pPr>
        <w:jc w:val="both"/>
      </w:pPr>
      <w:r>
        <w:rPr>
          <w:rFonts w:ascii="Times New Roman" w:hAnsi="Times New Roman"/>
          <w:b/>
          <w:sz w:val="22"/>
        </w:rPr>
        <w:t xml:space="preserve">A profile matched to the project's interdisciplinary chain. </w:t>
      </w:r>
      <w:r>
        <w:rPr>
          <w:rFonts w:ascii="Times New Roman" w:hAnsi="Times New Roman"/>
          <w:b w:val="0"/>
          <w:sz w:val="22"/>
        </w:rPr>
        <w:t>Dr. Rositsa Cholakova (publishing before 2020 as Rositsa Cholakova-Bimbalova) is strong where the science demands it. She holds a BSc/MSc in Plant Protection and a PhD in Plant Physiology (2020, Agricultural University of Plovdiv). She was Assistant Professor in Plant Physiology and Plant Stress Physiology in Plovdiv 2015–2020</w:t>
      </w:r>
      <w:r>
        <w:rPr>
          <w:rFonts w:ascii="Times New Roman" w:hAnsi="Times New Roman"/>
          <w:sz w:val="22"/>
          <w:vertAlign w:val="superscript"/>
        </w:rPr>
        <w:footnoteReference w:id="5"/>
      </w:r>
      <w:r>
        <w:rPr>
          <w:rFonts w:ascii="Times New Roman" w:hAnsi="Times New Roman"/>
          <w:b w:val="0"/>
          <w:sz w:val="22"/>
        </w:rPr>
        <w:t>, and since 2024 has been Chief Assistant Professor at the Maritsa Vegetable Crops Research Institute, with current abiotic-stress work in Solanum lycopersicum. This is the competence that lets her judge whether a model-derived or remotely sensed signal tracks a real plant response. The validation chain rests on that discriminating judgement.</w:t>
      </w:r>
    </w:p>
    <w:p>
      <w:pPr>
        <w:jc w:val="both"/>
      </w:pPr>
      <w:r>
        <w:rPr>
          <w:rFonts w:ascii="Times New Roman" w:hAnsi="Times New Roman"/>
          <w:b/>
          <w:sz w:val="22"/>
        </w:rPr>
        <w:t xml:space="preserve">Data-science and EO competences already in place. </w:t>
      </w:r>
      <w:r>
        <w:rPr>
          <w:rFonts w:ascii="Times New Roman" w:hAnsi="Times New Roman"/>
          <w:b w:val="0"/>
          <w:sz w:val="22"/>
        </w:rPr>
        <w:t>Her transition into the second pillar is already under way, so it is credible rather than aspirational. The evidence: a Data Analyst period at KPMG Global Hungary (Python, R, machine-learning basics), the self-financed DrR – Digital Agronomist research tool she already uses at MVCRI, and a COST PANGEOS Short-Term Scientific Mission at MATE (2025). To this she adds Erasmus+ mobilities to MATE and Novi Sad (2025–2026), an ELTE internship (2026), an A1/A3 UAV pilot licence, an in-progress second MSc in Environmental Engineering, and membership of three COST Actions. Five years of university lecturing in Bulgarian and English supply the teaching and communication base.</w:t>
      </w:r>
    </w:p>
    <w:p>
      <w:pPr>
        <w:jc w:val="both"/>
      </w:pPr>
      <w:r>
        <w:rPr>
          <w:rFonts w:ascii="Times New Roman" w:hAnsi="Times New Roman"/>
          <w:b/>
          <w:sz w:val="22"/>
        </w:rPr>
        <w:t xml:space="preserve">Honest appraisal of fit. </w:t>
      </w:r>
      <w:r>
        <w:rPr>
          <w:rFonts w:ascii="Times New Roman" w:hAnsi="Times New Roman"/>
          <w:b w:val="0"/>
          <w:sz w:val="22"/>
        </w:rPr>
        <w:t>The publication record is concentrated in plant physiology, and the remote-sensing items are recent and co-authored. The EO half of the profile rests on practical, mobility- and licence-based experience, and the proposal says so openly. The one element not yet at the required level is rigorous predictive modelling and validation across time, scales and environments. This is the principal methodological competence gap the fellowship closes through supervised practice (section 1.3). She is a returning researcher: after a documented 34-month full-time-parenting career break (2021–2024) she has re-entered research with clear momentum.</w:t>
      </w:r>
    </w:p>
    <w:p>
      <w:pPr>
        <w:spacing w:before="160"/>
      </w:pPr>
      <w:r>
        <w:rPr>
          <w:rFonts w:ascii="Times New Roman" w:hAnsi="Times New Roman"/>
          <w:b/>
          <w:sz w:val="25"/>
        </w:rPr>
        <w:t>2. Impact</w:t>
      </w:r>
    </w:p>
    <w:p>
      <w:pPr>
        <w:spacing w:before="120"/>
      </w:pPr>
      <w:r>
        <w:rPr>
          <w:rFonts w:ascii="Times New Roman" w:hAnsi="Times New Roman"/>
          <w:b/>
          <w:sz w:val="22"/>
        </w:rPr>
        <w:t>2.1 Credibility of the measures to enhance the career perspectives and employability of the researcher and contribution to his/her skills development</w:t>
      </w:r>
    </w:p>
    <w:p>
      <w:pPr>
        <w:jc w:val="both"/>
      </w:pPr>
      <w:r>
        <w:rPr>
          <w:rFonts w:ascii="Times New Roman" w:hAnsi="Times New Roman"/>
          <w:b w:val="0"/>
          <w:sz w:val="22"/>
        </w:rPr>
        <w:t>The measures are designed around one evidence-based objective: closing the principal methodological competence gap that stands between an accomplished plant physiologist and agronomist and an independent Agricultural Data Scientist. That gap is rigorous predictive modelling and validation across time, sensing scales and environments. Two concrete post-fellowship trajectories anchor the career logic. The first is an independent Agricultural Data Scientist or researcher role at the interface of plant science, Earth observation and agricultural technology, building on the FIELDWISE modelling record and the AgroVIR placement. The second is an independent research and innovation line in Bulgaria, applying the validated methodology and the DrR concept to further irrigated high-value horticultural crops. Progress is measured by the career KPI K11.</w:t>
      </w:r>
    </w:p>
    <w:tbl>
      <w:tblPr>
        <w:tblStyle w:val="TableGrid"/>
        <w:tblW w:type="auto" w:w="0"/>
        <w:tblLook w:firstColumn="1" w:firstRow="1" w:lastColumn="0" w:lastRow="0" w:noHBand="0" w:noVBand="1" w:val="04A0"/>
      </w:tblPr>
      <w:tblGrid>
        <w:gridCol w:w="3402"/>
        <w:gridCol w:w="3402"/>
        <w:gridCol w:w="3402"/>
      </w:tblGrid>
      <w:tr>
        <w:tc>
          <w:tcPr>
            <w:tcW w:type="dxa" w:w="1814"/>
          </w:tcPr>
          <w:p>
            <w:pPr>
              <w:spacing w:after="20"/>
            </w:pPr>
            <w:r/>
            <w:r>
              <w:rPr>
                <w:rFonts w:ascii="Times New Roman" w:hAnsi="Times New Roman"/>
                <w:b/>
                <w:sz w:val="18"/>
              </w:rPr>
              <w:t>Measure</w:t>
            </w:r>
          </w:p>
        </w:tc>
        <w:tc>
          <w:tcPr>
            <w:tcW w:type="dxa" w:w="5783"/>
          </w:tcPr>
          <w:p>
            <w:pPr>
              <w:spacing w:after="20"/>
            </w:pPr>
            <w:r/>
            <w:r>
              <w:rPr>
                <w:rFonts w:ascii="Times New Roman" w:hAnsi="Times New Roman"/>
                <w:b/>
                <w:sz w:val="18"/>
              </w:rPr>
              <w:t>Content and mechanism</w:t>
            </w:r>
          </w:p>
        </w:tc>
        <w:tc>
          <w:tcPr>
            <w:tcW w:type="dxa" w:w="2494"/>
          </w:tcPr>
          <w:p>
            <w:pPr>
              <w:spacing w:after="20"/>
            </w:pPr>
            <w:r/>
            <w:r>
              <w:rPr>
                <w:rFonts w:ascii="Times New Roman" w:hAnsi="Times New Roman"/>
                <w:b/>
                <w:sz w:val="18"/>
              </w:rPr>
              <w:t>Evidence</w:t>
            </w:r>
          </w:p>
        </w:tc>
      </w:tr>
      <w:tr>
        <w:tc>
          <w:tcPr>
            <w:tcW w:type="dxa" w:w="1814"/>
          </w:tcPr>
          <w:p>
            <w:pPr>
              <w:spacing w:after="20"/>
            </w:pPr>
            <w:r/>
            <w:r>
              <w:rPr>
                <w:rFonts w:ascii="Times New Roman" w:hAnsi="Times New Roman"/>
                <w:b w:val="0"/>
                <w:sz w:val="18"/>
              </w:rPr>
              <w:t>Career Development Plan</w:t>
            </w:r>
          </w:p>
        </w:tc>
        <w:tc>
          <w:tcPr>
            <w:tcW w:type="dxa" w:w="5783"/>
          </w:tcPr>
          <w:p>
            <w:pPr>
              <w:spacing w:after="20"/>
            </w:pPr>
            <w:r/>
            <w:r>
              <w:rPr>
                <w:rFonts w:ascii="Times New Roman" w:hAnsi="Times New Roman"/>
                <w:b w:val="0"/>
                <w:sz w:val="18"/>
              </w:rPr>
              <w:t>Jointly owned by fellow and supervisors; links the four objectives to training, teaching, publication and open-science plans; reviewed at five steering points.</w:t>
            </w:r>
          </w:p>
        </w:tc>
        <w:tc>
          <w:tcPr>
            <w:tcW w:type="dxa" w:w="2494"/>
          </w:tcPr>
          <w:p>
            <w:pPr>
              <w:spacing w:after="20"/>
            </w:pPr>
            <w:r/>
            <w:r>
              <w:rPr>
                <w:rFonts w:ascii="Times New Roman" w:hAnsi="Times New Roman"/>
                <w:b w:val="0"/>
                <w:sz w:val="18"/>
              </w:rPr>
              <w:t>D1.3 (M3); reviews M6/M14/M18/M24/M27 (K11)</w:t>
            </w:r>
          </w:p>
        </w:tc>
      </w:tr>
      <w:tr>
        <w:tc>
          <w:tcPr>
            <w:tcW w:type="dxa" w:w="1814"/>
          </w:tcPr>
          <w:p>
            <w:pPr>
              <w:spacing w:after="20"/>
            </w:pPr>
            <w:r/>
            <w:r>
              <w:rPr>
                <w:rFonts w:ascii="Times New Roman" w:hAnsi="Times New Roman"/>
                <w:b w:val="0"/>
                <w:sz w:val="18"/>
              </w:rPr>
              <w:t>Supervised two-way transfer</w:t>
            </w:r>
          </w:p>
        </w:tc>
        <w:tc>
          <w:tcPr>
            <w:tcW w:type="dxa" w:w="5783"/>
          </w:tcPr>
          <w:p>
            <w:pPr>
              <w:spacing w:after="20"/>
            </w:pPr>
            <w:r/>
            <w:r>
              <w:rPr>
                <w:rFonts w:ascii="Times New Roman" w:hAnsi="Times New Roman"/>
                <w:b w:val="0"/>
                <w:sz w:val="18"/>
              </w:rPr>
              <w:t>ATK: physiological stress interpretation, validation design. ELTE: hyperspectral/UAV, scale-aware EO, predictive-modelling/ML strand. Fellow contributes physiology, phenotyping, proximal interpretation.</w:t>
            </w:r>
          </w:p>
        </w:tc>
        <w:tc>
          <w:tcPr>
            <w:tcW w:type="dxa" w:w="2494"/>
          </w:tcPr>
          <w:p>
            <w:pPr>
              <w:spacing w:after="20"/>
            </w:pPr>
            <w:r/>
            <w:r>
              <w:rPr>
                <w:rFonts w:ascii="Times New Roman" w:hAnsi="Times New Roman"/>
                <w:b w:val="0"/>
                <w:sz w:val="18"/>
              </w:rPr>
              <w:t>Weekly supervision; co-supervision strand</w:t>
            </w:r>
          </w:p>
        </w:tc>
      </w:tr>
      <w:tr>
        <w:tc>
          <w:tcPr>
            <w:tcW w:type="dxa" w:w="1814"/>
          </w:tcPr>
          <w:p>
            <w:pPr>
              <w:spacing w:after="20"/>
            </w:pPr>
            <w:r/>
            <w:r>
              <w:rPr>
                <w:rFonts w:ascii="Times New Roman" w:hAnsi="Times New Roman"/>
                <w:b w:val="0"/>
                <w:sz w:val="18"/>
              </w:rPr>
              <w:t>Transferable-skills portfolio</w:t>
            </w:r>
          </w:p>
        </w:tc>
        <w:tc>
          <w:tcPr>
            <w:tcW w:type="dxa" w:w="5783"/>
          </w:tcPr>
          <w:p>
            <w:pPr>
              <w:spacing w:after="20"/>
            </w:pPr>
            <w:r/>
            <w:r>
              <w:rPr>
                <w:rFonts w:ascii="Times New Roman" w:hAnsi="Times New Roman"/>
                <w:b w:val="0"/>
                <w:sz w:val="18"/>
              </w:rPr>
              <w:t>Research integrity, open science/FAIR, generative-AI literacy, grant writing, IP and exploitation, project management, science communication, each exercised on the project's own material.</w:t>
            </w:r>
          </w:p>
        </w:tc>
        <w:tc>
          <w:tcPr>
            <w:tcW w:type="dxa" w:w="2494"/>
          </w:tcPr>
          <w:p>
            <w:pPr>
              <w:spacing w:after="20"/>
            </w:pPr>
            <w:r/>
            <w:r>
              <w:rPr>
                <w:rFonts w:ascii="Times New Roman" w:hAnsi="Times New Roman"/>
                <w:b w:val="0"/>
                <w:sz w:val="18"/>
              </w:rPr>
              <w:t>CDP-tracked</w:t>
            </w:r>
          </w:p>
        </w:tc>
      </w:tr>
      <w:tr>
        <w:tc>
          <w:tcPr>
            <w:tcW w:type="dxa" w:w="1814"/>
          </w:tcPr>
          <w:p>
            <w:pPr>
              <w:spacing w:after="20"/>
            </w:pPr>
            <w:r/>
            <w:r>
              <w:rPr>
                <w:rFonts w:ascii="Times New Roman" w:hAnsi="Times New Roman"/>
                <w:b w:val="0"/>
                <w:sz w:val="18"/>
              </w:rPr>
              <w:t>Non-academic placement</w:t>
            </w:r>
          </w:p>
        </w:tc>
        <w:tc>
          <w:tcPr>
            <w:tcW w:type="dxa" w:w="5783"/>
          </w:tcPr>
          <w:p>
            <w:pPr>
              <w:spacing w:after="20"/>
            </w:pPr>
            <w:r/>
            <w:r>
              <w:rPr>
                <w:rFonts w:ascii="Times New Roman" w:hAnsi="Times New Roman"/>
                <w:b w:val="0"/>
                <w:sz w:val="18"/>
              </w:rPr>
              <w:t>Six months at AgroVIR (M25–M30): operational model evaluation, requirements engineering, interoperability assessment, exploitation planning; AgroVIR consulted from M1.</w:t>
            </w:r>
          </w:p>
        </w:tc>
        <w:tc>
          <w:tcPr>
            <w:tcW w:type="dxa" w:w="2494"/>
          </w:tcPr>
          <w:p>
            <w:pPr>
              <w:spacing w:after="20"/>
            </w:pPr>
            <w:r/>
            <w:r>
              <w:rPr>
                <w:rFonts w:ascii="Times New Roman" w:hAnsi="Times New Roman"/>
                <w:b w:val="0"/>
                <w:sz w:val="18"/>
              </w:rPr>
              <w:t>D4.1, D4.2 (M30)</w:t>
            </w:r>
          </w:p>
        </w:tc>
      </w:tr>
      <w:tr>
        <w:tc>
          <w:tcPr>
            <w:tcW w:type="dxa" w:w="1814"/>
          </w:tcPr>
          <w:p>
            <w:pPr>
              <w:spacing w:after="20"/>
            </w:pPr>
            <w:r/>
            <w:r>
              <w:rPr>
                <w:rFonts w:ascii="Times New Roman" w:hAnsi="Times New Roman"/>
                <w:b w:val="0"/>
                <w:sz w:val="18"/>
              </w:rPr>
              <w:t>Teaching and dissemination route</w:t>
            </w:r>
          </w:p>
        </w:tc>
        <w:tc>
          <w:tcPr>
            <w:tcW w:type="dxa" w:w="5783"/>
          </w:tcPr>
          <w:p>
            <w:pPr>
              <w:spacing w:after="20"/>
            </w:pPr>
            <w:r/>
            <w:r>
              <w:rPr>
                <w:rFonts w:ascii="Times New Roman" w:hAnsi="Times New Roman"/>
                <w:b w:val="0"/>
                <w:sz w:val="18"/>
              </w:rPr>
              <w:t>Guest lectures, seminars and practicals at MATE and (where possible) AU Plovdiv; ≥2 peer-reviewed publications targeted, possible third methods paper.</w:t>
            </w:r>
          </w:p>
        </w:tc>
        <w:tc>
          <w:tcPr>
            <w:tcW w:type="dxa" w:w="2494"/>
          </w:tcPr>
          <w:p>
            <w:pPr>
              <w:spacing w:after="20"/>
            </w:pPr>
            <w:r/>
            <w:r>
              <w:rPr>
                <w:rFonts w:ascii="Times New Roman" w:hAnsi="Times New Roman"/>
                <w:b w:val="0"/>
                <w:sz w:val="18"/>
              </w:rPr>
              <w:t>CDP; publications</w:t>
            </w:r>
          </w:p>
        </w:tc>
      </w:tr>
    </w:tbl>
    <w:p>
      <w:pPr>
        <w:spacing w:after="40"/>
      </w:pPr>
    </w:p>
    <w:p>
      <w:pPr>
        <w:jc w:val="both"/>
      </w:pPr>
      <w:r>
        <w:rPr>
          <w:rFonts w:ascii="Times New Roman" w:hAnsi="Times New Roman"/>
          <w:b w:val="0"/>
          <w:sz w:val="22"/>
        </w:rPr>
        <w:t>By completion the fellow will have carried one scientific concept through biological definition, model development, unseen-condition validation, software implementation and industrial evaluation. That is a distinctive cross-sectoral profile for academic and non-academic destinations. The Career Development Plan makes the pathway auditable and adaptive. Working-condition alignment with the European Charter for Researchers is evidenced at instrument level, and no institutional HR award is claimed.</w:t>
      </w:r>
    </w:p>
    <w:p>
      <w:pPr>
        <w:spacing w:before="120"/>
      </w:pPr>
      <w:r>
        <w:rPr>
          <w:rFonts w:ascii="Times New Roman" w:hAnsi="Times New Roman"/>
          <w:b/>
          <w:sz w:val="22"/>
        </w:rPr>
        <w:t>2.2 Suitability and quality of the measures to maximise expected outcomes and impacts, as set out in the dissemination and exploitation plan, including communication activities</w:t>
      </w:r>
    </w:p>
    <w:p>
      <w:pPr>
        <w:jc w:val="both"/>
      </w:pPr>
      <w:r>
        <w:rPr>
          <w:rFonts w:ascii="Times New Roman" w:hAnsi="Times New Roman"/>
          <w:b w:val="0"/>
          <w:sz w:val="22"/>
        </w:rPr>
        <w:t>The plan is scaled to what one experienced researcher can credibly deliver and runs as a continuous strand across the whole action. Five target groups are addressed through matched channels: research communities; growers and advisors in Hungary and Bulgaria; the FMIS/agri-software industry; students; and the public through the SDG 2/6/12/13 frame.</w:t>
      </w:r>
    </w:p>
    <w:tbl>
      <w:tblPr>
        <w:tblStyle w:val="TableGrid"/>
        <w:tblW w:type="auto" w:w="0"/>
        <w:tblLook w:firstColumn="1" w:firstRow="1" w:lastColumn="0" w:lastRow="0" w:noHBand="0" w:noVBand="1" w:val="04A0"/>
      </w:tblPr>
      <w:tblGrid>
        <w:gridCol w:w="2551"/>
        <w:gridCol w:w="2551"/>
        <w:gridCol w:w="2551"/>
        <w:gridCol w:w="2551"/>
      </w:tblGrid>
      <w:tr>
        <w:tc>
          <w:tcPr>
            <w:tcW w:type="dxa" w:w="1474"/>
          </w:tcPr>
          <w:p>
            <w:pPr>
              <w:spacing w:after="20"/>
            </w:pPr>
            <w:r/>
            <w:r>
              <w:rPr>
                <w:rFonts w:ascii="Times New Roman" w:hAnsi="Times New Roman"/>
                <w:b/>
                <w:sz w:val="18"/>
              </w:rPr>
              <w:t>Strand</w:t>
            </w:r>
          </w:p>
        </w:tc>
        <w:tc>
          <w:tcPr>
            <w:tcW w:type="dxa" w:w="2381"/>
          </w:tcPr>
          <w:p>
            <w:pPr>
              <w:spacing w:after="20"/>
            </w:pPr>
            <w:r/>
            <w:r>
              <w:rPr>
                <w:rFonts w:ascii="Times New Roman" w:hAnsi="Times New Roman"/>
                <w:b/>
                <w:sz w:val="18"/>
              </w:rPr>
              <w:t>Target groups</w:t>
            </w:r>
          </w:p>
        </w:tc>
        <w:tc>
          <w:tcPr>
            <w:tcW w:type="dxa" w:w="4649"/>
          </w:tcPr>
          <w:p>
            <w:pPr>
              <w:spacing w:after="20"/>
            </w:pPr>
            <w:r/>
            <w:r>
              <w:rPr>
                <w:rFonts w:ascii="Times New Roman" w:hAnsi="Times New Roman"/>
                <w:b/>
                <w:sz w:val="18"/>
              </w:rPr>
              <w:t>Measures and concrete outputs</w:t>
            </w:r>
          </w:p>
        </w:tc>
        <w:tc>
          <w:tcPr>
            <w:tcW w:type="dxa" w:w="1587"/>
          </w:tcPr>
          <w:p>
            <w:pPr>
              <w:spacing w:after="20"/>
            </w:pPr>
            <w:r/>
            <w:r>
              <w:rPr>
                <w:rFonts w:ascii="Times New Roman" w:hAnsi="Times New Roman"/>
                <w:b/>
                <w:sz w:val="18"/>
              </w:rPr>
              <w:t>Deliverables</w:t>
            </w:r>
          </w:p>
        </w:tc>
      </w:tr>
      <w:tr>
        <w:tc>
          <w:tcPr>
            <w:tcW w:type="dxa" w:w="1474"/>
          </w:tcPr>
          <w:p>
            <w:pPr>
              <w:spacing w:after="20"/>
            </w:pPr>
            <w:r/>
            <w:r>
              <w:rPr>
                <w:rFonts w:ascii="Times New Roman" w:hAnsi="Times New Roman"/>
                <w:b w:val="0"/>
                <w:sz w:val="18"/>
              </w:rPr>
              <w:t>Dissemination</w:t>
            </w:r>
          </w:p>
        </w:tc>
        <w:tc>
          <w:tcPr>
            <w:tcW w:type="dxa" w:w="2381"/>
          </w:tcPr>
          <w:p>
            <w:pPr>
              <w:spacing w:after="20"/>
            </w:pPr>
            <w:r/>
            <w:r>
              <w:rPr>
                <w:rFonts w:ascii="Times New Roman" w:hAnsi="Times New Roman"/>
                <w:b w:val="0"/>
                <w:sz w:val="18"/>
              </w:rPr>
              <w:t>Plant-physiology, crop-modelling, RS/EO and precision-agriculture communities; students</w:t>
            </w:r>
          </w:p>
        </w:tc>
        <w:tc>
          <w:tcPr>
            <w:tcW w:type="dxa" w:w="4649"/>
          </w:tcPr>
          <w:p>
            <w:pPr>
              <w:spacing w:after="20"/>
            </w:pPr>
            <w:r/>
            <w:r>
              <w:rPr>
                <w:rFonts w:ascii="Times New Roman" w:hAnsi="Times New Roman"/>
                <w:b w:val="0"/>
                <w:sz w:val="18"/>
              </w:rPr>
              <w:t>≥2 peer-reviewed papers (open-access targeted, possible third); citable model card and crop-transfer specification; the prospectively measured transfer gap published, not hidden; teaching route at MATE / AU Plovdiv.</w:t>
            </w:r>
          </w:p>
        </w:tc>
        <w:tc>
          <w:tcPr>
            <w:tcW w:type="dxa" w:w="1587"/>
          </w:tcPr>
          <w:p>
            <w:pPr>
              <w:spacing w:after="20"/>
            </w:pPr>
            <w:r/>
            <w:r>
              <w:rPr>
                <w:rFonts w:ascii="Times New Roman" w:hAnsi="Times New Roman"/>
                <w:b w:val="0"/>
                <w:sz w:val="18"/>
              </w:rPr>
              <w:t>D1.4 (M3); D1.5 (M14); D2.2 (M18)</w:t>
            </w:r>
          </w:p>
        </w:tc>
      </w:tr>
      <w:tr>
        <w:tc>
          <w:tcPr>
            <w:tcW w:type="dxa" w:w="1474"/>
          </w:tcPr>
          <w:p>
            <w:pPr>
              <w:spacing w:after="20"/>
            </w:pPr>
            <w:r/>
            <w:r>
              <w:rPr>
                <w:rFonts w:ascii="Times New Roman" w:hAnsi="Times New Roman"/>
                <w:b w:val="0"/>
                <w:sz w:val="18"/>
              </w:rPr>
              <w:t>Communication</w:t>
            </w:r>
          </w:p>
        </w:tc>
        <w:tc>
          <w:tcPr>
            <w:tcW w:type="dxa" w:w="2381"/>
          </w:tcPr>
          <w:p>
            <w:pPr>
              <w:spacing w:after="20"/>
            </w:pPr>
            <w:r/>
            <w:r>
              <w:rPr>
                <w:rFonts w:ascii="Times New Roman" w:hAnsi="Times New Roman"/>
                <w:b w:val="0"/>
                <w:sz w:val="18"/>
              </w:rPr>
              <w:t>Commercial vegetable growers (HU/BG); agronomic advisors; interested public</w:t>
            </w:r>
          </w:p>
        </w:tc>
        <w:tc>
          <w:tcPr>
            <w:tcW w:type="dxa" w:w="4649"/>
          </w:tcPr>
          <w:p>
            <w:pPr>
              <w:spacing w:after="20"/>
            </w:pPr>
            <w:r/>
            <w:r>
              <w:rPr>
                <w:rFonts w:ascii="Times New Roman" w:hAnsi="Times New Roman"/>
                <w:b w:val="0"/>
                <w:sz w:val="18"/>
              </w:rPr>
              <w:t>Practitioner demonstrations of stress and uncertainty outputs; ≥1 public-facing article per year; Bulgarian farmer-facing demonstrations through Krumatic; conditional Szentendre Skanzen demo; no unearned numeric water-saving claims.</w:t>
            </w:r>
          </w:p>
        </w:tc>
        <w:tc>
          <w:tcPr>
            <w:tcW w:type="dxa" w:w="1587"/>
          </w:tcPr>
          <w:p>
            <w:pPr>
              <w:spacing w:after="20"/>
            </w:pPr>
            <w:r/>
            <w:r>
              <w:rPr>
                <w:rFonts w:ascii="Times New Roman" w:hAnsi="Times New Roman"/>
                <w:b w:val="0"/>
                <w:sz w:val="18"/>
              </w:rPr>
              <w:t>Annual articles; demos</w:t>
            </w:r>
          </w:p>
        </w:tc>
      </w:tr>
      <w:tr>
        <w:tc>
          <w:tcPr>
            <w:tcW w:type="dxa" w:w="1474"/>
          </w:tcPr>
          <w:p>
            <w:pPr>
              <w:spacing w:after="20"/>
            </w:pPr>
            <w:r/>
            <w:r>
              <w:rPr>
                <w:rFonts w:ascii="Times New Roman" w:hAnsi="Times New Roman"/>
                <w:b w:val="0"/>
                <w:sz w:val="18"/>
              </w:rPr>
              <w:t>Exploitation</w:t>
            </w:r>
          </w:p>
        </w:tc>
        <w:tc>
          <w:tcPr>
            <w:tcW w:type="dxa" w:w="2381"/>
          </w:tcPr>
          <w:p>
            <w:pPr>
              <w:spacing w:after="20"/>
            </w:pPr>
            <w:r/>
            <w:r>
              <w:rPr>
                <w:rFonts w:ascii="Times New Roman" w:hAnsi="Times New Roman"/>
                <w:b w:val="0"/>
                <w:sz w:val="18"/>
              </w:rPr>
              <w:t>FMIS providers and agricultural-software developers; growers via them</w:t>
            </w:r>
          </w:p>
        </w:tc>
        <w:tc>
          <w:tcPr>
            <w:tcW w:type="dxa" w:w="4649"/>
          </w:tcPr>
          <w:p>
            <w:pPr>
              <w:spacing w:after="20"/>
            </w:pPr>
            <w:r/>
            <w:r>
              <w:rPr>
                <w:rFonts w:ascii="Times New Roman" w:hAnsi="Times New Roman"/>
                <w:b w:val="0"/>
                <w:sz w:val="18"/>
              </w:rPr>
              <w:t>Crop-configurable DrR web MVP with validated tomato module; pre-placement dossier; AgroVIR operational/interoperability assessment; post-MSCA FMIS roadmap; MVCRI replication route; Krumatic Bulgarian uptake.</w:t>
            </w:r>
          </w:p>
        </w:tc>
        <w:tc>
          <w:tcPr>
            <w:tcW w:type="dxa" w:w="1587"/>
          </w:tcPr>
          <w:p>
            <w:pPr>
              <w:spacing w:after="20"/>
            </w:pPr>
            <w:r/>
            <w:r>
              <w:rPr>
                <w:rFonts w:ascii="Times New Roman" w:hAnsi="Times New Roman"/>
                <w:b w:val="0"/>
                <w:sz w:val="18"/>
              </w:rPr>
              <w:t>D3.1, D3.2 (M24); D4.1, D4.2 (M30)</w:t>
            </w:r>
          </w:p>
        </w:tc>
      </w:tr>
      <w:tr>
        <w:tc>
          <w:tcPr>
            <w:tcW w:type="dxa" w:w="1474"/>
          </w:tcPr>
          <w:p>
            <w:pPr>
              <w:spacing w:after="20"/>
            </w:pPr>
            <w:r/>
            <w:r>
              <w:rPr>
                <w:rFonts w:ascii="Times New Roman" w:hAnsi="Times New Roman"/>
                <w:b w:val="0"/>
                <w:sz w:val="18"/>
              </w:rPr>
              <w:t>IP management</w:t>
            </w:r>
          </w:p>
        </w:tc>
        <w:tc>
          <w:tcPr>
            <w:tcW w:type="dxa" w:w="2381"/>
          </w:tcPr>
          <w:p>
            <w:pPr>
              <w:spacing w:after="20"/>
            </w:pPr>
            <w:r/>
            <w:r>
              <w:rPr>
                <w:rFonts w:ascii="Times New Roman" w:hAnsi="Times New Roman"/>
                <w:b w:val="0"/>
                <w:sz w:val="18"/>
              </w:rPr>
              <w:t>–</w:t>
            </w:r>
          </w:p>
        </w:tc>
        <w:tc>
          <w:tcPr>
            <w:tcW w:type="dxa" w:w="4649"/>
          </w:tcPr>
          <w:p>
            <w:pPr>
              <w:spacing w:after="20"/>
            </w:pPr>
            <w:r/>
            <w:r>
              <w:rPr>
                <w:rFonts w:ascii="Times New Roman" w:hAnsi="Times New Roman"/>
                <w:b w:val="0"/>
                <w:sz w:val="18"/>
              </w:rPr>
              <w:t>Separate rights layers (DrR background / FIELDWISE foreground / institutional datasets / partner code); maintained inventory; dated DrR background declaration with deposit; placement agreement fixes ownership (grant-agreement default, HUN-REN ATK) and DrR access; Krumatic code-IP via pre-grant development agreement.</w:t>
            </w:r>
          </w:p>
        </w:tc>
        <w:tc>
          <w:tcPr>
            <w:tcW w:type="dxa" w:w="1587"/>
          </w:tcPr>
          <w:p>
            <w:pPr>
              <w:spacing w:after="20"/>
            </w:pPr>
            <w:r/>
            <w:r>
              <w:rPr>
                <w:rFonts w:ascii="Times New Roman" w:hAnsi="Times New Roman"/>
                <w:b w:val="0"/>
                <w:sz w:val="18"/>
              </w:rPr>
              <w:t>Inventory; pre-grant agreements</w:t>
            </w:r>
          </w:p>
        </w:tc>
      </w:tr>
    </w:tbl>
    <w:p>
      <w:pPr>
        <w:spacing w:after="40"/>
      </w:pPr>
    </w:p>
    <w:p>
      <w:pPr>
        <w:jc w:val="both"/>
      </w:pPr>
      <w:r>
        <w:rPr>
          <w:rFonts w:ascii="Times New Roman" w:hAnsi="Times New Roman"/>
          <w:b w:val="0"/>
          <w:sz w:val="22"/>
        </w:rPr>
        <w:t>Reach and uptake are measured through owner-committed indicators. Field demonstrations target at least 15 practitioners each. Public-facing articles target at least 300 views where the outlet reports analytics, otherwise a named sector outlet. Scientific dissemination targets two named events: the EGU General Assembly and the European Conference on Precision Agriculture (ECPA). The committed output set: at least two conference presentations; at least two peer-reviewed manuscripts submitted, one targeted for publication within the fellowship; a specialised training school or workshop; two institutional seminars; an industry or end-user workshop; an exploitation consultation; and a European Researchers' Night activity. The AgroVIR evaluation is completed across all six assessment dimensions (K9), and repository downloads and citations of the model card and crop-transfer specification are monitored from release, not promised.</w:t>
      </w:r>
    </w:p>
    <w:p>
      <w:pPr>
        <w:spacing w:before="120"/>
      </w:pPr>
      <w:r>
        <w:rPr>
          <w:rFonts w:ascii="Times New Roman" w:hAnsi="Times New Roman"/>
          <w:b/>
          <w:sz w:val="22"/>
        </w:rPr>
        <w:t>2.3 The magnitude and importance of the project's contribution to the expected scientific, societal and economic impacts</w:t>
      </w:r>
    </w:p>
    <w:p>
      <w:pPr>
        <w:jc w:val="both"/>
      </w:pPr>
      <w:r>
        <w:rPr>
          <w:rFonts w:ascii="Times New Roman" w:hAnsi="Times New Roman"/>
          <w:b w:val="0"/>
          <w:sz w:val="22"/>
        </w:rPr>
        <w:t>The impact claim is calibrated to a single-fellow, 30-month action: FIELDWISE quantifies what it controls and contextualises the rest from published literature. The durable result is methodological: which water-stress relationships survive the transition toward field-scale monitoring, and which workflow components are reusable beyond the development crop.</w:t>
      </w:r>
    </w:p>
    <w:tbl>
      <w:tblPr>
        <w:tblStyle w:val="TableGrid"/>
        <w:tblW w:type="auto" w:w="0"/>
        <w:tblLook w:firstColumn="1" w:firstRow="1" w:lastColumn="0" w:lastRow="0" w:noHBand="0" w:noVBand="1" w:val="04A0"/>
      </w:tblPr>
      <w:tblGrid>
        <w:gridCol w:w="3402"/>
        <w:gridCol w:w="3402"/>
        <w:gridCol w:w="3402"/>
      </w:tblGrid>
      <w:tr>
        <w:tc>
          <w:tcPr>
            <w:tcW w:type="dxa" w:w="1474"/>
          </w:tcPr>
          <w:p>
            <w:pPr>
              <w:spacing w:after="20"/>
            </w:pPr>
            <w:r/>
            <w:r>
              <w:rPr>
                <w:rFonts w:ascii="Times New Roman" w:hAnsi="Times New Roman"/>
                <w:b/>
                <w:sz w:val="18"/>
              </w:rPr>
              <w:t>Dimension</w:t>
            </w:r>
          </w:p>
        </w:tc>
        <w:tc>
          <w:tcPr>
            <w:tcW w:type="dxa" w:w="3969"/>
          </w:tcPr>
          <w:p>
            <w:pPr>
              <w:spacing w:after="20"/>
            </w:pPr>
            <w:r/>
            <w:r>
              <w:rPr>
                <w:rFonts w:ascii="Times New Roman" w:hAnsi="Times New Roman"/>
                <w:b/>
                <w:sz w:val="18"/>
              </w:rPr>
              <w:t>Contribution (mechanism)</w:t>
            </w:r>
          </w:p>
        </w:tc>
        <w:tc>
          <w:tcPr>
            <w:tcW w:type="dxa" w:w="4649"/>
          </w:tcPr>
          <w:p>
            <w:pPr>
              <w:spacing w:after="20"/>
            </w:pPr>
            <w:r/>
            <w:r>
              <w:rPr>
                <w:rFonts w:ascii="Times New Roman" w:hAnsi="Times New Roman"/>
                <w:b/>
                <w:sz w:val="18"/>
              </w:rPr>
              <w:t>Magnitude and importance</w:t>
            </w:r>
          </w:p>
        </w:tc>
      </w:tr>
      <w:tr>
        <w:tc>
          <w:tcPr>
            <w:tcW w:type="dxa" w:w="1474"/>
          </w:tcPr>
          <w:p>
            <w:pPr>
              <w:spacing w:after="20"/>
            </w:pPr>
            <w:r/>
            <w:r>
              <w:rPr>
                <w:rFonts w:ascii="Times New Roman" w:hAnsi="Times New Roman"/>
                <w:b w:val="0"/>
                <w:sz w:val="18"/>
              </w:rPr>
              <w:t>Scientific</w:t>
            </w:r>
          </w:p>
        </w:tc>
        <w:tc>
          <w:tcPr>
            <w:tcW w:type="dxa" w:w="3969"/>
          </w:tcPr>
          <w:p>
            <w:pPr>
              <w:spacing w:after="20"/>
            </w:pPr>
            <w:r/>
            <w:r>
              <w:rPr>
                <w:rFonts w:ascii="Times New Roman" w:hAnsi="Times New Roman"/>
                <w:b w:val="0"/>
                <w:sz w:val="18"/>
              </w:rPr>
              <w:t>A validation framework judging operational data streams against independent plant-level ground truth under unseen-year and new-field conditions; reusable-vs-crop-specific separation; citable model card and crop-transfer specification; the transfer gap stated as a result (D2.2).</w:t>
            </w:r>
          </w:p>
        </w:tc>
        <w:tc>
          <w:tcPr>
            <w:tcW w:type="dxa" w:w="4649"/>
          </w:tcPr>
          <w:p>
            <w:pPr>
              <w:spacing w:after="20"/>
            </w:pPr>
            <w:r/>
            <w:r>
              <w:rPr>
                <w:rFonts w:ascii="Times New Roman" w:hAnsi="Times New Roman"/>
                <w:b w:val="0"/>
                <w:sz w:val="18"/>
              </w:rPr>
              <w:t>A portable methodology other groups adopt without opaque AI; confronts the weakness that retrospective accuracy does not survive leakage-safe or prospective testing; magnitude scales with reuse.</w:t>
            </w:r>
          </w:p>
        </w:tc>
      </w:tr>
      <w:tr>
        <w:tc>
          <w:tcPr>
            <w:tcW w:type="dxa" w:w="1474"/>
          </w:tcPr>
          <w:p>
            <w:pPr>
              <w:spacing w:after="20"/>
            </w:pPr>
            <w:r/>
            <w:r>
              <w:rPr>
                <w:rFonts w:ascii="Times New Roman" w:hAnsi="Times New Roman"/>
                <w:b w:val="0"/>
                <w:sz w:val="18"/>
              </w:rPr>
              <w:t>Agricultural &amp; environmental</w:t>
            </w:r>
          </w:p>
        </w:tc>
        <w:tc>
          <w:tcPr>
            <w:tcW w:type="dxa" w:w="3969"/>
          </w:tcPr>
          <w:p>
            <w:pPr>
              <w:spacing w:after="20"/>
            </w:pPr>
            <w:r/>
            <w:r>
              <w:rPr>
                <w:rFonts w:ascii="Times New Roman" w:hAnsi="Times New Roman"/>
                <w:b w:val="0"/>
                <w:sz w:val="18"/>
              </w:rPr>
              <w:t>Physiology- and plant-stage-aware irrigation timing; the project reports its own measured water, yield, quality and uncertainty results from prospective validation.</w:t>
            </w:r>
          </w:p>
        </w:tc>
        <w:tc>
          <w:tcPr>
            <w:tcW w:type="dxa" w:w="4649"/>
          </w:tcPr>
          <w:p>
            <w:pPr>
              <w:spacing w:after="20"/>
            </w:pPr>
            <w:r/>
            <w:r>
              <w:rPr>
                <w:rFonts w:ascii="Times New Roman" w:hAnsi="Times New Roman"/>
                <w:b w:val="0"/>
                <w:sz w:val="18"/>
              </w:rPr>
              <w:t>Literature-bounded context, not a promise: published processing-tomato strategies report ≈8–30% water savings (Carucci et al. 2023</w:t>
            </w:r>
            <w:r>
              <w:rPr>
                <w:rFonts w:ascii="Times New Roman" w:hAnsi="Times New Roman"/>
                <w:sz w:val="18"/>
                <w:vertAlign w:val="superscript"/>
              </w:rPr>
              <w:footnoteReference w:id="6"/>
            </w:r>
            <w:r>
              <w:rPr>
                <w:rFonts w:ascii="Times New Roman" w:hAnsi="Times New Roman"/>
                <w:b w:val="0"/>
                <w:sz w:val="18"/>
              </w:rPr>
              <w:t>; Badr et al. 2026</w:t>
            </w:r>
            <w:r>
              <w:rPr>
                <w:rFonts w:ascii="Times New Roman" w:hAnsi="Times New Roman"/>
                <w:sz w:val="18"/>
                <w:vertAlign w:val="superscript"/>
              </w:rPr>
              <w:footnoteReference w:id="7"/>
            </w:r>
            <w:r>
              <w:rPr>
                <w:rFonts w:ascii="Times New Roman" w:hAnsi="Times New Roman"/>
                <w:b w:val="0"/>
                <w:sz w:val="18"/>
              </w:rPr>
              <w:t>). Serves SDG 2, 6, 12, 13; makes water–yield trade-offs visible earlier.</w:t>
            </w:r>
          </w:p>
        </w:tc>
      </w:tr>
      <w:tr>
        <w:tc>
          <w:tcPr>
            <w:tcW w:type="dxa" w:w="1474"/>
          </w:tcPr>
          <w:p>
            <w:pPr>
              <w:spacing w:after="20"/>
            </w:pPr>
            <w:r/>
            <w:r>
              <w:rPr>
                <w:rFonts w:ascii="Times New Roman" w:hAnsi="Times New Roman"/>
                <w:b w:val="0"/>
                <w:sz w:val="18"/>
              </w:rPr>
              <w:t>Technological &amp; economic</w:t>
            </w:r>
          </w:p>
        </w:tc>
        <w:tc>
          <w:tcPr>
            <w:tcW w:type="dxa" w:w="3969"/>
          </w:tcPr>
          <w:p>
            <w:pPr>
              <w:spacing w:after="20"/>
            </w:pPr>
            <w:r/>
            <w:r>
              <w:rPr>
                <w:rFonts w:ascii="Times New Roman" w:hAnsi="Times New Roman"/>
                <w:b w:val="0"/>
                <w:sz w:val="18"/>
              </w:rPr>
              <w:t>Crop-configurable DrR web MVP (validated tomato module); AgroVIR requirements, assessment and post-MSCA FMIS roadmap; Krumatic implementation and Bulgarian uptake.</w:t>
            </w:r>
          </w:p>
        </w:tc>
        <w:tc>
          <w:tcPr>
            <w:tcW w:type="dxa" w:w="4649"/>
          </w:tcPr>
          <w:p>
            <w:pPr>
              <w:spacing w:after="20"/>
            </w:pPr>
            <w:r/>
            <w:r>
              <w:rPr>
                <w:rFonts w:ascii="Times New Roman" w:hAnsi="Times New Roman"/>
                <w:b w:val="0"/>
                <w:sz w:val="18"/>
              </w:rPr>
              <w:t>Uptake targets an existing operational base: the placement partner reports an FMIS in production use on &gt;745,000 ha in eight countries (company-declared, pending written confirmation). No invented EUR/ha claims; measured operational metrics enable later economic assessment.</w:t>
            </w:r>
          </w:p>
        </w:tc>
      </w:tr>
      <w:tr>
        <w:tc>
          <w:tcPr>
            <w:tcW w:type="dxa" w:w="1474"/>
          </w:tcPr>
          <w:p>
            <w:pPr>
              <w:spacing w:after="20"/>
            </w:pPr>
            <w:r/>
            <w:r>
              <w:rPr>
                <w:rFonts w:ascii="Times New Roman" w:hAnsi="Times New Roman"/>
                <w:b w:val="0"/>
                <w:sz w:val="18"/>
              </w:rPr>
              <w:t>European &amp; societal</w:t>
            </w:r>
          </w:p>
        </w:tc>
        <w:tc>
          <w:tcPr>
            <w:tcW w:type="dxa" w:w="3969"/>
          </w:tcPr>
          <w:p>
            <w:pPr>
              <w:spacing w:after="20"/>
            </w:pPr>
            <w:r/>
            <w:r>
              <w:rPr>
                <w:rFonts w:ascii="Times New Roman" w:hAnsi="Times New Roman"/>
                <w:b w:val="0"/>
                <w:sz w:val="18"/>
              </w:rPr>
              <w:t>Hungary–Bulgaria scientific and mobility bridge; named reuse channels: industrial (AgroVIR), cross-border software (Krumatic), institutional replication (MVCRI).</w:t>
            </w:r>
          </w:p>
        </w:tc>
        <w:tc>
          <w:tcPr>
            <w:tcW w:type="dxa" w:w="4649"/>
          </w:tcPr>
          <w:p>
            <w:pPr>
              <w:spacing w:after="20"/>
            </w:pPr>
            <w:r/>
            <w:r>
              <w:rPr>
                <w:rFonts w:ascii="Times New Roman" w:hAnsi="Times New Roman"/>
                <w:b w:val="0"/>
                <w:sz w:val="18"/>
              </w:rPr>
              <w:t>Potential domain, not addressable market: EU fresh vegetables ≈2.0 million ha (Eurostat 2023), ≈0.7 million farms (2020 census). The realistic near-term segment is the HU/BG processing-tomato sector: in Hungary the principal Univer raw-material network integrates ≈1,500 ha and nearly 100 farmers, about 70–80% of national production (industry-reported figures; citation pending, flagged); in Bulgaria ≈1,100 ha contracted by the three main processors in 2024 (WPTC tables). Together this is an immediately relevant domain of ≈2,600 ha.</w:t>
            </w:r>
          </w:p>
        </w:tc>
      </w:tr>
    </w:tbl>
    <w:p>
      <w:pPr>
        <w:spacing w:after="40"/>
      </w:pPr>
    </w:p>
    <w:p>
      <w:pPr>
        <w:jc w:val="both"/>
      </w:pPr>
      <w:r>
        <w:rPr>
          <w:rFonts w:ascii="Times New Roman" w:hAnsi="Times New Roman"/>
          <w:b w:val="0"/>
          <w:sz w:val="22"/>
        </w:rPr>
        <w:t>The project's own claimed value is correct stress detection, warning lead time, uncertainty honesty, usability and irrigation-attention relevance. Lead time is quantified prospectively with the pre-registered metric, and no fixed numerical lead-time benefit is claimed before validation. Delivery is auditable through eleven KPIs, each measuring something the project controls and traced to a named deliverable. The research base: K1 harmonised archive coverage (D1.1); K2 predefined stress target and validation design (D1.2); K3 documented released model (D1.4); K4 crop-transfer specification (D1.5). Validation: K5 independent validation dataset (D2.1); K6 quantified transfer gap (D2.2). Operationalisation and career: K7 delivered MVP (D3.1); K8 pre-placement readiness dossier (D3.2); K9 completed external evaluation (D4.1); K10 defined integration path (D4.2); K11 Career Development Plan agreed and reviewed (D1.3).</w:t>
      </w:r>
    </w:p>
    <w:p>
      <w:pPr>
        <w:jc w:val="both"/>
      </w:pPr>
      <w:r>
        <w:rPr>
          <w:rFonts w:ascii="Times New Roman" w:hAnsi="Times New Roman"/>
          <w:b w:val="0"/>
          <w:sz w:val="22"/>
        </w:rPr>
        <w:t>Magnitude within the fellowship is modest and honestly bounded: one validated crop module, one instrumented commercial field, one industrial evaluation. But every quantified magnitude is either published literature labelled as context or measured from the project's own prospective data. The transferable core, the crop gates and the MVCRI route extend the reach beyond the 24-month scientific programme.</w:t>
      </w:r>
    </w:p>
    <w:p>
      <w:pPr>
        <w:spacing w:before="160"/>
      </w:pPr>
      <w:r>
        <w:rPr>
          <w:rFonts w:ascii="Times New Roman" w:hAnsi="Times New Roman"/>
          <w:b/>
          <w:sz w:val="25"/>
        </w:rPr>
        <w:t>3. Quality and Efficiency of the Implementation</w:t>
      </w:r>
    </w:p>
    <w:p>
      <w:pPr>
        <w:spacing w:before="120"/>
      </w:pPr>
      <w:r>
        <w:rPr>
          <w:rFonts w:ascii="Times New Roman" w:hAnsi="Times New Roman"/>
          <w:b/>
          <w:sz w:val="22"/>
        </w:rPr>
        <w:t>3.1 Quality and effectiveness of the work plan, assessment of risks and appropriateness of the effort assigned to work packages</w:t>
      </w:r>
    </w:p>
    <w:p>
      <w:pPr>
        <w:jc w:val="both"/>
      </w:pPr>
      <w:r>
        <w:rPr>
          <w:rFonts w:ascii="Times New Roman" w:hAnsi="Times New Roman"/>
          <w:b w:val="0"/>
          <w:sz w:val="22"/>
        </w:rPr>
        <w:t>FIELDWISE is a single-beneficiary 30-month European Fellowship: a 24-month research fellowship at HUN-REN ATK followed by a 6-month non-academic placement at AgroVIR. The fellow personally executes the scientific content of every work package. Partners contribute supervision, data, instruments and software engineering in kind. The plan is compact: four work packages, eleven deliverables and six milestones, following the causal chain from evidence to operation. The primary model is frozen at month 3 (MS6), before the first prospective field season, so the validation is out-of-sample.</w:t>
      </w:r>
    </w:p>
    <w:tbl>
      <w:tblPr>
        <w:tblStyle w:val="TableGrid"/>
        <w:tblW w:type="auto" w:w="0"/>
        <w:tblLook w:firstColumn="1" w:firstRow="1" w:lastColumn="0" w:lastRow="0" w:noHBand="0" w:noVBand="1" w:val="04A0"/>
      </w:tblPr>
      <w:tblGrid>
        <w:gridCol w:w="2551"/>
        <w:gridCol w:w="2551"/>
        <w:gridCol w:w="2551"/>
        <w:gridCol w:w="2551"/>
      </w:tblGrid>
      <w:tr>
        <w:tc>
          <w:tcPr>
            <w:tcW w:type="dxa" w:w="2608"/>
          </w:tcPr>
          <w:p>
            <w:pPr>
              <w:spacing w:after="20"/>
            </w:pPr>
            <w:r/>
            <w:r>
              <w:rPr>
                <w:rFonts w:ascii="Times New Roman" w:hAnsi="Times New Roman"/>
                <w:b/>
                <w:sz w:val="18"/>
              </w:rPr>
              <w:t>Work package (lead)</w:t>
            </w:r>
          </w:p>
        </w:tc>
        <w:tc>
          <w:tcPr>
            <w:tcW w:type="dxa" w:w="907"/>
          </w:tcPr>
          <w:p>
            <w:pPr>
              <w:spacing w:after="20"/>
            </w:pPr>
            <w:r/>
            <w:r>
              <w:rPr>
                <w:rFonts w:ascii="Times New Roman" w:hAnsi="Times New Roman"/>
                <w:b/>
                <w:sz w:val="18"/>
              </w:rPr>
              <w:t>Months</w:t>
            </w:r>
          </w:p>
        </w:tc>
        <w:tc>
          <w:tcPr>
            <w:tcW w:type="dxa" w:w="4876"/>
          </w:tcPr>
          <w:p>
            <w:pPr>
              <w:spacing w:after="20"/>
            </w:pPr>
            <w:r/>
            <w:r>
              <w:rPr>
                <w:rFonts w:ascii="Times New Roman" w:hAnsi="Times New Roman"/>
                <w:b/>
                <w:sz w:val="18"/>
              </w:rPr>
              <w:t>Content</w:t>
            </w:r>
          </w:p>
        </w:tc>
        <w:tc>
          <w:tcPr>
            <w:tcW w:type="dxa" w:w="1701"/>
          </w:tcPr>
          <w:p>
            <w:pPr>
              <w:spacing w:after="20"/>
            </w:pPr>
            <w:r/>
            <w:r>
              <w:rPr>
                <w:rFonts w:ascii="Times New Roman" w:hAnsi="Times New Roman"/>
                <w:b/>
                <w:sz w:val="18"/>
              </w:rPr>
              <w:t>Deliverables</w:t>
            </w:r>
          </w:p>
        </w:tc>
      </w:tr>
      <w:tr>
        <w:tc>
          <w:tcPr>
            <w:tcW w:type="dxa" w:w="2608"/>
          </w:tcPr>
          <w:p>
            <w:pPr>
              <w:spacing w:after="20"/>
            </w:pPr>
            <w:r/>
            <w:r>
              <w:rPr>
                <w:rFonts w:ascii="Times New Roman" w:hAnsi="Times New Roman"/>
                <w:b w:val="0"/>
                <w:sz w:val="18"/>
              </w:rPr>
              <w:t>WP1 Data harmonisation, stress definition &amp; model development (HUN-REN ATK)</w:t>
            </w:r>
          </w:p>
        </w:tc>
        <w:tc>
          <w:tcPr>
            <w:tcW w:type="dxa" w:w="907"/>
          </w:tcPr>
          <w:p>
            <w:pPr>
              <w:spacing w:after="20"/>
            </w:pPr>
            <w:r/>
            <w:r>
              <w:rPr>
                <w:rFonts w:ascii="Times New Roman" w:hAnsi="Times New Roman"/>
                <w:b w:val="0"/>
                <w:sz w:val="18"/>
              </w:rPr>
              <w:t>M1–M14</w:t>
            </w:r>
          </w:p>
        </w:tc>
        <w:tc>
          <w:tcPr>
            <w:tcW w:type="dxa" w:w="4876"/>
          </w:tcPr>
          <w:p>
            <w:pPr>
              <w:spacing w:after="20"/>
            </w:pPr>
            <w:r/>
            <w:r>
              <w:rPr>
                <w:rFonts w:ascii="Times New Roman" w:hAnsi="Times New Roman"/>
                <w:b w:val="0"/>
                <w:sz w:val="18"/>
              </w:rPr>
              <w:t>Harmonise the 2022–2026 MATE archive into a QC-controlled common-variable matrix; fix a physiologically meaningful stress target and a pre-registered, leakage-safe validation protocol; develop and freeze the primary model at month 3; then spectral/UAV/Sentinel scaling and the crop-transfer specification.</w:t>
            </w:r>
          </w:p>
        </w:tc>
        <w:tc>
          <w:tcPr>
            <w:tcW w:type="dxa" w:w="1701"/>
          </w:tcPr>
          <w:p>
            <w:pPr>
              <w:spacing w:after="20"/>
            </w:pPr>
            <w:r/>
            <w:r>
              <w:rPr>
                <w:rFonts w:ascii="Times New Roman" w:hAnsi="Times New Roman"/>
                <w:b w:val="0"/>
                <w:sz w:val="18"/>
              </w:rPr>
              <w:t>D1.1 (M2); D1.2, D1.3 CDP, D1.4 (M3); D1.5 (M14)</w:t>
            </w:r>
          </w:p>
        </w:tc>
      </w:tr>
      <w:tr>
        <w:tc>
          <w:tcPr>
            <w:tcW w:type="dxa" w:w="2608"/>
          </w:tcPr>
          <w:p>
            <w:pPr>
              <w:spacing w:after="20"/>
            </w:pPr>
            <w:r/>
            <w:r>
              <w:rPr>
                <w:rFonts w:ascii="Times New Roman" w:hAnsi="Times New Roman"/>
                <w:b w:val="0"/>
                <w:sz w:val="18"/>
              </w:rPr>
              <w:t>WP2 Independent commercial-farmer prospective validation (scientific lead: the fellow at the beneficiary HUN-REN ATK, under host supervision)</w:t>
            </w:r>
          </w:p>
        </w:tc>
        <w:tc>
          <w:tcPr>
            <w:tcW w:type="dxa" w:w="907"/>
          </w:tcPr>
          <w:p>
            <w:pPr>
              <w:spacing w:after="20"/>
            </w:pPr>
            <w:r/>
            <w:r>
              <w:rPr>
                <w:rFonts w:ascii="Times New Roman" w:hAnsi="Times New Roman"/>
                <w:b w:val="0"/>
                <w:sz w:val="18"/>
              </w:rPr>
              <w:t>M4–M18</w:t>
            </w:r>
          </w:p>
        </w:tc>
        <w:tc>
          <w:tcPr>
            <w:tcW w:type="dxa" w:w="4876"/>
          </w:tcPr>
          <w:p>
            <w:pPr>
              <w:spacing w:after="20"/>
            </w:pPr>
            <w:r/>
            <w:r>
              <w:rPr>
                <w:rFonts w:ascii="Times New Roman" w:hAnsi="Times New Roman"/>
                <w:b w:val="0"/>
                <w:sz w:val="18"/>
              </w:rPr>
              <w:t>Written field access secured; project meteorological station and soil sensors installed; coordinated physiological, proximal, thermal, UAV and Sentinel campaigns; the frozen model applied prospectively and the transfer gap quantified with limited, transparent recalibration. The farmer hosts the validation environment; protocol, acceptance criteria, analysis and interpretation remain with the fellow.</w:t>
            </w:r>
          </w:p>
        </w:tc>
        <w:tc>
          <w:tcPr>
            <w:tcW w:type="dxa" w:w="1701"/>
          </w:tcPr>
          <w:p>
            <w:pPr>
              <w:spacing w:after="20"/>
            </w:pPr>
            <w:r/>
            <w:r>
              <w:rPr>
                <w:rFonts w:ascii="Times New Roman" w:hAnsi="Times New Roman"/>
                <w:b w:val="0"/>
                <w:sz w:val="18"/>
              </w:rPr>
              <w:t>D2.1, D2.2 (M18)</w:t>
            </w:r>
          </w:p>
        </w:tc>
      </w:tr>
      <w:tr>
        <w:tc>
          <w:tcPr>
            <w:tcW w:type="dxa" w:w="2608"/>
          </w:tcPr>
          <w:p>
            <w:pPr>
              <w:spacing w:after="20"/>
            </w:pPr>
            <w:r/>
            <w:r>
              <w:rPr>
                <w:rFonts w:ascii="Times New Roman" w:hAnsi="Times New Roman"/>
                <w:b w:val="0"/>
                <w:sz w:val="18"/>
              </w:rPr>
              <w:t>WP3 DrR web MVP, co-development &amp; exploitation preparation (Krumatic)</w:t>
            </w:r>
          </w:p>
        </w:tc>
        <w:tc>
          <w:tcPr>
            <w:tcW w:type="dxa" w:w="907"/>
          </w:tcPr>
          <w:p>
            <w:pPr>
              <w:spacing w:after="20"/>
            </w:pPr>
            <w:r/>
            <w:r>
              <w:rPr>
                <w:rFonts w:ascii="Times New Roman" w:hAnsi="Times New Roman"/>
                <w:b w:val="0"/>
                <w:sz w:val="18"/>
              </w:rPr>
              <w:t>M1–M24</w:t>
            </w:r>
          </w:p>
        </w:tc>
        <w:tc>
          <w:tcPr>
            <w:tcW w:type="dxa" w:w="4876"/>
          </w:tcPr>
          <w:p>
            <w:pPr>
              <w:spacing w:after="20"/>
            </w:pPr>
            <w:r/>
            <w:r>
              <w:rPr>
                <w:rFonts w:ascii="Times New Roman" w:hAnsi="Times New Roman"/>
                <w:b w:val="0"/>
                <w:sz w:val="18"/>
              </w:rPr>
              <w:t>Continuous co-development from month 1 with AgroVIR requirements consultation; incremental integration of validated functions; migration of the validated core; maintained background/foreground IP inventory.</w:t>
            </w:r>
          </w:p>
        </w:tc>
        <w:tc>
          <w:tcPr>
            <w:tcW w:type="dxa" w:w="1701"/>
          </w:tcPr>
          <w:p>
            <w:pPr>
              <w:spacing w:after="20"/>
            </w:pPr>
            <w:r/>
            <w:r>
              <w:rPr>
                <w:rFonts w:ascii="Times New Roman" w:hAnsi="Times New Roman"/>
                <w:b w:val="0"/>
                <w:sz w:val="18"/>
              </w:rPr>
              <w:t>D3.1, D3.2 (M24)</w:t>
            </w:r>
          </w:p>
        </w:tc>
      </w:tr>
      <w:tr>
        <w:tc>
          <w:tcPr>
            <w:tcW w:type="dxa" w:w="2608"/>
          </w:tcPr>
          <w:p>
            <w:pPr>
              <w:spacing w:after="20"/>
            </w:pPr>
            <w:r/>
            <w:r>
              <w:rPr>
                <w:rFonts w:ascii="Times New Roman" w:hAnsi="Times New Roman"/>
                <w:b w:val="0"/>
                <w:sz w:val="18"/>
              </w:rPr>
              <w:t>WP4 AgroVIR non-academic placement (AgroVIR)</w:t>
            </w:r>
          </w:p>
        </w:tc>
        <w:tc>
          <w:tcPr>
            <w:tcW w:type="dxa" w:w="907"/>
          </w:tcPr>
          <w:p>
            <w:pPr>
              <w:spacing w:after="20"/>
            </w:pPr>
            <w:r/>
            <w:r>
              <w:rPr>
                <w:rFonts w:ascii="Times New Roman" w:hAnsi="Times New Roman"/>
                <w:b w:val="0"/>
                <w:sz w:val="18"/>
              </w:rPr>
              <w:t>M25–M30</w:t>
            </w:r>
          </w:p>
        </w:tc>
        <w:tc>
          <w:tcPr>
            <w:tcW w:type="dxa" w:w="4876"/>
          </w:tcPr>
          <w:p>
            <w:pPr>
              <w:spacing w:after="20"/>
            </w:pPr>
            <w:r/>
            <w:r>
              <w:rPr>
                <w:rFonts w:ascii="Times New Roman" w:hAnsi="Times New Roman"/>
                <w:b w:val="0"/>
                <w:sz w:val="18"/>
              </w:rPr>
              <w:t>Operational evaluation of the MVP in a real FMIS environment (usability, missing-data behaviour, interoperability); post-MSCA integration and exploitation roadmap.</w:t>
            </w:r>
          </w:p>
        </w:tc>
        <w:tc>
          <w:tcPr>
            <w:tcW w:type="dxa" w:w="1701"/>
          </w:tcPr>
          <w:p>
            <w:pPr>
              <w:spacing w:after="20"/>
            </w:pPr>
            <w:r/>
            <w:r>
              <w:rPr>
                <w:rFonts w:ascii="Times New Roman" w:hAnsi="Times New Roman"/>
                <w:b w:val="0"/>
                <w:sz w:val="18"/>
              </w:rPr>
              <w:t>D4.1, D4.2 (M30)</w:t>
            </w:r>
          </w:p>
        </w:tc>
      </w:tr>
    </w:tbl>
    <w:p>
      <w:pPr>
        <w:spacing w:after="40"/>
      </w:pPr>
    </w:p>
    <w:tbl>
      <w:tblPr>
        <w:tblStyle w:val="TableGrid"/>
        <w:tblW w:type="auto" w:w="0"/>
        <w:tblLook w:firstColumn="1" w:firstRow="1" w:lastColumn="0" w:lastRow="0" w:noHBand="0" w:noVBand="1" w:val="04A0"/>
      </w:tblPr>
      <w:tblGrid>
        <w:gridCol w:w="3402"/>
        <w:gridCol w:w="3402"/>
        <w:gridCol w:w="3402"/>
      </w:tblGrid>
      <w:tr>
        <w:tc>
          <w:tcPr>
            <w:tcW w:type="dxa" w:w="1020"/>
          </w:tcPr>
          <w:p>
            <w:pPr>
              <w:spacing w:after="20"/>
            </w:pPr>
            <w:r/>
            <w:r>
              <w:rPr>
                <w:rFonts w:ascii="Times New Roman" w:hAnsi="Times New Roman"/>
                <w:b/>
                <w:sz w:val="18"/>
              </w:rPr>
              <w:t>Milestone</w:t>
            </w:r>
          </w:p>
        </w:tc>
        <w:tc>
          <w:tcPr>
            <w:tcW w:type="dxa" w:w="794"/>
          </w:tcPr>
          <w:p>
            <w:pPr>
              <w:spacing w:after="20"/>
            </w:pPr>
            <w:r/>
            <w:r>
              <w:rPr>
                <w:rFonts w:ascii="Times New Roman" w:hAnsi="Times New Roman"/>
                <w:b/>
                <w:sz w:val="18"/>
              </w:rPr>
              <w:t>Month</w:t>
            </w:r>
          </w:p>
        </w:tc>
        <w:tc>
          <w:tcPr>
            <w:tcW w:type="dxa" w:w="8277"/>
          </w:tcPr>
          <w:p>
            <w:pPr>
              <w:spacing w:after="20"/>
            </w:pPr>
            <w:r/>
            <w:r>
              <w:rPr>
                <w:rFonts w:ascii="Times New Roman" w:hAnsi="Times New Roman"/>
                <w:b/>
                <w:sz w:val="18"/>
              </w:rPr>
              <w:t>Verifiable achievement criterion</w:t>
            </w:r>
          </w:p>
        </w:tc>
      </w:tr>
      <w:tr>
        <w:tc>
          <w:tcPr>
            <w:tcW w:type="dxa" w:w="1020"/>
          </w:tcPr>
          <w:p>
            <w:pPr>
              <w:spacing w:after="20"/>
            </w:pPr>
            <w:r/>
            <w:r>
              <w:rPr>
                <w:rFonts w:ascii="Times New Roman" w:hAnsi="Times New Roman"/>
                <w:b w:val="0"/>
                <w:sz w:val="18"/>
              </w:rPr>
              <w:t>MS1</w:t>
            </w:r>
          </w:p>
        </w:tc>
        <w:tc>
          <w:tcPr>
            <w:tcW w:type="dxa" w:w="794"/>
          </w:tcPr>
          <w:p>
            <w:pPr>
              <w:spacing w:after="20"/>
            </w:pPr>
            <w:r/>
            <w:r>
              <w:rPr>
                <w:rFonts w:ascii="Times New Roman" w:hAnsi="Times New Roman"/>
                <w:b w:val="0"/>
                <w:sz w:val="18"/>
              </w:rPr>
              <w:t>M2</w:t>
            </w:r>
          </w:p>
        </w:tc>
        <w:tc>
          <w:tcPr>
            <w:tcW w:type="dxa" w:w="8277"/>
          </w:tcPr>
          <w:p>
            <w:pPr>
              <w:spacing w:after="20"/>
            </w:pPr>
            <w:r/>
            <w:r>
              <w:rPr>
                <w:rFonts w:ascii="Times New Roman" w:hAnsi="Times New Roman"/>
                <w:b w:val="0"/>
                <w:sz w:val="18"/>
              </w:rPr>
              <w:t>Historical knowledge base and target definition complete (D1.1 accepted).</w:t>
            </w:r>
          </w:p>
        </w:tc>
      </w:tr>
      <w:tr>
        <w:tc>
          <w:tcPr>
            <w:tcW w:type="dxa" w:w="1020"/>
          </w:tcPr>
          <w:p>
            <w:pPr>
              <w:spacing w:after="20"/>
            </w:pPr>
            <w:r/>
            <w:r>
              <w:rPr>
                <w:rFonts w:ascii="Times New Roman" w:hAnsi="Times New Roman"/>
                <w:b w:val="0"/>
                <w:sz w:val="18"/>
              </w:rPr>
              <w:t>MS6</w:t>
            </w:r>
          </w:p>
        </w:tc>
        <w:tc>
          <w:tcPr>
            <w:tcW w:type="dxa" w:w="794"/>
          </w:tcPr>
          <w:p>
            <w:pPr>
              <w:spacing w:after="20"/>
            </w:pPr>
            <w:r/>
            <w:r>
              <w:rPr>
                <w:rFonts w:ascii="Times New Roman" w:hAnsi="Times New Roman"/>
                <w:b w:val="0"/>
                <w:sz w:val="18"/>
              </w:rPr>
              <w:t>M3</w:t>
            </w:r>
          </w:p>
        </w:tc>
        <w:tc>
          <w:tcPr>
            <w:tcW w:type="dxa" w:w="8277"/>
          </w:tcPr>
          <w:p>
            <w:pPr>
              <w:spacing w:after="20"/>
            </w:pPr>
            <w:r/>
            <w:r>
              <w:rPr>
                <w:rFonts w:ascii="Times New Roman" w:hAnsi="Times New Roman"/>
                <w:b w:val="0"/>
                <w:sz w:val="18"/>
              </w:rPr>
              <w:t>Primary model frozen: parameters fixed and the model card (D1.4) registered against protocol D1.2, before the first prospective field season.</w:t>
            </w:r>
          </w:p>
        </w:tc>
      </w:tr>
      <w:tr>
        <w:tc>
          <w:tcPr>
            <w:tcW w:type="dxa" w:w="1020"/>
          </w:tcPr>
          <w:p>
            <w:pPr>
              <w:spacing w:after="20"/>
            </w:pPr>
            <w:r/>
            <w:r>
              <w:rPr>
                <w:rFonts w:ascii="Times New Roman" w:hAnsi="Times New Roman"/>
                <w:b w:val="0"/>
                <w:sz w:val="18"/>
              </w:rPr>
              <w:t>MS2</w:t>
            </w:r>
          </w:p>
        </w:tc>
        <w:tc>
          <w:tcPr>
            <w:tcW w:type="dxa" w:w="794"/>
          </w:tcPr>
          <w:p>
            <w:pPr>
              <w:spacing w:after="20"/>
            </w:pPr>
            <w:r/>
            <w:r>
              <w:rPr>
                <w:rFonts w:ascii="Times New Roman" w:hAnsi="Times New Roman"/>
                <w:b w:val="0"/>
                <w:sz w:val="18"/>
              </w:rPr>
              <w:t>M14</w:t>
            </w:r>
          </w:p>
        </w:tc>
        <w:tc>
          <w:tcPr>
            <w:tcW w:type="dxa" w:w="8277"/>
          </w:tcPr>
          <w:p>
            <w:pPr>
              <w:spacing w:after="20"/>
            </w:pPr>
            <w:r/>
            <w:r>
              <w:rPr>
                <w:rFonts w:ascii="Times New Roman" w:hAnsi="Times New Roman"/>
                <w:b w:val="0"/>
                <w:sz w:val="18"/>
              </w:rPr>
              <w:t>Model and scale-transition framework ready for final prospective assessment (D1.5).</w:t>
            </w:r>
          </w:p>
        </w:tc>
      </w:tr>
      <w:tr>
        <w:tc>
          <w:tcPr>
            <w:tcW w:type="dxa" w:w="1020"/>
          </w:tcPr>
          <w:p>
            <w:pPr>
              <w:spacing w:after="20"/>
            </w:pPr>
            <w:r/>
            <w:r>
              <w:rPr>
                <w:rFonts w:ascii="Times New Roman" w:hAnsi="Times New Roman"/>
                <w:b w:val="0"/>
                <w:sz w:val="18"/>
              </w:rPr>
              <w:t>MS3</w:t>
            </w:r>
          </w:p>
        </w:tc>
        <w:tc>
          <w:tcPr>
            <w:tcW w:type="dxa" w:w="794"/>
          </w:tcPr>
          <w:p>
            <w:pPr>
              <w:spacing w:after="20"/>
            </w:pPr>
            <w:r/>
            <w:r>
              <w:rPr>
                <w:rFonts w:ascii="Times New Roman" w:hAnsi="Times New Roman"/>
                <w:b w:val="0"/>
                <w:sz w:val="18"/>
              </w:rPr>
              <w:t>M18</w:t>
            </w:r>
          </w:p>
        </w:tc>
        <w:tc>
          <w:tcPr>
            <w:tcW w:type="dxa" w:w="8277"/>
          </w:tcPr>
          <w:p>
            <w:pPr>
              <w:spacing w:after="20"/>
            </w:pPr>
            <w:r/>
            <w:r>
              <w:rPr>
                <w:rFonts w:ascii="Times New Roman" w:hAnsi="Times New Roman"/>
                <w:b w:val="0"/>
                <w:sz w:val="18"/>
              </w:rPr>
              <w:t>Independent real-world transferability quantified with an uncertainty estimate (D2.1, D2.2).</w:t>
            </w:r>
          </w:p>
        </w:tc>
      </w:tr>
      <w:tr>
        <w:tc>
          <w:tcPr>
            <w:tcW w:type="dxa" w:w="1020"/>
          </w:tcPr>
          <w:p>
            <w:pPr>
              <w:spacing w:after="20"/>
            </w:pPr>
            <w:r/>
            <w:r>
              <w:rPr>
                <w:rFonts w:ascii="Times New Roman" w:hAnsi="Times New Roman"/>
                <w:b w:val="0"/>
                <w:sz w:val="18"/>
              </w:rPr>
              <w:t>MS4</w:t>
            </w:r>
          </w:p>
        </w:tc>
        <w:tc>
          <w:tcPr>
            <w:tcW w:type="dxa" w:w="794"/>
          </w:tcPr>
          <w:p>
            <w:pPr>
              <w:spacing w:after="20"/>
            </w:pPr>
            <w:r/>
            <w:r>
              <w:rPr>
                <w:rFonts w:ascii="Times New Roman" w:hAnsi="Times New Roman"/>
                <w:b w:val="0"/>
                <w:sz w:val="18"/>
              </w:rPr>
              <w:t>M24</w:t>
            </w:r>
          </w:p>
        </w:tc>
        <w:tc>
          <w:tcPr>
            <w:tcW w:type="dxa" w:w="8277"/>
          </w:tcPr>
          <w:p>
            <w:pPr>
              <w:spacing w:after="20"/>
            </w:pPr>
            <w:r/>
            <w:r>
              <w:rPr>
                <w:rFonts w:ascii="Times New Roman" w:hAnsi="Times New Roman"/>
                <w:b w:val="0"/>
                <w:sz w:val="18"/>
              </w:rPr>
              <w:t>MVP ready for industrial placement evaluation: only a validated, access-tested MVP passes into the placement (D3.1, D3.2).</w:t>
            </w:r>
          </w:p>
        </w:tc>
      </w:tr>
      <w:tr>
        <w:tc>
          <w:tcPr>
            <w:tcW w:type="dxa" w:w="1020"/>
          </w:tcPr>
          <w:p>
            <w:pPr>
              <w:spacing w:after="20"/>
            </w:pPr>
            <w:r/>
            <w:r>
              <w:rPr>
                <w:rFonts w:ascii="Times New Roman" w:hAnsi="Times New Roman"/>
                <w:b w:val="0"/>
                <w:sz w:val="18"/>
              </w:rPr>
              <w:t>MS5</w:t>
            </w:r>
          </w:p>
        </w:tc>
        <w:tc>
          <w:tcPr>
            <w:tcW w:type="dxa" w:w="794"/>
          </w:tcPr>
          <w:p>
            <w:pPr>
              <w:spacing w:after="20"/>
            </w:pPr>
            <w:r/>
            <w:r>
              <w:rPr>
                <w:rFonts w:ascii="Times New Roman" w:hAnsi="Times New Roman"/>
                <w:b w:val="0"/>
                <w:sz w:val="18"/>
              </w:rPr>
              <w:t>M30</w:t>
            </w:r>
          </w:p>
        </w:tc>
        <w:tc>
          <w:tcPr>
            <w:tcW w:type="dxa" w:w="8277"/>
          </w:tcPr>
          <w:p>
            <w:pPr>
              <w:spacing w:after="20"/>
            </w:pPr>
            <w:r/>
            <w:r>
              <w:rPr>
                <w:rFonts w:ascii="Times New Roman" w:hAnsi="Times New Roman"/>
                <w:b w:val="0"/>
                <w:sz w:val="18"/>
              </w:rPr>
              <w:t>Industrial evaluation and placement completed (D4.1, D4.2).</w:t>
            </w:r>
          </w:p>
        </w:tc>
      </w:tr>
    </w:tbl>
    <w:p>
      <w:pPr>
        <w:spacing w:after="40"/>
      </w:pPr>
    </w:p>
    <w:p>
      <w:pPr>
        <w:jc w:val="both"/>
      </w:pPr>
      <w:r>
        <w:rPr>
          <w:rFonts w:ascii="Times New Roman" w:hAnsi="Times New Roman"/>
          <w:b w:val="0"/>
          <w:sz w:val="22"/>
        </w:rPr>
        <w:t>The single strict finish-to-start dependency is WP3→WP4: the MVP delivered at MS4 must exist before the placement evaluation begins. The remaining links are data-input dependencies, which is what lets WP3 co-develop from month 1. The critical path runs from the model freeze, through prospective application and transfer-gap quantification, to migration of validated core functions into the MVP and its operational evaluation. Milestone-gated go/no-go review means no package proceeds on an input that has not passed its verifiable criterion.</w:t>
      </w:r>
    </w:p>
    <w:p>
      <w:pPr>
        <w:jc w:val="both"/>
      </w:pPr>
      <w:r>
        <w:rPr>
          <w:rFonts w:ascii="Times New Roman" w:hAnsi="Times New Roman"/>
          <w:b/>
          <w:sz w:val="22"/>
        </w:rPr>
        <w:t xml:space="preserve">Effort. </w:t>
      </w:r>
      <w:r>
        <w:rPr>
          <w:rFonts w:ascii="Times New Roman" w:hAnsi="Times New Roman"/>
          <w:b w:val="0"/>
          <w:sz w:val="22"/>
        </w:rPr>
        <w:t>The fellow's 30 person-months follow the intellectual load: WP1 9.0, WP2 6.6, WP3 6.0, WP4 5.4, plus 3.0 cross-cutting (training, dissemination, open science, management). WP1 carries the largest share because it holds the scientific core. WP2 is campaign-intensive, WP3 is spread thinly but continuously, and WP4 concentrates on the placement. Partner effort is in kind and declared pending each partner's written confirmation: host supervisor 2.5 PM, ELTE co-supervisor 2.0 PM, AgroVIR 3.0 PM, MATE 2.4 PM, Krumatic 1.5 PM. These contributions are structured to reduce the fellow's peak workload in the overlapping field, modelling and software period (months 4–14). ATK supervision, MATE data support, ELTE EO-campaign support and Krumatic engineering absorb work that would otherwise fall on the fellow.</w:t>
      </w:r>
    </w:p>
    <w:tbl>
      <w:tblPr>
        <w:tblStyle w:val="TableGrid"/>
        <w:tblW w:type="auto" w:w="0"/>
        <w:tblLook w:firstColumn="1" w:firstRow="1" w:lastColumn="0" w:lastRow="0" w:noHBand="0" w:noVBand="1" w:val="04A0"/>
      </w:tblPr>
      <w:tblGrid>
        <w:gridCol w:w="3402"/>
        <w:gridCol w:w="3402"/>
        <w:gridCol w:w="3402"/>
      </w:tblGrid>
      <w:tr>
        <w:tc>
          <w:tcPr>
            <w:tcW w:type="dxa" w:w="680"/>
          </w:tcPr>
          <w:p>
            <w:pPr>
              <w:spacing w:after="20"/>
            </w:pPr>
            <w:r/>
            <w:r>
              <w:rPr>
                <w:rFonts w:ascii="Times New Roman" w:hAnsi="Times New Roman"/>
                <w:b/>
                <w:sz w:val="18"/>
              </w:rPr>
              <w:t>#</w:t>
            </w:r>
          </w:p>
        </w:tc>
        <w:tc>
          <w:tcPr>
            <w:tcW w:type="dxa" w:w="3175"/>
          </w:tcPr>
          <w:p>
            <w:pPr>
              <w:spacing w:after="20"/>
            </w:pPr>
            <w:r/>
            <w:r>
              <w:rPr>
                <w:rFonts w:ascii="Times New Roman" w:hAnsi="Times New Roman"/>
                <w:b/>
                <w:sz w:val="18"/>
              </w:rPr>
              <w:t>Risk (likelihood/impact)</w:t>
            </w:r>
          </w:p>
        </w:tc>
        <w:tc>
          <w:tcPr>
            <w:tcW w:type="dxa" w:w="6236"/>
          </w:tcPr>
          <w:p>
            <w:pPr>
              <w:spacing w:after="20"/>
            </w:pPr>
            <w:r/>
            <w:r>
              <w:rPr>
                <w:rFonts w:ascii="Times New Roman" w:hAnsi="Times New Roman"/>
                <w:b/>
                <w:sz w:val="18"/>
              </w:rPr>
              <w:t>Mitigation</w:t>
            </w:r>
          </w:p>
        </w:tc>
      </w:tr>
      <w:tr>
        <w:tc>
          <w:tcPr>
            <w:tcW w:type="dxa" w:w="680"/>
          </w:tcPr>
          <w:p>
            <w:pPr>
              <w:spacing w:after="20"/>
            </w:pPr>
            <w:r/>
            <w:r>
              <w:rPr>
                <w:rFonts w:ascii="Times New Roman" w:hAnsi="Times New Roman"/>
                <w:b w:val="0"/>
                <w:sz w:val="18"/>
              </w:rPr>
              <w:t>R01</w:t>
            </w:r>
          </w:p>
        </w:tc>
        <w:tc>
          <w:tcPr>
            <w:tcW w:type="dxa" w:w="3175"/>
          </w:tcPr>
          <w:p>
            <w:pPr>
              <w:spacing w:after="20"/>
            </w:pPr>
            <w:r/>
            <w:r>
              <w:rPr>
                <w:rFonts w:ascii="Times New Roman" w:hAnsi="Times New Roman"/>
                <w:b w:val="0"/>
                <w:sz w:val="18"/>
              </w:rPr>
              <w:t>Historical MATE variables differ among years (M/H)</w:t>
            </w:r>
          </w:p>
        </w:tc>
        <w:tc>
          <w:tcPr>
            <w:tcW w:type="dxa" w:w="6236"/>
          </w:tcPr>
          <w:p>
            <w:pPr>
              <w:spacing w:after="20"/>
            </w:pPr>
            <w:r/>
            <w:r>
              <w:rPr>
                <w:rFonts w:ascii="Times New Roman" w:hAnsi="Times New Roman"/>
                <w:b w:val="0"/>
                <w:sz w:val="18"/>
              </w:rPr>
              <w:t>Explicit year-by-variable matrix; harmonise only defensible common variables; keep year-specific data as secondary.</w:t>
            </w:r>
          </w:p>
        </w:tc>
      </w:tr>
      <w:tr>
        <w:tc>
          <w:tcPr>
            <w:tcW w:type="dxa" w:w="680"/>
          </w:tcPr>
          <w:p>
            <w:pPr>
              <w:spacing w:after="20"/>
            </w:pPr>
            <w:r/>
            <w:r>
              <w:rPr>
                <w:rFonts w:ascii="Times New Roman" w:hAnsi="Times New Roman"/>
                <w:b w:val="0"/>
                <w:sz w:val="18"/>
              </w:rPr>
              <w:t>R02</w:t>
            </w:r>
          </w:p>
        </w:tc>
        <w:tc>
          <w:tcPr>
            <w:tcW w:type="dxa" w:w="3175"/>
          </w:tcPr>
          <w:p>
            <w:pPr>
              <w:spacing w:after="20"/>
            </w:pPr>
            <w:r/>
            <w:r>
              <w:rPr>
                <w:rFonts w:ascii="Times New Roman" w:hAnsi="Times New Roman"/>
                <w:b w:val="0"/>
                <w:sz w:val="18"/>
              </w:rPr>
              <w:t>Limited effective biological sample size (M/H)</w:t>
            </w:r>
          </w:p>
        </w:tc>
        <w:tc>
          <w:tcPr>
            <w:tcW w:type="dxa" w:w="6236"/>
          </w:tcPr>
          <w:p>
            <w:pPr>
              <w:spacing w:after="20"/>
            </w:pPr>
            <w:r/>
            <w:r>
              <w:rPr>
                <w:rFonts w:ascii="Times New Roman" w:hAnsi="Times New Roman"/>
                <w:b w:val="0"/>
                <w:sz w:val="18"/>
              </w:rPr>
              <w:t>Repeated-measure/hierarchical structure; conservative feature reduction; parsimony, no deep learning.</w:t>
            </w:r>
          </w:p>
        </w:tc>
      </w:tr>
      <w:tr>
        <w:tc>
          <w:tcPr>
            <w:tcW w:type="dxa" w:w="680"/>
          </w:tcPr>
          <w:p>
            <w:pPr>
              <w:spacing w:after="20"/>
            </w:pPr>
            <w:r/>
            <w:r>
              <w:rPr>
                <w:rFonts w:ascii="Times New Roman" w:hAnsi="Times New Roman"/>
                <w:b w:val="0"/>
                <w:sz w:val="18"/>
              </w:rPr>
              <w:t>R03</w:t>
            </w:r>
          </w:p>
        </w:tc>
        <w:tc>
          <w:tcPr>
            <w:tcW w:type="dxa" w:w="3175"/>
          </w:tcPr>
          <w:p>
            <w:pPr>
              <w:spacing w:after="20"/>
            </w:pPr>
            <w:r/>
            <w:r>
              <w:rPr>
                <w:rFonts w:ascii="Times New Roman" w:hAnsi="Times New Roman"/>
                <w:b w:val="0"/>
                <w:sz w:val="18"/>
              </w:rPr>
              <w:t>Farmer site lacks monitoring infrastructure (H/M)</w:t>
            </w:r>
          </w:p>
        </w:tc>
        <w:tc>
          <w:tcPr>
            <w:tcW w:type="dxa" w:w="6236"/>
          </w:tcPr>
          <w:p>
            <w:pPr>
              <w:spacing w:after="20"/>
            </w:pPr>
            <w:r/>
            <w:r>
              <w:rPr>
                <w:rFonts w:ascii="Times New Roman" w:hAnsi="Times New Roman"/>
                <w:b w:val="0"/>
                <w:sz w:val="18"/>
              </w:rPr>
              <w:t>Install project meteorological station and soil sensors before the campaign; define maintenance/data-quality responsibilities.</w:t>
            </w:r>
          </w:p>
        </w:tc>
      </w:tr>
      <w:tr>
        <w:tc>
          <w:tcPr>
            <w:tcW w:type="dxa" w:w="680"/>
          </w:tcPr>
          <w:p>
            <w:pPr>
              <w:spacing w:after="20"/>
            </w:pPr>
            <w:r/>
            <w:r>
              <w:rPr>
                <w:rFonts w:ascii="Times New Roman" w:hAnsi="Times New Roman"/>
                <w:b w:val="0"/>
                <w:sz w:val="18"/>
              </w:rPr>
              <w:t>R04</w:t>
            </w:r>
          </w:p>
        </w:tc>
        <w:tc>
          <w:tcPr>
            <w:tcW w:type="dxa" w:w="3175"/>
          </w:tcPr>
          <w:p>
            <w:pPr>
              <w:spacing w:after="20"/>
            </w:pPr>
            <w:r/>
            <w:r>
              <w:rPr>
                <w:rFonts w:ascii="Times New Roman" w:hAnsi="Times New Roman"/>
                <w:b w:val="0"/>
                <w:sz w:val="18"/>
              </w:rPr>
              <w:t>Primary farmer access changes or is interrupted (M/H)</w:t>
            </w:r>
          </w:p>
        </w:tc>
        <w:tc>
          <w:tcPr>
            <w:tcW w:type="dxa" w:w="6236"/>
          </w:tcPr>
          <w:p>
            <w:pPr>
              <w:spacing w:after="20"/>
            </w:pPr>
            <w:r/>
            <w:r>
              <w:rPr>
                <w:rFonts w:ascii="Times New Roman" w:hAnsi="Times New Roman"/>
                <w:b w:val="0"/>
                <w:sz w:val="18"/>
              </w:rPr>
              <w:t>Written access secured before the campaign; ladder: an identified second processing-tomato producer as first-line, claim-preserving backup; the Szentendre Skanzen garden as measurement-only fallback that does not substitute for commercial-field transferability evidence; the claim is then explicitly downgraded and reported as such.</w:t>
            </w:r>
          </w:p>
        </w:tc>
      </w:tr>
      <w:tr>
        <w:tc>
          <w:tcPr>
            <w:tcW w:type="dxa" w:w="680"/>
          </w:tcPr>
          <w:p>
            <w:pPr>
              <w:spacing w:after="20"/>
            </w:pPr>
            <w:r/>
            <w:r>
              <w:rPr>
                <w:rFonts w:ascii="Times New Roman" w:hAnsi="Times New Roman"/>
                <w:b w:val="0"/>
                <w:sz w:val="18"/>
              </w:rPr>
              <w:t>R05</w:t>
            </w:r>
          </w:p>
        </w:tc>
        <w:tc>
          <w:tcPr>
            <w:tcW w:type="dxa" w:w="3175"/>
          </w:tcPr>
          <w:p>
            <w:pPr>
              <w:spacing w:after="20"/>
            </w:pPr>
            <w:r/>
            <w:r>
              <w:rPr>
                <w:rFonts w:ascii="Times New Roman" w:hAnsi="Times New Roman"/>
                <w:b w:val="0"/>
                <w:sz w:val="18"/>
              </w:rPr>
              <w:t>ELTE instrument access or timing constrained (M/H)</w:t>
            </w:r>
          </w:p>
        </w:tc>
        <w:tc>
          <w:tcPr>
            <w:tcW w:type="dxa" w:w="6236"/>
          </w:tcPr>
          <w:p>
            <w:pPr>
              <w:spacing w:after="20"/>
            </w:pPr>
            <w:r/>
            <w:r>
              <w:rPr>
                <w:rFonts w:ascii="Times New Roman" w:hAnsi="Times New Roman"/>
                <w:b w:val="0"/>
                <w:sz w:val="18"/>
              </w:rPr>
              <w:t>Written equipment/operation schedule; prioritise key physiological dates; physiology/proximal pathway remains core if flights are missed.</w:t>
            </w:r>
          </w:p>
        </w:tc>
      </w:tr>
      <w:tr>
        <w:tc>
          <w:tcPr>
            <w:tcW w:type="dxa" w:w="680"/>
          </w:tcPr>
          <w:p>
            <w:pPr>
              <w:spacing w:after="20"/>
            </w:pPr>
            <w:r/>
            <w:r>
              <w:rPr>
                <w:rFonts w:ascii="Times New Roman" w:hAnsi="Times New Roman"/>
                <w:b w:val="0"/>
                <w:sz w:val="18"/>
              </w:rPr>
              <w:t>R06</w:t>
            </w:r>
          </w:p>
        </w:tc>
        <w:tc>
          <w:tcPr>
            <w:tcW w:type="dxa" w:w="3175"/>
          </w:tcPr>
          <w:p>
            <w:pPr>
              <w:spacing w:after="20"/>
            </w:pPr>
            <w:r/>
            <w:r>
              <w:rPr>
                <w:rFonts w:ascii="Times New Roman" w:hAnsi="Times New Roman"/>
                <w:b w:val="0"/>
                <w:sz w:val="18"/>
              </w:rPr>
              <w:t>Field geometry or clouds limit Sentinel-2 (H/M)</w:t>
            </w:r>
          </w:p>
        </w:tc>
        <w:tc>
          <w:tcPr>
            <w:tcW w:type="dxa" w:w="6236"/>
          </w:tcPr>
          <w:p>
            <w:pPr>
              <w:spacing w:after="20"/>
            </w:pPr>
            <w:r/>
            <w:r>
              <w:rPr>
                <w:rFonts w:ascii="Times New Roman" w:hAnsi="Times New Roman"/>
                <w:b w:val="0"/>
                <w:sz w:val="18"/>
              </w:rPr>
              <w:t>Use Sentinel-2 only where valid pixels support field-scale inference; UAV/proximal carry finer scales.</w:t>
            </w:r>
          </w:p>
        </w:tc>
      </w:tr>
      <w:tr>
        <w:tc>
          <w:tcPr>
            <w:tcW w:type="dxa" w:w="680"/>
          </w:tcPr>
          <w:p>
            <w:pPr>
              <w:spacing w:after="20"/>
            </w:pPr>
            <w:r/>
            <w:r>
              <w:rPr>
                <w:rFonts w:ascii="Times New Roman" w:hAnsi="Times New Roman"/>
                <w:b w:val="0"/>
                <w:sz w:val="18"/>
              </w:rPr>
              <w:t>R07</w:t>
            </w:r>
          </w:p>
        </w:tc>
        <w:tc>
          <w:tcPr>
            <w:tcW w:type="dxa" w:w="3175"/>
          </w:tcPr>
          <w:p>
            <w:pPr>
              <w:spacing w:after="20"/>
            </w:pPr>
            <w:r/>
            <w:r>
              <w:rPr>
                <w:rFonts w:ascii="Times New Roman" w:hAnsi="Times New Roman"/>
                <w:b w:val="0"/>
                <w:sz w:val="18"/>
              </w:rPr>
              <w:t>Prospective performance drops (M/H)</w:t>
            </w:r>
          </w:p>
        </w:tc>
        <w:tc>
          <w:tcPr>
            <w:tcW w:type="dxa" w:w="6236"/>
          </w:tcPr>
          <w:p>
            <w:pPr>
              <w:spacing w:after="20"/>
            </w:pPr>
            <w:r/>
            <w:r>
              <w:rPr>
                <w:rFonts w:ascii="Times New Roman" w:hAnsi="Times New Roman"/>
                <w:b w:val="0"/>
                <w:sz w:val="18"/>
              </w:rPr>
              <w:t>Treat transfer loss as a scientific result; quantify uncertainty; limited transparent recalibration.</w:t>
            </w:r>
          </w:p>
        </w:tc>
      </w:tr>
      <w:tr>
        <w:tc>
          <w:tcPr>
            <w:tcW w:type="dxa" w:w="680"/>
          </w:tcPr>
          <w:p>
            <w:pPr>
              <w:spacing w:after="20"/>
            </w:pPr>
            <w:r/>
            <w:r>
              <w:rPr>
                <w:rFonts w:ascii="Times New Roman" w:hAnsi="Times New Roman"/>
                <w:b w:val="0"/>
                <w:sz w:val="18"/>
              </w:rPr>
              <w:t>R08</w:t>
            </w:r>
          </w:p>
        </w:tc>
        <w:tc>
          <w:tcPr>
            <w:tcW w:type="dxa" w:w="3175"/>
          </w:tcPr>
          <w:p>
            <w:pPr>
              <w:spacing w:after="20"/>
            </w:pPr>
            <w:r/>
            <w:r>
              <w:rPr>
                <w:rFonts w:ascii="Times New Roman" w:hAnsi="Times New Roman"/>
                <w:b w:val="0"/>
                <w:sz w:val="18"/>
              </w:rPr>
              <w:t>Krumatic web development delayed (M/M)</w:t>
            </w:r>
          </w:p>
        </w:tc>
        <w:tc>
          <w:tcPr>
            <w:tcW w:type="dxa" w:w="6236"/>
          </w:tcPr>
          <w:p>
            <w:pPr>
              <w:spacing w:after="20"/>
            </w:pPr>
            <w:r/>
            <w:r>
              <w:rPr>
                <w:rFonts w:ascii="Times New Roman" w:hAnsi="Times New Roman"/>
                <w:b w:val="0"/>
                <w:sz w:val="18"/>
              </w:rPr>
              <w:t>Incremental development from the existing prototype; scientific deliverables remain primary.</w:t>
            </w:r>
          </w:p>
        </w:tc>
      </w:tr>
      <w:tr>
        <w:tc>
          <w:tcPr>
            <w:tcW w:type="dxa" w:w="680"/>
          </w:tcPr>
          <w:p>
            <w:pPr>
              <w:spacing w:after="20"/>
            </w:pPr>
            <w:r/>
            <w:r>
              <w:rPr>
                <w:rFonts w:ascii="Times New Roman" w:hAnsi="Times New Roman"/>
                <w:b w:val="0"/>
                <w:sz w:val="18"/>
              </w:rPr>
              <w:t>R09</w:t>
            </w:r>
          </w:p>
        </w:tc>
        <w:tc>
          <w:tcPr>
            <w:tcW w:type="dxa" w:w="3175"/>
          </w:tcPr>
          <w:p>
            <w:pPr>
              <w:spacing w:after="20"/>
            </w:pPr>
            <w:r/>
            <w:r>
              <w:rPr>
                <w:rFonts w:ascii="Times New Roman" w:hAnsi="Times New Roman"/>
                <w:b w:val="0"/>
                <w:sz w:val="18"/>
              </w:rPr>
              <w:t>AgroVIR cannot share proprietary/customer data (L/M)</w:t>
            </w:r>
          </w:p>
        </w:tc>
        <w:tc>
          <w:tcPr>
            <w:tcW w:type="dxa" w:w="6236"/>
          </w:tcPr>
          <w:p>
            <w:pPr>
              <w:spacing w:after="20"/>
            </w:pPr>
            <w:r/>
            <w:r>
              <w:rPr>
                <w:rFonts w:ascii="Times New Roman" w:hAnsi="Times New Roman"/>
                <w:b w:val="0"/>
                <w:sz w:val="18"/>
              </w:rPr>
              <w:t>Placement designed around protected/coded extracts; customer-system access is not a dependency.</w:t>
            </w:r>
          </w:p>
        </w:tc>
      </w:tr>
      <w:tr>
        <w:tc>
          <w:tcPr>
            <w:tcW w:type="dxa" w:w="680"/>
          </w:tcPr>
          <w:p>
            <w:pPr>
              <w:spacing w:after="20"/>
            </w:pPr>
            <w:r/>
            <w:r>
              <w:rPr>
                <w:rFonts w:ascii="Times New Roman" w:hAnsi="Times New Roman"/>
                <w:b w:val="0"/>
                <w:sz w:val="18"/>
              </w:rPr>
              <w:t>R10</w:t>
            </w:r>
          </w:p>
        </w:tc>
        <w:tc>
          <w:tcPr>
            <w:tcW w:type="dxa" w:w="3175"/>
          </w:tcPr>
          <w:p>
            <w:pPr>
              <w:spacing w:after="20"/>
            </w:pPr>
            <w:r/>
            <w:r>
              <w:rPr>
                <w:rFonts w:ascii="Times New Roman" w:hAnsi="Times New Roman"/>
                <w:b w:val="0"/>
                <w:sz w:val="18"/>
              </w:rPr>
              <w:t>MATE-derived assets carry commercial restrictions (M/H)</w:t>
            </w:r>
          </w:p>
        </w:tc>
        <w:tc>
          <w:tcPr>
            <w:tcW w:type="dxa" w:w="6236"/>
          </w:tcPr>
          <w:p>
            <w:pPr>
              <w:spacing w:after="20"/>
            </w:pPr>
            <w:r/>
            <w:r>
              <w:rPr>
                <w:rFonts w:ascii="Times New Roman" w:hAnsi="Times New Roman"/>
                <w:b w:val="0"/>
                <w:sz w:val="18"/>
              </w:rPr>
              <w:t>Approved-research use only; background/foreground inventory; institutional data-rights/IP assessment before commercial exploitation.</w:t>
            </w:r>
          </w:p>
        </w:tc>
      </w:tr>
    </w:tbl>
    <w:p>
      <w:pPr>
        <w:spacing w:after="40"/>
      </w:pPr>
    </w:p>
    <w:p>
      <w:pPr>
        <w:jc w:val="both"/>
      </w:pPr>
      <w:r>
        <w:rPr>
          <w:rFonts w:ascii="Times New Roman" w:hAnsi="Times New Roman"/>
          <w:b w:val="0"/>
          <w:sz w:val="22"/>
        </w:rPr>
        <w:t>Risk is monitored, not merely catalogued. The Project Steering Group meets at M6, M14, M18, M24 and M27, issuing go/no-go verdicts on the milestones. Day-to-day scientific risk is handled with the primary supervisor through the weekly cadence. Transfer loss is a scientific result to be measured, never concealed. The model-freeze-before-validation sequencing embeds that stance.</w:t>
      </w:r>
    </w:p>
    <w:p>
      <w:r>
        <w:drawing>
          <wp:inline xmlns:a="http://schemas.openxmlformats.org/drawingml/2006/main" xmlns:pic="http://schemas.openxmlformats.org/drawingml/2006/picture">
            <wp:extent cx="6408000" cy="1935750"/>
            <wp:docPr id="1" name="Picture 1"/>
            <wp:cNvGraphicFramePr>
              <a:graphicFrameLocks noChangeAspect="1"/>
            </wp:cNvGraphicFramePr>
            <a:graphic>
              <a:graphicData uri="http://schemas.openxmlformats.org/drawingml/2006/picture">
                <pic:pic>
                  <pic:nvPicPr>
                    <pic:cNvPr id="0" name="FIELDWISE_Part_B1_gantt_2026-09-06.png"/>
                    <pic:cNvPicPr/>
                  </pic:nvPicPr>
                  <pic:blipFill>
                    <a:blip r:embed="rId9"/>
                    <a:stretch>
                      <a:fillRect/>
                    </a:stretch>
                  </pic:blipFill>
                  <pic:spPr>
                    <a:xfrm>
                      <a:off x="0" y="0"/>
                      <a:ext cx="6408000" cy="1935750"/>
                    </a:xfrm>
                    <a:prstGeom prst="rect"/>
                  </pic:spPr>
                </pic:pic>
              </a:graphicData>
            </a:graphic>
          </wp:inline>
        </w:drawing>
      </w:r>
    </w:p>
    <w:p>
      <w:r>
        <w:rPr>
          <w:rFonts w:ascii="Times New Roman" w:hAnsi="Times New Roman"/>
          <w:i/>
          <w:sz w:val="18"/>
        </w:rPr>
        <w:t>Gantt chart: work-package spans, deliverables (△) and milestones (◆), months elapsed M1–M30. There are no secondments. The mobility element is the WP4 placement.</w:t>
      </w:r>
    </w:p>
    <w:p>
      <w:pPr>
        <w:spacing w:before="120"/>
      </w:pPr>
      <w:r>
        <w:rPr>
          <w:rFonts w:ascii="Times New Roman" w:hAnsi="Times New Roman"/>
          <w:b/>
          <w:sz w:val="22"/>
        </w:rPr>
        <w:t>3.2 Quality and capacity of the host institutions and participating organisations, including hosting arrangements</w:t>
      </w:r>
    </w:p>
    <w:p>
      <w:pPr>
        <w:jc w:val="both"/>
      </w:pPr>
      <w:r>
        <w:rPr>
          <w:rFonts w:ascii="Times New Roman" w:hAnsi="Times New Roman"/>
          <w:b w:val="0"/>
          <w:sz w:val="22"/>
        </w:rPr>
        <w:t>The sole beneficiary and recruiting organisation is HUN-REN ATK. Full infrastructure and facilities details are in Part B-2 Section 5. Each organisation brings a capacity the work plan depends on, with forward-looking commitments separated from what is established.</w:t>
      </w:r>
    </w:p>
    <w:tbl>
      <w:tblPr>
        <w:tblStyle w:val="TableGrid"/>
        <w:tblW w:type="auto" w:w="0"/>
        <w:tblLook w:firstColumn="1" w:firstRow="1" w:lastColumn="0" w:lastRow="0" w:noHBand="0" w:noVBand="1" w:val="04A0"/>
      </w:tblPr>
      <w:tblGrid>
        <w:gridCol w:w="5103"/>
        <w:gridCol w:w="5103"/>
      </w:tblGrid>
      <w:tr>
        <w:tc>
          <w:tcPr>
            <w:tcW w:type="dxa" w:w="2381"/>
          </w:tcPr>
          <w:p>
            <w:pPr>
              <w:spacing w:after="20"/>
            </w:pPr>
            <w:r/>
            <w:r>
              <w:rPr>
                <w:rFonts w:ascii="Times New Roman" w:hAnsi="Times New Roman"/>
                <w:b/>
                <w:sz w:val="18"/>
              </w:rPr>
              <w:t>Organisation (role)</w:t>
            </w:r>
          </w:p>
        </w:tc>
        <w:tc>
          <w:tcPr>
            <w:tcW w:type="dxa" w:w="7710"/>
          </w:tcPr>
          <w:p>
            <w:pPr>
              <w:spacing w:after="20"/>
            </w:pPr>
            <w:r/>
            <w:r>
              <w:rPr>
                <w:rFonts w:ascii="Times New Roman" w:hAnsi="Times New Roman"/>
                <w:b/>
                <w:sz w:val="18"/>
              </w:rPr>
              <w:t>Capacity and arrangements</w:t>
            </w:r>
          </w:p>
        </w:tc>
      </w:tr>
      <w:tr>
        <w:tc>
          <w:tcPr>
            <w:tcW w:type="dxa" w:w="2381"/>
          </w:tcPr>
          <w:p>
            <w:pPr>
              <w:spacing w:after="20"/>
            </w:pPr>
            <w:r/>
            <w:r>
              <w:rPr>
                <w:rFonts w:ascii="Times New Roman" w:hAnsi="Times New Roman"/>
                <w:b w:val="0"/>
                <w:sz w:val="18"/>
              </w:rPr>
              <w:t>HUN-REN ATK – beneficiary, recruiting organisation and academic host</w:t>
            </w:r>
          </w:p>
        </w:tc>
        <w:tc>
          <w:tcPr>
            <w:tcW w:type="dxa" w:w="7710"/>
          </w:tcPr>
          <w:p>
            <w:pPr>
              <w:spacing w:after="20"/>
            </w:pPr>
            <w:r/>
            <w:r>
              <w:rPr>
                <w:rFonts w:ascii="Times New Roman" w:hAnsi="Times New Roman"/>
                <w:b w:val="0"/>
                <w:sz w:val="18"/>
              </w:rPr>
              <w:t>Public research organisation (HUN-REN network), Martonvásár (PIC 866599553); fellowship anchored in the Agricultural Institute. Primary supervisor Prof. Tibor Janda, Head of the Plant Physiology and Metabolomics Department (plant physiology, drought/abiotic-stress physiology, stress metabolomics); his seat acceptance and effort are stated pending the host's written hosting confirmation. Extensive drought and abiotic-stress environment; modelling collaboration with the Department of Crop Production; HUN-REN compute infrastructure. Proven MSCA host (coordinated MSCA-IF LANDRACES, 2017–2019); current participations COUSIN, AI4SoilHealth, TUdi. Workspace, integration, administrative and grants support continue through the placement; the recent HUN-REN transformation is flagged for Part A verification.</w:t>
            </w:r>
          </w:p>
        </w:tc>
      </w:tr>
      <w:tr>
        <w:tc>
          <w:tcPr>
            <w:tcW w:type="dxa" w:w="2381"/>
          </w:tcPr>
          <w:p>
            <w:pPr>
              <w:spacing w:after="20"/>
            </w:pPr>
            <w:r/>
            <w:r>
              <w:rPr>
                <w:rFonts w:ascii="Times New Roman" w:hAnsi="Times New Roman"/>
                <w:b w:val="0"/>
                <w:sz w:val="18"/>
              </w:rPr>
              <w:t>AgroVIR Kft. – non-academic placement host</w:t>
            </w:r>
          </w:p>
        </w:tc>
        <w:tc>
          <w:tcPr>
            <w:tcW w:type="dxa" w:w="7710"/>
          </w:tcPr>
          <w:p>
            <w:pPr>
              <w:spacing w:after="20"/>
            </w:pPr>
            <w:r/>
            <w:r>
              <w:rPr>
                <w:rFonts w:ascii="Times New Roman" w:hAnsi="Times New Roman"/>
                <w:b w:val="0"/>
                <w:sz w:val="18"/>
              </w:rPr>
              <w:t>Hungarian FMIS SME (founded 2007, Budaörs); requirements consultation from M1; placement M25–M30 delivered through monthly structured face-to-face technical reviews and continuous remote collaboration, supervised by Miklós Maróti (Managing Director). Track record is commercial, not academic: an FMIS reported in production use on &gt;745,000 ha in eight countries incl. Hungary and Bulgaria (declared position pending written confirmation), and no EU-funded research participation, stated openly. No proprietary or customer-data dependency (protected/coded extracts only); a written placement agreement fixes result ownership and DrR access before the placement. No PIC yet; registration is a submission-time action.</w:t>
            </w:r>
          </w:p>
        </w:tc>
      </w:tr>
      <w:tr>
        <w:tc>
          <w:tcPr>
            <w:tcW w:type="dxa" w:w="2381"/>
          </w:tcPr>
          <w:p>
            <w:pPr>
              <w:spacing w:after="20"/>
            </w:pPr>
            <w:r/>
            <w:r>
              <w:rPr>
                <w:rFonts w:ascii="Times New Roman" w:hAnsi="Times New Roman"/>
                <w:b w:val="0"/>
                <w:sz w:val="18"/>
              </w:rPr>
              <w:t>ELTE – associated partner (remote sensing and modelling)</w:t>
            </w:r>
          </w:p>
        </w:tc>
        <w:tc>
          <w:tcPr>
            <w:tcW w:type="dxa" w:w="7710"/>
          </w:tcPr>
          <w:p>
            <w:pPr>
              <w:spacing w:after="20"/>
            </w:pPr>
            <w:r/>
            <w:r>
              <w:rPr>
                <w:rFonts w:ascii="Times New Roman" w:hAnsi="Times New Roman"/>
                <w:b w:val="0"/>
                <w:sz w:val="18"/>
              </w:rPr>
              <w:t>Institute of Cartography and Geoinformatics; co-supervisor Prof. András Jung; named ELTE-side team member Dr. Roland Hollós for the predictive-modelling/ML strand (representation basis pending ELTE's written confirmation); UAV operations support Dr. Zsófia Varga. GIS/RS laboratory with DJI Matrice 350 RTK (Zenmuse L1/P1/H20T), Ultris S5 hyperspectral camera, Cubert CUVIS laboratory package, ArcGIS/ENVI/MATLAB, open geospatial tools, HPC. Written instrument-access arrangement pending; risk R05 is the constrained-access fallback.</w:t>
            </w:r>
          </w:p>
        </w:tc>
      </w:tr>
      <w:tr>
        <w:tc>
          <w:tcPr>
            <w:tcW w:type="dxa" w:w="2381"/>
          </w:tcPr>
          <w:p>
            <w:pPr>
              <w:spacing w:after="20"/>
            </w:pPr>
            <w:r/>
            <w:r>
              <w:rPr>
                <w:rFonts w:ascii="Times New Roman" w:hAnsi="Times New Roman"/>
                <w:b w:val="0"/>
                <w:sz w:val="18"/>
              </w:rPr>
              <w:t>MATE – associated partner (source scientific environment)</w:t>
            </w:r>
          </w:p>
        </w:tc>
        <w:tc>
          <w:tcPr>
            <w:tcW w:type="dxa" w:w="7710"/>
          </w:tcPr>
          <w:p>
            <w:pPr>
              <w:spacing w:after="20"/>
            </w:pPr>
            <w:r/>
            <w:r>
              <w:rPr>
                <w:rFonts w:ascii="Times New Roman" w:hAnsi="Times New Roman"/>
                <w:b w:val="0"/>
                <w:sz w:val="18"/>
              </w:rPr>
              <w:t>Institute of Horticultural Sciences (PIC 891269563): the 2022–2026 processing-tomato archive; soil-moisture, stomatal, SPAD, VIS-NIR/SWIR spectroradiometer, meteorological and CWSI instrumentation. Contact Dr. Sándor Takács; precision-agriculture depth from Prof. Gábor Milics. Data-use permission to be documented before the action starts (risk R10).</w:t>
            </w:r>
          </w:p>
        </w:tc>
      </w:tr>
      <w:tr>
        <w:tc>
          <w:tcPr>
            <w:tcW w:type="dxa" w:w="2381"/>
          </w:tcPr>
          <w:p>
            <w:pPr>
              <w:spacing w:after="20"/>
            </w:pPr>
            <w:r/>
            <w:r>
              <w:rPr>
                <w:rFonts w:ascii="Times New Roman" w:hAnsi="Times New Roman"/>
                <w:b w:val="0"/>
                <w:sz w:val="18"/>
              </w:rPr>
              <w:t>Krumatic EOOD – associated partner (software)</w:t>
            </w:r>
          </w:p>
        </w:tc>
        <w:tc>
          <w:tcPr>
            <w:tcW w:type="dxa" w:w="7710"/>
          </w:tcPr>
          <w:p>
            <w:pPr>
              <w:spacing w:after="20"/>
            </w:pPr>
            <w:r/>
            <w:r>
              <w:rPr>
                <w:rFonts w:ascii="Times New Roman" w:hAnsi="Times New Roman"/>
                <w:b w:val="0"/>
                <w:sz w:val="18"/>
              </w:rPr>
              <w:t>Bulgarian technology company (EIK 201511899, Sofia; manager and signatory Lyubomir Krumov): continuous DrR development, crop-configurable architecture, migration of the validated core to the web MVP, later Bulgarian farmer-facing uptake. Independence from other partners declared; code-IP terms settled in a pre-grant development agreement.</w:t>
            </w:r>
          </w:p>
        </w:tc>
      </w:tr>
      <w:tr>
        <w:tc>
          <w:tcPr>
            <w:tcW w:type="dxa" w:w="2381"/>
          </w:tcPr>
          <w:p>
            <w:pPr>
              <w:spacing w:after="20"/>
            </w:pPr>
            <w:r/>
            <w:r>
              <w:rPr>
                <w:rFonts w:ascii="Times New Roman" w:hAnsi="Times New Roman"/>
                <w:b w:val="0"/>
                <w:sz w:val="18"/>
              </w:rPr>
              <w:t>Commercial farmer site – collaborating validation environment</w:t>
            </w:r>
          </w:p>
        </w:tc>
        <w:tc>
          <w:tcPr>
            <w:tcW w:type="dxa" w:w="7710"/>
          </w:tcPr>
          <w:p>
            <w:pPr>
              <w:spacing w:after="20"/>
            </w:pPr>
            <w:r/>
            <w:r>
              <w:rPr>
                <w:rFonts w:ascii="Times New Roman" w:hAnsi="Times New Roman"/>
                <w:b w:val="0"/>
                <w:sz w:val="18"/>
              </w:rPr>
              <w:t>Independent Hungarian production field, deliberately unnamed at this stage; the project installs an automated meteorological station and soil sensors and performs all specialised measurements; written field-access and treatment arrangement obtained before the campaign; ladder: second producer first (claim-preserving), Skanzen route measurement-only.</w:t>
            </w:r>
          </w:p>
        </w:tc>
      </w:tr>
      <w:tr>
        <w:tc>
          <w:tcPr>
            <w:tcW w:type="dxa" w:w="2381"/>
          </w:tcPr>
          <w:p>
            <w:pPr>
              <w:spacing w:after="20"/>
            </w:pPr>
            <w:r/>
            <w:r>
              <w:rPr>
                <w:rFonts w:ascii="Times New Roman" w:hAnsi="Times New Roman"/>
                <w:b w:val="0"/>
                <w:sz w:val="18"/>
              </w:rPr>
              <w:t>MVCRI (Maritsa VCRI, Plovdiv) – post-MSCA route</w:t>
            </w:r>
          </w:p>
        </w:tc>
        <w:tc>
          <w:tcPr>
            <w:tcW w:type="dxa" w:w="7710"/>
          </w:tcPr>
          <w:p>
            <w:pPr>
              <w:spacing w:after="20"/>
            </w:pPr>
            <w:r/>
            <w:r>
              <w:rPr>
                <w:rFonts w:ascii="Times New Roman" w:hAnsi="Times New Roman"/>
                <w:b w:val="0"/>
                <w:sz w:val="18"/>
              </w:rPr>
              <w:t>Confirmed replication, local-recalibration and extension route under Bulgarian vegetable-production conditions; carries no in-action effort.</w:t>
            </w:r>
          </w:p>
        </w:tc>
      </w:tr>
    </w:tbl>
    <w:p>
      <w:pPr>
        <w:spacing w:after="40"/>
      </w:pPr>
    </w:p>
    <w:p>
      <w:pPr>
        <w:jc w:val="both"/>
      </w:pPr>
      <w:r>
        <w:rPr>
          <w:rFonts w:ascii="Times New Roman" w:hAnsi="Times New Roman"/>
          <w:b w:val="0"/>
          <w:sz w:val="22"/>
        </w:rPr>
        <w:t>FIELDWISE is a European Fellowship arising from an intra-EU move (Bulgaria to Hungary). The Global Fellowship two-host requirement does not apply, and the placement is an integral extension, not an outgoing phase.</w:t>
      </w:r>
    </w:p>
    <w:sectPr w:rsidR="00FC693F" w:rsidRPr="0006063C" w:rsidSect="00034616">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pPr>
        <w:spacing w:after="0"/>
      </w:pPr>
      <w:r>
        <w:separator/>
      </w:r>
    </w:p>
  </w:footnote>
  <w:footnote w:type="continuationSeparator" w:id="0">
    <w:p>
      <w:pPr>
        <w:spacing w:after="0"/>
      </w:pPr>
      <w:r>
        <w:continuationSeparator/>
      </w:r>
    </w:p>
  </w:footnote>
  <w:footnote w:id="1">
    <w:p>
      <w:pPr>
        <w:spacing w:after="20"/>
      </w:pPr>
      <w:r>
        <w:rPr>
          <w:rFonts w:ascii="Times New Roman" w:hAnsi="Times New Roman"/>
          <w:sz w:val="17"/>
          <w:vertAlign w:val="superscript"/>
        </w:rPr>
        <w:footnoteRef/>
      </w:r>
      <w:r>
        <w:rPr>
          <w:rFonts w:ascii="Times New Roman" w:hAnsi="Times New Roman"/>
          <w:sz w:val="17"/>
          <w:szCs w:val="17"/>
        </w:rPr>
        <w:t xml:space="preserve"> Velazquez-Chavez, L.J., Daccache, A., Mohamed, A.Z., Centritto, M. (2024). Plant-based and Remote Sensing for Water Status Monitoring of Orchard Crops: Systematic Review and Meta-analysis. Agricultural Water Management 298, 109051. doi:10.1016/j.agwat.2024.109051</w:t>
      </w:r>
    </w:p>
  </w:footnote>
  <w:footnote w:id="2">
    <w:p>
      <w:pPr>
        <w:spacing w:after="20"/>
      </w:pPr>
      <w:r>
        <w:rPr>
          <w:rFonts w:ascii="Times New Roman" w:hAnsi="Times New Roman"/>
          <w:sz w:val="17"/>
          <w:vertAlign w:val="superscript"/>
        </w:rPr>
        <w:footnoteRef/>
      </w:r>
      <w:r>
        <w:rPr>
          <w:rFonts w:ascii="Times New Roman" w:hAnsi="Times New Roman"/>
          <w:sz w:val="17"/>
          <w:szCs w:val="17"/>
        </w:rPr>
        <w:t xml:space="preserve"> Roberts, D.R., et al. (2017). Cross-validation Strategies for Data with Temporal, Spatial, Hierarchical, or Phylogenetic Structure. Ecography 40(8), 913–929. doi:10.1111/ecog.02881</w:t>
      </w:r>
    </w:p>
  </w:footnote>
  <w:footnote w:id="3">
    <w:p>
      <w:pPr>
        <w:spacing w:after="20"/>
      </w:pPr>
      <w:r>
        <w:rPr>
          <w:rFonts w:ascii="Times New Roman" w:hAnsi="Times New Roman"/>
          <w:sz w:val="17"/>
          <w:vertAlign w:val="superscript"/>
        </w:rPr>
        <w:footnoteRef/>
      </w:r>
      <w:r>
        <w:rPr>
          <w:rFonts w:ascii="Times New Roman" w:hAnsi="Times New Roman"/>
          <w:sz w:val="17"/>
          <w:szCs w:val="17"/>
        </w:rPr>
        <w:t xml:space="preserve"> Gneiting, T., Balabdaoui, F., Raftery, A.E. (2007). Probabilistic Forecasts, Calibration and Sharpness. Journal of the Royal Statistical Society: Series B 69(2), 243–268. doi:10.1111/j.1467-9868.2007.00587.x</w:t>
      </w:r>
    </w:p>
  </w:footnote>
  <w:footnote w:id="4">
    <w:p>
      <w:pPr>
        <w:spacing w:after="20"/>
      </w:pPr>
      <w:r>
        <w:rPr>
          <w:rFonts w:ascii="Times New Roman" w:hAnsi="Times New Roman"/>
          <w:sz w:val="17"/>
          <w:vertAlign w:val="superscript"/>
        </w:rPr>
        <w:footnoteRef/>
      </w:r>
      <w:r>
        <w:rPr>
          <w:rFonts w:ascii="Times New Roman" w:hAnsi="Times New Roman"/>
          <w:sz w:val="17"/>
          <w:szCs w:val="17"/>
        </w:rPr>
        <w:t xml:space="preserve"> Murphy, A.H. (1993). What Is a Good Forecast? An Essay on the Nature of Goodness in Weather Forecasting. Weather and Forecasting 8(2), 281–293. doi:10.1175/1520-0434(1993)008&lt;0281:WIAGFA&gt;2.0.CO;2</w:t>
      </w:r>
    </w:p>
  </w:footnote>
  <w:footnote w:id="5">
    <w:p>
      <w:pPr>
        <w:spacing w:after="20"/>
      </w:pPr>
      <w:r>
        <w:rPr>
          <w:rFonts w:ascii="Times New Roman" w:hAnsi="Times New Roman"/>
          <w:sz w:val="17"/>
          <w:vertAlign w:val="superscript"/>
        </w:rPr>
        <w:footnoteRef/>
      </w:r>
      <w:r>
        <w:rPr>
          <w:rFonts w:ascii="Times New Roman" w:hAnsi="Times New Roman"/>
          <w:sz w:val="17"/>
          <w:szCs w:val="17"/>
        </w:rPr>
        <w:t xml:space="preserve"> Cholakova-Bimbalova, R., Petrov, V., Vassilev, A. (2019). Photosynthetic Performance of Young Maize (Zea mays L.) Plants Exposed to Chilling Stress Can Be Improved by the Application of Protein Hydrolysates. Acta Agrobotanica 72(2), 1769. doi:10.5586/aa.1769</w:t>
      </w:r>
    </w:p>
  </w:footnote>
  <w:footnote w:id="6">
    <w:p>
      <w:pPr>
        <w:spacing w:after="20"/>
      </w:pPr>
      <w:r>
        <w:rPr>
          <w:rFonts w:ascii="Times New Roman" w:hAnsi="Times New Roman"/>
          <w:sz w:val="17"/>
          <w:vertAlign w:val="superscript"/>
        </w:rPr>
        <w:footnoteRef/>
      </w:r>
      <w:r>
        <w:rPr>
          <w:rFonts w:ascii="Times New Roman" w:hAnsi="Times New Roman"/>
          <w:sz w:val="17"/>
          <w:szCs w:val="17"/>
        </w:rPr>
        <w:t xml:space="preserve"> Carucci, F., Gagliardi, A., Giuliani, M.M., Gatta, G. (2023). Irrigation Scheduling in Processing Tomato to Save Water: A Smart Approach Combining Plant and Soil Monitoring. Applied Sciences 13, 7625. doi:10.3390/app13137625</w:t>
      </w:r>
    </w:p>
  </w:footnote>
  <w:footnote w:id="7">
    <w:p>
      <w:pPr>
        <w:spacing w:after="20"/>
      </w:pPr>
      <w:r>
        <w:rPr>
          <w:rFonts w:ascii="Times New Roman" w:hAnsi="Times New Roman"/>
          <w:sz w:val="17"/>
          <w:vertAlign w:val="superscript"/>
        </w:rPr>
        <w:footnoteRef/>
      </w:r>
      <w:r>
        <w:rPr>
          <w:rFonts w:ascii="Times New Roman" w:hAnsi="Times New Roman"/>
          <w:sz w:val="17"/>
          <w:szCs w:val="17"/>
        </w:rPr>
        <w:t xml:space="preserve"> Badr, M.A., Ali, E., Salman, S.R. (2026). Effect of Regulated and Controlled Deficit Irrigation on Yield and Yield Response Factor of Processing Tomato. BMC Plant Biology 26, 169. doi:10.1186/s12870-025-08065-6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