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Part B — Stage-1 annotated draft (run-03)</w:t>
      </w:r>
    </w:p>
    <w:p>
      <w:r>
        <w:rPr>
          <w:i/>
        </w:rPr>
        <w:t>Annotated working draft (unbounded) generated per plans/partb_final_drafting_strategy_2026-09-03.md §3, 2026-09-03, from the run 7860a89a-9285-4b08-a8d1-1c42777eae2c section artifacts. Paragraphs carry [&lt;sub-section&gt;-¶&lt;n&gt;] anchors (sentences are referenced positionally as s1, s2, … within a ¶); highlighted [A-x] markers carry Word comments with the revision action, the question for the researcher and the proposed fallback; highlighted insertions are the draft-resolved items. All markup is stripped in the final submission form.</w:t>
      </w:r>
    </w:p>
    <w:p>
      <w:pPr>
        <w:pStyle w:val="Heading1"/>
      </w:pPr>
      <w:r>
        <w:t>Excellence</w:t>
      </w:r>
    </w:p>
    <w:p>
      <w:pPr>
        <w:pStyle w:val="Heading2"/>
      </w:pPr>
      <w:r>
        <w:t>1.1 Quality and pertinence of the project's research and innovation objectives (and the extent to which they are ambitious, and go beyond the state of the art)</w:t>
      </w:r>
    </w:p>
    <w:p>
      <w:r>
        <w:rPr>
          <w:i/>
          <w:color w:val="808080"/>
        </w:rPr>
        <w:t xml:space="preserve">[1.1-¶1] </w:t>
      </w:r>
      <w:r>
        <w:t>1.1 Quality and pertinence of the project's research and innovation objectives</w:t>
      </w:r>
    </w:p>
    <w:p>
      <w:r>
        <w:rPr>
          <w:i/>
          <w:color w:val="808080"/>
        </w:rPr>
        <w:t xml:space="preserve">[1.1-¶2] </w:t>
      </w:r>
      <w:r>
        <w:t>Pertinence and framing. FIELDWISE addresses a problem of direct European relevance — water scarcity and rising climatic variability are intensifying the need for more efficient irrigation management in high-value horticulture, while irrigation decisions are still frequently based on delayed visual symptoms, isolated sensor thresholds or retrospective crop-performance information. It pursues this through the researcher-centred logic of the MSCA Postdoctoral Fellowships 2026 call (HORIZON-MSCA-2026-PF-01). The action is a European Postdoctoral Fellowship of 30 months, hosted at HUN-REN Agrartudomanyi Kutatokozpont (ATK), Martonvásár, Hungary, and carried out by the experienced researcher Dr. Rositsa Cholakova. Its research and innovation objectives are pertinent on two axes simultaneously. Scientifically, they close three focused gaps: the physiological grounding of plant water-stress indicators (spectral and environmental variables are too often treated as stress proxies without demonstrating that they track an actual plant response); transferability across unseen conditions, sensing scales and horticultural crops; and irrigation decision relevance. In instrument terms, the same objectives are the vehicle through which the fellow completes a documented transition from plant physiologist and agronomist toward an independent Agricultural Data Scientist, acquiring the interdisciplinary (plant-stress physiology combined with agricultural data science and with hyperspectral, UAV and Earth-observation methods) and inter-sectoral competences that the call's expected outcomes explicitly seek. The proposal deliberately draws its evidence base from an existing five-season archive rather than a new campaign, and channels its inter-sectoral exposure through an integral end-of-project non-academic placement, so that its scientific and career objectives reinforce one another rather than compete.</w:t>
      </w:r>
    </w:p>
    <w:p>
      <w:r>
        <w:rPr>
          <w:i/>
          <w:color w:val="808080"/>
        </w:rPr>
        <w:t xml:space="preserve">[1.1-¶3] </w:t>
      </w:r>
      <w:r>
        <w:t>The four objectives. The scientific programme is organised around one central challenge — whether a water-stress signal discovered in a data-rich processing-tomato system can remain biologically meaningful across seasons and sensing scales, survive prospective validation under real farmer conditions, and be encoded in a crop-configurable decision-support framework that can later be adapted to other irrigated high-value horticultural crops. This challenge is operationalised as four objectives. O1 is to "Harmonise the heterogeneous 2022-2026 MATE archive and define a physiologically meaningful water-stress target". O2 is to "Develop a parsimonious, interpretable and uncertainty-aware predictive framework under HUN-REN supervision, with ELTE spectral/EO harmonisation, and separate reusable system components from crop-specific biological/calibration parameters". O3 is to "Prospectively validate the framework at an independent commercial farmer site equipped with project meteorological and soil sensing, supported by physiological, proximal, UAV and Sentinel observations". O4 is to "Operationalise validated outputs in a crop-configurable DrR architecture through continuous Krumatic software development and AgroVIR requirements feedback, followed by industrial evaluation in M25-M30". Processing tomato is chosen as the model crop precisely because approximately five years of heterogeneous data, strong experimental expertise and established collaborations already exist for it; it is the scientifically justified starting point, not the intended limit of the technology.</w:t>
      </w:r>
    </w:p>
    <w:p>
      <w:r>
        <w:rPr>
          <w:i/>
          <w:color w:val="808080"/>
        </w:rPr>
        <w:t xml:space="preserve">[1.1-¶4] </w:t>
      </w:r>
      <w:r>
        <w:t>Measurable and verifiable. Each objective is defined by concrete, checkable outputs rather than by aspiration, and each is anchored to a dated project deliverable so that an evaluator (and later a reviewer) can verify achievement. O1 delivers a QC-controlled common-variable matrix, a missingness/measurement-frequency map, and a target and validation protocol — captured in the harmonised database and variable-availability map (D1.1, month 14) and the Stress-target, feature-selection and validation protocol (D1.2, month 14). O2 delivers a ranked predictor set, a primary model with a nonlinear benchmark where justified, a calibration/uncertainty assessment, a model card and a crop-transfer specification — captured in the Primary model, benchmark and model card (D2.1, month 3) and the Spectral/UAV/Sentinel harmonisation and crop-transfer specification (D2.2, month 14). O3 delivers a prospective validation dataset, an unseen-environment benchmark, a spatial scaling assessment and a limited-recalibration protocol if required — captured in the Independent commercial-field validation dataset (D3.1, month 18) and the Prospective transferability, uncertainty and limited-recalibration report (D3.2, month 18). O4 delivers a web MVP with a validated processing-tomato module, an irrigation-attention output, a crop-extension specification, an AgroVIR requirements/interoperability report and a post-MSCA integration and exploitation roadmap — captured in the Crop-configurable DrR web MVP with validated processing-tomato module (D4.1, month 24), the AgroVIR operational/interoperability assessment (D5.1, month 30) and the Post-MSCA FMIS integration and exploitation roadmap (D5.2, month 30). Verifiability is reinforced by an explicit evaluation discipline: model performance is judged under blocked, leakage-safe unseen-year validation against a pre-specified physiological stress target, using pre-registered metrics — balanced accuracy, F1 and ROC-AUC for classified stress detection; RMSE, MAE and R² for continuous prediction; reliability diagrams, the Brier score and prediction-interval coverage probability for calibration; and stress-detection lead time and per-season false-alarm rate for operational value — with literature-derived acceptance thresholds fixed in D1.2 before the prospective season, and with the primary model frozen and its model card registered (D2.1) before the first field season. Pre-committing thresholds and freezing the model before validation converts each objective into a falsifiable, auditable claim rather than a moving target.</w:t>
      </w:r>
      <w:commentRangeStart w:id="0"/>
      <w:r>
        <w:rPr>
          <w:b/>
          <w:highlight w:val="yellow"/>
        </w:rPr>
        <w:t xml:space="preserve"> [A-1]</w:t>
      </w:r>
      <w:commentRangeEnd w:id="0"/>
      <w:r>
        <w:rPr>
          <w:rStyle w:val="CommentReference"/>
        </w:rPr>
        <w:commentReference w:id="0"/>
      </w:r>
    </w:p>
    <w:p>
      <w:r>
        <w:rPr>
          <w:i/>
          <w:color w:val="808080"/>
        </w:rPr>
        <w:t xml:space="preserve">[1.1-¶5] </w:t>
      </w:r>
      <w:r>
        <w:t>Realistically achievable. The objectives are ambitious yet grounded in resources that already exist. O1 and O2 rest on the 2022-2026 MATE processing-tomato archive (physiological, soil, meteorological and proximal spectral observations) and are developed under HUN-REN ATK supervision (primary supervisor Prof. Tibor Janda) with ELTE spectral/EO harmonisation and UAV/hyperspectral instrumentation. O3 is a single, focused prospective test at an independent commercial farmer field instrumented by the project (meteorological station and soil sensors) — the minimum that the prospective-validation logic requires — with a defined site-contingency ladder so that the transferability claim is protected. O4 builds on the fellow's pre-existing, self-financed research tool DrR - Digital Agronomist, currently a sensor/EO monitoring and data-integration tool rather than a validated advisory product, used as a research-to-application vehicle: only validated scientific components are incrementally incorporated, Krumatic supports software engineering from project start, and AgroVIR provides requirements-oriented consultation from the outset before hosting the M25-M30 placement. The scope is bounded honestly — validation within the action is limited to processing tomato, and the crop-transfer specification defines the components, parameters, minimum datasets and recalibration gates any later crop must pass — while the concrete follow-on route to additional cultivars and Bulgarian production conditions is placed after the action through MVCRI, with no in-action MVCRI effort claimed. This bounding is itself a realism argument: the fellowship promises only what its data, timeline and consortium can deliver.</w:t>
      </w:r>
    </w:p>
    <w:p>
      <w:r>
        <w:rPr>
          <w:i/>
          <w:color w:val="808080"/>
        </w:rPr>
        <w:t xml:space="preserve">[1.1-¶6] </w:t>
      </w:r>
      <w:r>
        <w:t>Beyond the state of the art and extent of ambition. FIELDWISE is ambitious because it connects biological truth, rigorous transferability testing, sensing scale and operational decision support within a single validation chain, while deliberately designing the resulting digital framework for reuse beyond the development crop. It explicitly refuses four assumptions that are common in the field: that a vegetation index is equivalent to water stress; that proximal and satellite indices are interchangeable; that internal cross-validation proves field transferability; and that one tomato-trained model can be transferred unchanged to another horticultural crop. Its advance over current practice is expressed as seven concrete transitions: (1) from a stress proxy to a physiologically defined stress target; (2) from a heterogeneous five-season archive to an explicit common-variable/missingness design; (3) from internal fit to blocked unseen-year validation to independent commercial-field validation; (4) from leaf/proximal sensing through an ELTE hyperspectral/UAV bridge to Sentinel-2 field-scale operational inputs; (5) from a standalone model to a continuously developed DrR web MVP with AgroVIR industrial evaluation; (6) from academic-only validation to a farmer-facing real-world test plus a defined post-MSCA Bulgarian replication route through MVCRI; and (7) from a tomato-specific prototype to a crop-configurable high-value-horticulture framework with explicit crop-specific validation/calibration gates. The genuine novelty is not a new machine-learning algorithm — the deliberate methodological stance is parsimony and interpretability, avoiding a deep-learning dependency — but the construction and demonstration of a validation framework in which operationally obtainable data streams are judged against independent plant-level ground truth, challenged under both unseen-year and new commercial-field conditions, translated across sensing scales without assuming equivalence, and then separated into a reusable decision-support core and crop-specific biological/calibration components. This moves crop-stress modelling beyond retrospective predictive accuracy toward demonstrated physiological validity, transferability and management relevance, which is where the field's current weakness lies and where the project's ambition is concentrated.</w:t>
      </w:r>
      <w:commentRangeStart w:id="1"/>
      <w:r>
        <w:rPr>
          <w:b/>
          <w:highlight w:val="yellow"/>
        </w:rPr>
        <w:t xml:space="preserve"> [A-2]</w:t>
      </w:r>
      <w:commentRangeEnd w:id="1"/>
      <w:r>
        <w:rPr>
          <w:rStyle w:val="CommentReference"/>
        </w:rPr>
        <w:commentReference w:id="1"/>
      </w:r>
    </w:p>
    <w:p>
      <w:pPr>
        <w:pStyle w:val="Heading2"/>
      </w:pPr>
      <w:r>
        <w:t>1.2 Soundness of the proposed methodology (including interdisciplinary approaches, consideration of the gender dimension and other diversity aspects if relevant for the research project, and the quality of open science practices)</w:t>
      </w:r>
    </w:p>
    <w:p>
      <w:r>
        <w:rPr>
          <w:i/>
          <w:color w:val="808080"/>
        </w:rPr>
        <w:t xml:space="preserve">[1.2-¶1] </w:t>
      </w:r>
      <w:r>
        <w:t>## 1.2 Soundness of the proposed methodology</w:t>
      </w:r>
    </w:p>
    <w:p>
      <w:r>
        <w:rPr>
          <w:i/>
          <w:color w:val="808080"/>
        </w:rPr>
        <w:t xml:space="preserve">[1.2-¶2] </w:t>
      </w:r>
      <w:r>
        <w:t>### Overall methodology: concepts, models and assumptions</w:t>
      </w:r>
    </w:p>
    <w:p>
      <w:r>
        <w:rPr>
          <w:i/>
          <w:color w:val="808080"/>
        </w:rPr>
        <w:t xml:space="preserve">[1.2-¶3] </w:t>
      </w:r>
      <w:r>
        <w:t>The methodological spine of FIELDWISE is a single, disciplined validation chain that carries one physiologically grounded water-stress signal from a heterogeneous multi-season evidence base, through leakage-safe modelling, to prospective testing under real commercial conditions and finally into an operational decision-support prototype. The design is deliberately not organised around inventing a new machine-learning algorithm; its methodological stance is parsimony, interpretability and uncertainty-awareness, and it explicitly avoids a deep-learning dependency. The unifying concept is that a model is only useful for irrigation if it has been judged against four linked criteria at once — physiological validity, predictive performance, transferability to unseen conditions, and management relevance — rather than against retrospective accuracy alone. This four-criterion evaluation frame is the organising idea from which every methodological choice below is derived.</w:t>
      </w:r>
    </w:p>
    <w:p>
      <w:r>
        <w:rPr>
          <w:i/>
          <w:color w:val="808080"/>
        </w:rPr>
        <w:t xml:space="preserve">[1.2-¶4] </w:t>
      </w:r>
      <w:r>
        <w:t>The work rests on an explicit and falsifiable model of the underlying biology, stated as four working hypotheses. H1 (physiological-signature hypothesis) assumes that declining soil-water availability and increasing atmospheric demand produce coordinated plant responses that can be captured by a parsimonious subset of proximal spectral and environmental indicators. H2 (transferability hypothesis) assumes that predictive performance will degrade when moving from internal fitting to unseen-year and independent commercial-field validation, but that a stable core of the physiology-to-prediction workflow can nonetheless be identified and separated from crop-specific components. H3 (scale-transition hypothesis) assumes that physiologically meaningful proximal signatures will not map one-to-one onto satellite bands, but that a subset of relationships survives explicit hyperspectral/UAV-to-Sentinel harmonisation at spatial scales where field geometry supports valid Earth-observation interpretation. H4 (operational-relevance hypothesis) assumes that a model selected for physiological validity, calibration, uncertainty and stability will provide more useful irrigation-attention information than one selected solely for retrospective accuracy. Stating these as hypotheses, rather than as design assertions, is itself a methodological commitment: each is testable and each can fail visibly.</w:t>
      </w:r>
    </w:p>
    <w:p>
      <w:r>
        <w:rPr>
          <w:i/>
          <w:color w:val="808080"/>
        </w:rPr>
        <w:t xml:space="preserve">[1.2-¶5] </w:t>
      </w:r>
      <w:r>
        <w:t>Concretely, the model to be built learns the relationship between operationally obtainable predictors — soil-water, meteorological and spectral/Earth-observation variables — and an independently measured physiological water-stress target. Defining that target is the first methodological act and the foundation of everything that follows. Rather than treating a vegetation index or an environmental threshold as a stress proxy, the project harmonises the existing 2022-2026 processing-tomato archive into a QC-controlled common-variable matrix with an explicit missingness and measurement-frequency map, and fixes a physiologically meaningful stress target and validation protocol before any model fitting. This is captured in the Harmonised database/metadata and variable-availability map and the Stress-target, feature-selection and validation protocol, and it directly delivers Objective O1. A pre-specified stress-target hierarchy is fixed in the Stress-target, feature-selection and validation protocol before model training, so that any substitution forced by the archive audit is made and documented before results are inspected, never after.</w:t>
      </w:r>
    </w:p>
    <w:p>
      <w:r>
        <w:rPr>
          <w:i/>
          <w:color w:val="808080"/>
        </w:rPr>
        <w:t xml:space="preserve">[1.2-¶6] </w:t>
      </w:r>
      <w:r>
        <w:t>The predictive framework itself (Objective O2) is developed to be parsimonious, interpretable and uncertainty-aware: a ranked predictor set, a primary model with a single nonlinear benchmark only where justified, an explicit calibration and uncertainty assessment, and a model card. Two methodological safeguards convert each objective into an auditable claim rather than a moving target. First, model selection and evaluation are performed under blocked, leakage-safe unseen-year temporal validation, so that year-, treatment- or site-specific correlations cannot masquerade as generalisation. Second, evaluation uses pre-registered metrics — balanced accuracy, F1 and ROC-AUC for classified stress detection; RMSE, MAE and R² for continuous prediction; reliability diagrams, the Brier score and prediction-interval coverage probability for calibration; and stress-detection lead time and per-season false-alarm rate for operational value — with literature-derived acceptance thresholds fixed in the validation protocol before the prospective season, and with the primary model frozen and its model card registered in the Primary model, benchmark and model card before the first field season. Freezing the model and pre-committing thresholds before the prospective test is the methodological device that makes the transferability claim honest.</w:t>
      </w:r>
      <w:commentRangeStart w:id="2"/>
      <w:r>
        <w:rPr>
          <w:b/>
          <w:highlight w:val="yellow"/>
        </w:rPr>
        <w:t xml:space="preserve"> [A-1]</w:t>
      </w:r>
      <w:commentRangeEnd w:id="2"/>
      <w:r>
        <w:rPr>
          <w:rStyle w:val="CommentReference"/>
        </w:rPr>
        <w:commentReference w:id="2"/>
      </w:r>
    </w:p>
    <w:p>
      <w:r>
        <w:rPr>
          <w:i/>
          <w:color w:val="808080"/>
        </w:rPr>
        <w:t xml:space="preserve">[1.2-¶7] </w:t>
      </w:r>
      <w:r>
        <w:t>Transferability is treated at three distinct levels rather than conflated. Temporal transfer is tested by the blocked unseen-year validation above; environmental transfer is tested by prospectively applying the frozen model at an independent commercial farmer field instrumented by the project with a meteorological station and soil sensors, supported by physiological, proximal, UAV and Sentinel observations (Objective O3), quantifying the research-to-commercial transfer gap and applying a limited, pre-specified recalibration only if transfer is incomplete, as captured in the Independent commercial-field validation dataset and the Prospective transferability, uncertainty and limited-recalibration report; and methodological/crop transfer is handled by explicitly separating a reusable decision-support core (data architecture, physiology-to-prediction workflow, uncertainty logic, sensing-scale integration and the irrigation-attention interface) from crop-specific components (physiological reference ranges, phenological interpretation, stress thresholds and calibration parameters), documented in the Spectral/UAV/Sentinel harmonisation and crop-transfer specification with explicit recalibration gates any later crop must pass. Processing tomato is the scientifically justified starting crop — chosen because roughly five heterogeneous seasons of data and established expertise exist for it — not the intended limit of the technology; the project builds and documents the methodology required for controlled transfer rather than claiming that a tomato-trained model can be applied unchanged elsewhere.</w:t>
      </w:r>
    </w:p>
    <w:p>
      <w:r>
        <w:rPr>
          <w:i/>
          <w:color w:val="808080"/>
        </w:rPr>
        <w:t xml:space="preserve">[1.2-¶8] </w:t>
      </w:r>
      <w:r>
        <w:t>Operationalisation (Objective O4) follows the science rather than leading it. The pre-existing DrR - Digital Agronomist prototype is used as a research-to-application vehicle: only validated scientific components are incrementally incorporated into a crop-configurable web MVP that keeps crop-specific parameters explicit, delivered as the Crop-configurable DrR web MVP with validated processing-tomato module and evaluated for operational usability and interoperability by AgroVIR. The principle "the software follows the science, not the other way around" is a methodological constraint that protects the fellowship from becoming a software-development project.</w:t>
      </w:r>
    </w:p>
    <w:p>
      <w:r>
        <w:rPr>
          <w:i/>
          <w:color w:val="808080"/>
        </w:rPr>
        <w:t xml:space="preserve">[1.2-¶9] </w:t>
      </w:r>
      <w:r>
        <w:t>**Identified challenges and how they are overcome.** The methodology names its own principal risks and builds the countermeasures into the workflow. (i) Archive heterogeneity and missingness: overcome by the common-variable matrix, an explicit missingness strategy and a defined effective statistical unit fixed before modelling. (ii) Optimistic generalisation from random splits: overcome by blocked, leakage-safe unseen-year validation and pre-registered metrics/thresholds. (iii) The research-to-field transfer gap: overcome by a frozen model, prospective commercial-field testing and a pre-specified limited-recalibration protocol, so that any performance drop is measured and reported rather than hidden. (iv) Fragility of UAV/hyperspectral campaigns: overcome by prioritising acquisitions around key physiological measurement dates and by retaining physiology and proximal sensing as the core pathway if individual UAV campaigns are missed. (v) Dependence on a single commercial validation site: overcome by a defined site-contingency ladder, in which a second independent commercial processing-tomato producer serves as a first-line, claim-preserving backup and a public-garden route serves as a measurement-only fallback with an explicitly downgraded transferability claim. (vi) The temptation to over-fit for accuracy: overcome by the parsimony-and-interpretability stance and by scoring operational value (lead time, false-alarm rate) alongside statistical fit.</w:t>
      </w:r>
    </w:p>
    <w:p>
      <w:r>
        <w:rPr>
          <w:i/>
          <w:color w:val="808080"/>
        </w:rPr>
        <w:t xml:space="preserve">[1.2-¶10] </w:t>
      </w:r>
      <w:r>
        <w:t>### Integration of methods and disciplines to pursue the objectives</w:t>
      </w:r>
    </w:p>
    <w:p>
      <w:r>
        <w:rPr>
          <w:i/>
          <w:color w:val="808080"/>
        </w:rPr>
        <w:t xml:space="preserve">[1.2-¶11] </w:t>
      </w:r>
      <w:r>
        <w:t>An interdisciplinary approach is essential here, not optional: the central challenge cannot be met by any single discipline, because it requires a physiological definition of stress, a rigorous data-science treatment of prediction and uncertainty, a remote-sensing treatment of scale, and an agricultural/operational treatment of decision relevance to co-exist within one workflow. FIELDWISE integrates four method families. Plant-stress physiology and agronomy supply the physiologically meaningful stress target, the corroborating endpoints and the judgement of whether model-derived signals track genuine plant responses; this strand is anchored in the HUN-REN ATK Plant Physiology and Metabolomics Department, whose head is a plant-stress physiologist, and in the processing-tomato experimental and archive base contributed by MATE. Agricultural data science supplies the parsimonious modelling, feature engineering, calibration, uncertainty analysis and leakage-safe validation design. Remote sensing and geoinformatics supply the hyperspectral/UAV-to-Sentinel scale-transition methodology that prevents leaf-, plot- and satellite-scale measurements from being treated as equivalent. Software engineering and operational farm-management expertise supply the translation of validated functions into a maintainable, interoperable prototype: Krumatic provides software development from project start, and AgroVIR provides requirements-oriented consultation from the outset and later operational and interoperability evaluation.</w:t>
      </w:r>
    </w:p>
    <w:p>
      <w:r>
        <w:rPr>
          <w:i/>
          <w:color w:val="808080"/>
        </w:rPr>
        <w:t xml:space="preserve">[1.2-¶12] </w:t>
      </w:r>
      <w:r>
        <w:t>The integration mechanism is deliberately structured rather than assumed. The disciplines meet at defined methodological interfaces — the physiological target definition constrains the predictor set; the predictor set and validation protocol constrain the model; the scale-transition specification governs how proximal signals become field-scale inputs; and the reusable-core/crop-specific separation governs what is allowed to enter the DrR architecture. This is reinforced by a deliberately complementary two-way transfer of knowledge: the fellow contributes agronomy, plant protection, plant-stress physiology, physiological phenotyping, horticultural field experimentation, proximal spectral interpretation and the existing DrR concept, while the host and partners contribute advanced agricultural data science, robust modelling and uncertainty analysis, hyperspectral/UAV/EO integration, precision-agriculture workflows and research-to-software/industry translation. The remote-sensing, UAV and hyperspectral environment and a co-supervisory methodological strand for scale-aware EO interpretation are provided on the ELTE side as an associated partner, and the predictive-modelling/machine-learning methodological leadership is carried by a named ELTE-side team member. The result is an interdisciplinary design in which the fellow is the integrating agent who, by the end of the action, will have carried a scientific concept through biological definition, model development, unseen-condition validation, software implementation and industrial evaluation.</w:t>
      </w:r>
    </w:p>
    <w:p>
      <w:r>
        <w:rPr>
          <w:i/>
          <w:color w:val="808080"/>
        </w:rPr>
        <w:t xml:space="preserve">[1.2-¶13] </w:t>
      </w:r>
      <w:r>
        <w:t>### Gender dimension and other diversity aspects</w:t>
      </w:r>
    </w:p>
    <w:p>
      <w:r>
        <w:rPr>
          <w:i/>
          <w:color w:val="808080"/>
        </w:rPr>
        <w:t xml:space="preserve">[1.2-¶14] </w:t>
      </w:r>
      <w:r>
        <w:t>A sex/gender dimension in the *content* of the research is not relevant to FIELDWISE, and this conclusion follows directly from the nature of the research object rather than being an omission. The biological subject of study is the processing-tomato crop and its physiological water-stress response; the project collects no human or animal biological data, no health, biometric or special-category data, and no personal attributes for which sex or gender is an analytical variable. There is therefore no biological or physiological endpoint in the research on which a sex/gender analysis could operate, and introducing one would be artificial. In line with the guidance that this question concerns research content and not team composition, no gender-dimension claim is made about the scientific model.</w:t>
      </w:r>
    </w:p>
    <w:p>
      <w:r>
        <w:rPr>
          <w:i/>
          <w:color w:val="808080"/>
        </w:rPr>
        <w:t xml:space="preserve">[1.2-¶15] </w:t>
      </w:r>
      <w:r>
        <w:t>Other diversity aspects are, however, taken into account where the research and innovation content actually touches people — namely in the design and evaluation of the decision-support output. Because the DrR web MVP and its irrigation-attention interface are intended for real growers, inclusive, user-centred design is treated as a methodological requirement: structured requirements consultation and usability, missing-data-behaviour and interoperability evaluation with AgroVIR and with participating farmers are used to ensure the tool serves users with differing farm sizes, differing degrees of digital literacy and differing operating contexts, rather than an idealised advanced user. The dissemination and uptake pathway is explicitly bilingual and cross-border, with Krumatic supporting Bulgarian farmer-facing uptake alongside the Hungarian validation and evaluation environment, so that the innovation is accessible across the two national grower communities the project works in. Where human participants provide feedback — grower requirements and the operational evaluation — participation is governed by informed consent and a right of withdrawal, and farmer and commercial data are minimised and processed in coded or anonymised form. These measures are the appropriate treatment of diversity for a project whose only human dimension is end-user engagement.</w:t>
      </w:r>
    </w:p>
    <w:p>
      <w:r>
        <w:rPr>
          <w:i/>
          <w:color w:val="808080"/>
        </w:rPr>
        <w:t xml:space="preserve">[1.2-¶16] </w:t>
      </w:r>
      <w:r>
        <w:t>### Open science practices as an integral part of the methodology</w:t>
      </w:r>
    </w:p>
    <w:p>
      <w:r>
        <w:rPr>
          <w:i/>
          <w:color w:val="808080"/>
        </w:rPr>
        <w:t xml:space="preserve">[1.2-¶17] </w:t>
      </w:r>
      <w:r>
        <w:t>Open science is embedded in the workflow rather than appended to it, under the governing principle "as open as possible, as closed as necessary". Several methodological choices are simultaneously open-science practices. The pre-registration of the stress target, feature-selection approach, metrics and literature-derived acceptance thresholds before the prospective season — fixed in the Stress-target, feature-selection and validation protocol — is a reproducibility and transparency commitment that guards against outcome-selective reporting. The primary model is documented with a model card in the Primary model, benchmark and model card, exposing its intended use, predictors, performance, calibration and known limitations. The evidence base itself is treated FAIR-by-design: the Harmonised database/metadata and variable-availability map produces documented, quality-controlled data and metadata, and methods, metadata and publications are made reusable wherever possible. The project relies on open Copernicus/Sentinel-2 Earth-observation data for its field-scale inputs, and results derived from commercially sensitive farmer or partner information are published only in aggregated, coded or anonymised form.</w:t>
      </w:r>
    </w:p>
    <w:p>
      <w:r>
        <w:rPr>
          <w:i/>
          <w:color w:val="808080"/>
        </w:rPr>
        <w:t xml:space="preserve">[1.2-¶18] </w:t>
      </w:r>
      <w:r>
        <w:t>Open access to publications is planned: at least two high-quality peer-reviewed papers (physiologically grounded water-stress signatures; modelling, uncertainty and transfer from historical experiments to prospective commercial-field validation), with an optional third methods/application paper, are targeted for open-access dissemination, complemented by conference presentations, seminars and practitioner-facing demonstrations. Open science is also carried into training as a transferable-skills competence (research integrity, open science and FAIR practice, generative-AI literacy), so that the fellow consolidates these practices as part of the career transition. Data governance is handled honestly rather than naively: a background/foreground inventory is established at project start, and pre-existing DrR background, FIELDWISE scientific foreground, institutional datasets and partner-developed code are treated as separate rights layers, with potentially protectable foreground evaluated before public disclosure — the "as closed as necessary" side of the principle that legitimately balances openness against valorisation. Consistent with the standard MSCA requirement for FAIR data management and open science, a Data Management Plan will be produced as an early project deliverable, within the first six months of the action, detailing data types, standards, storage, sharing, access and long-term reuse arrangements and operationalising the FAIR and open-access commitments above across all work packages.</w:t>
      </w:r>
    </w:p>
    <w:p>
      <w:pPr>
        <w:pStyle w:val="Heading2"/>
      </w:pPr>
      <w:r>
        <w:t>1.3 Quality of the supervision, training and of the two-way transfer of knowledge between the researcher and the host</w:t>
      </w:r>
    </w:p>
    <w:p>
      <w:r>
        <w:rPr>
          <w:i/>
          <w:color w:val="808080"/>
        </w:rPr>
        <w:t xml:space="preserve">[1.3-¶1] </w:t>
      </w:r>
      <w:r>
        <w:t>### 1.3 Quality of the supervision, training and of the two-way transfer of knowledge between the researcher and the host</w:t>
      </w:r>
    </w:p>
    <w:p>
      <w:r>
        <w:rPr>
          <w:i/>
          <w:color w:val="808080"/>
        </w:rPr>
        <w:t xml:space="preserve">[1.3-¶2] </w:t>
      </w:r>
      <w:r>
        <w:t>**A complementary supervisory team matched to the two pillars of the action.** FIELDWISE is a 30-month European Postdoctoral Fellowship (24 months at the host, M1–M24, plus a 6-month non-academic placement, M25–M30, under CC-07), and its supervision is structured around the two disciplinary pillars on which the science depends: plant-stress physiology and agricultural data science / Earth observation. Primary supervision is provided at the recruiting organisation and host, HUN-REN Agrartudomanyi Kutatokozpont (ATK), Martonvásár, by Prof. Tibor Janda, Head of the Plant Physiology and Metabolomics Department at the Agricultural Institute. His expertise — plant physiology, abiotic-stress (including drought) physiology and stress metabolomics — is exactly the competence the scientific spine of the project requires: he anchors the definition of the physiologically meaningful water-stress target, the judgement of whether model-derived and remotely sensed signals track genuine plant responses, and the physiological measurement programme. As head of an established department with extensive drought and abiotic-stress research, he directs a mature advanced-training environment and is positioned to supervise at the level the fellowship demands. The host's institutional capacity to deliver high-quality MSCA supervision is evidenced, not asserted: HUN-REN Agrartudomanyi Kutatokozpont coordinated and hosted the funded MSCA Individual Fellowship LANDRACES (752453, 2017–2019) and participates in Horizon Europe today (COUSIN, AI4SoilHealth, TUdi). A committed supervisory effort of approximately 2.5 person-months across the action underwrites substantive, recurring engagement rather than nominal oversight.</w:t>
      </w:r>
    </w:p>
    <w:p>
      <w:r>
        <w:rPr>
          <w:i/>
          <w:color w:val="808080"/>
        </w:rPr>
        <w:t xml:space="preserve">[1.3-¶3] </w:t>
      </w:r>
      <w:r>
        <w:t>Co-supervision is provided by Prof. András Jung of Eötvös Loránd University (ELTE), Institute of Cartography and Geoinformatics — a specialist in remote sensing, hyperspectral imaging, field spectroscopy and multisensor data fusion — who carries the hyperspectral/UAV-to-Sentinel scale-transition strand, the second methodological pillar, with a co-supervisory effort of approximately 2.0 person-months. As an associated partner, Eötvös Loránd University (ELTE) additionally contributes Dr. Roland Hollós as the named team member responsible for the predictive-modelling/machine-learning strand (heterogeneous agricultural-data integration, AI/ML approach selection, feature engineering, validation design, uncertainty analysis and model interpretation) and Dr. Zsófia Varga for practical UAV operation, flight planning and imaging-sensor deployment. The source scientific environment, Magyar Agrár- és Élettudományi Egyetem (MATE), contributes the longitudinal 2022–2026 processing-tomato archive and agronomic/irrigation expertise through Dr. Sándor Takács, with senior precision-agriculture and decision-support consultation from Prof. Gábor Milics. The result is a single fellow supported by named specialists covering every methodological interface the project crosses — physiological definition, modelling and uncertainty, sensing-scale transition, and operational translation — so that no strand of the interdisciplinary programme is left without expert guidance.</w:t>
      </w:r>
    </w:p>
    <w:p>
      <w:r>
        <w:rPr>
          <w:i/>
          <w:color w:val="808080"/>
        </w:rPr>
        <w:t xml:space="preserve">[1.3-¶4] </w:t>
      </w:r>
      <w:r>
        <w:t>**Structured supervision and governance.** Supervision is delivered through a defined cadence rather than ad hoc contact: a weekly one-to-one meeting between the fellow and the supervisor; technical sessions with the co-supervisor through the EO-harmonisation strand and with the ELTE-side predictive-modelling team member through the modelling-intensive window, tapering outside them; a monthly written progress record held by the fellow; and a quarterly review against the Career Development Plan attended by both supervisors. A Project Steering Group chaired by the supervisor, with the fellow, the co-supervisor, the ELTE-side modelling team member and one named contact each from the data, software and placement partners, provides go/no-go oversight at defined steering points across the action, including a mid-placement review. Decision rights and a two-step, office-based conflict-resolution route are pre-defined, so that scientific, methodological, resourcing and access decisions each have a clear owner and escalation path. This governance is designed to give an experienced researcher returning to full-time research after a documented career break a stable, well-defined support structure while protecting her scientific independence.</w:t>
      </w:r>
    </w:p>
    <w:p>
      <w:r>
        <w:rPr>
          <w:i/>
          <w:color w:val="808080"/>
        </w:rPr>
        <w:t xml:space="preserve">[1.3-¶5] </w:t>
      </w:r>
      <w:r>
        <w:t>**Planned training activities (scientific, management and transferable skills).** The training design is that of supervised practice on real project work, organised as three scientific strands and a transferable-skills programme, and it directly serves the call's expected outcomes of increased research and transferable skills, improved employability, and enhanced quality and sustainability of research training and supervision. Scientifically, the fellow is trained in (i) physiological water-stress interpretation, validation-parameter selection and phenotyping practice at the host under the supervisor; (ii) geoinformatics, field spectroscopy, hyperspectral/UAV methods, multisensor fusion and scale-aware EO interpretation in the Eötvös Loránd University (ELTE) spatial-sensing environment under the co-supervisor and with UAV operations support; and (iii) heterogeneous-data integration, AI/ML-supported modelling, feature engineering, leakage-safe validation design and uncertainty analysis with the ELTE-side predictive-modelling team member. This addresses the fellow's one remaining competence gap — rigorous predictive modelling and model validation across time, sensing scales and environments — and completes her progression from plant physiologist/agronomist using digital tools to an independent Agricultural Data Scientist specialised in plant stress, Earth observation and decision-support systems. Management and research-management competences are built through leading the harmonisation, validation and MVP work and coordinating multi-partner data, instrument and field-site access. Transferable skills are trained explicitly and in line with the call's requirement to integrate digital, open-science, valorisation and integrity competences: research integrity; open science and FAIR practice; generative-AI literacy; grant writing; IP and exploitation; project management; and science communication. A teaching strand transfers an existing strength — approximately five years of university teaching in plant physiology and plant-stress physiology at the Agricultural University of Plovdiv — into the new discipline through short guest lectures, seminars and practical sessions at Magyar Agrár- és Élettudományi Egyetem (MATE) and, where institutionally possible, the Agricultural University of Plovdiv, feeding research results back into teaching. The whole plan is consolidated in the Career Development Plan, established jointly by both supervisors and the fellow and submitted early as an obligatory deliverable (Career Development Plan), and reviewed at defined steering points across the action, satisfying the call's Career Development Plan requirement.</w:t>
      </w:r>
    </w:p>
    <w:p>
      <w:r>
        <w:rPr>
          <w:i/>
          <w:color w:val="808080"/>
        </w:rPr>
        <w:t xml:space="preserve">[1.3-¶6] </w:t>
      </w:r>
      <w:r>
        <w:t>**Two-way transfer of knowledge between the researcher and the host.** Because FIELDWISE is a European Fellowship, the relevant transfer is the two-way exchange between the researcher and the host and its associated partners; there is no outgoing phase and therefore no three-way construction. The transfer is deliberately complementary and bidirectional. The fellow brings into the host environment agronomy, plant protection, plant-stress biology, physiological phenotyping, horticultural field experimentation, proximal spectral interpretation and the existing DrR concept and multi-source data-integration experience — grounding that the modelling and EO strands need in order to be physiologically valid rather than merely statistically accurate. The host and partners provide, in return, advanced agricultural data science, robust modelling and uncertainty analysis, hyperspectral/UAV/EO integration, precision-agriculture workflows and research-to-software/industry translation. Concretely, the host contributes plant-stress-physiology supervision and institutional research integration; the associated Earth-observation partner contributes scale-aware sensing and the predictive-modelling strand; and the fellow contributes the biological and experimental grounding and the DrR application concept. This is a genuine exchange — the fellow strengthens the host's biological grounding and application reach while the host consolidates the fellow's data-science and EO competences — which is precisely the knowledge-transfer and R&amp;I-capacity outcome the call seeks for participating organisations.</w:t>
      </w:r>
    </w:p>
    <w:p>
      <w:r>
        <w:rPr>
          <w:i/>
          <w:color w:val="808080"/>
        </w:rPr>
        <w:t xml:space="preserve">[1.3-¶7] </w:t>
      </w:r>
      <w:r>
        <w:t>**Rationale and added value of the non-academic placement.** The proposal includes an integral, end-of-project non-academic placement (WP5 — AgroVIR Non-Academic Placement) at AgroVIR (M25–M30), included as an integral and separately evaluated part of the proposal in line with the call's optional up-to-six-month placement provision; no separate secondment is proposed. The placement supplies inter-sectoral competences the academic host cannot provide alone: operational model evaluation against a production farm-management information system, research-to-MVP translation, agricultural-software requirements engineering, interoperability assessment, user-centred decision support and exploitation planning. AgroVIR's added value is credible on operational grounds — its farm management information system is in production use across more than 745,000 hectares in eight countries, including Hungary and Bulgaria, the two countries FIELDWISE works in — even though its track record is commercial rather than research-based, with no participation in EU-funded research projects. The placement is conducted mainly through remote collaboration with monthly face-to-face technical meetings, and is designed so that the fellow does not require access to proprietary customer databases or production systems: AgroVIR supplies protected, coded or anonymised extracts (for example coded field identifiers) sufficient for the agreed evaluation tasks (MVP usability, missing-data behaviour, interoperability, and finalisation of FMIS-integration requirements, an exploitation roadmap and career-transfer outputs). It is supervised by Miklós Maróti, whose managing-director experience in agricultural digitalisation and farm-management systems is the basis for the supervision argument, with a committed partner effort of approximately 3.0 person-months. Crucially, the placement deepens an established collaboration rather than opening a cold one: AgroVIR is consulted from M1, so requirements feedback shapes the MVP throughout WP4 before the formal evaluation begins. Ownership of placement results follows the grant-agreement default, vesting in HUN-REN Agrartudomanyi Kutatokozpont as beneficiary acting through the fellow, with a written placement agreement between the fellow, HUN-REN Agrartudomanyi Kutatokozpont and AgroVIR concluded before the placement begins to confirm this allocation and the access terms to the fellow's DrR background. By completion, the fellow will demonstrably have carried a scientific concept through biological definition, model development, unseen-condition validation, software implementation and industrial evaluation — a distinctive, cross-sectoral competence profile relevant to universities, research organisations, precision-agriculture and irrigation-technology companies, EO/geospatial organisations and FMIS providers.</w:t>
      </w:r>
    </w:p>
    <w:p>
      <w:r>
        <w:rPr>
          <w:i/>
          <w:color w:val="808080"/>
        </w:rPr>
        <w:t xml:space="preserve">[1.3-¶8] </w:t>
      </w:r>
      <w:r>
        <w:t>The status of the forward-looking supervision and placement commitments is stated transparently: the supervisor's and co-supervisor's formal acceptance of their seats and committed effort, the ELTE-side representation of the predictive-modelling team member and the instrument-access arrangement, the named data-partner contact, and the placement arrangement, supervisor, effort and IP allocation are operator-declared working assumptions to be confirmed in partner writing before the action starts; the identities, institutional roles and infrastructure on which they rest are confirmed on public and partner-authored evidence.</w:t>
      </w:r>
      <w:commentRangeStart w:id="3"/>
      <w:r>
        <w:rPr>
          <w:b/>
          <w:highlight w:val="yellow"/>
        </w:rPr>
        <w:t xml:space="preserve"> [A-3]</w:t>
      </w:r>
      <w:commentRangeEnd w:id="3"/>
      <w:r>
        <w:rPr>
          <w:rStyle w:val="CommentReference"/>
        </w:rPr>
        <w:commentReference w:id="3"/>
      </w:r>
    </w:p>
    <w:p>
      <w:pPr>
        <w:pStyle w:val="Heading2"/>
      </w:pPr>
      <w:r>
        <w:t>1.4 Quality and appropriateness of the researcher's professional experience, competences and skills</w:t>
      </w:r>
    </w:p>
    <w:p>
      <w:r>
        <w:rPr>
          <w:i/>
          <w:color w:val="808080"/>
        </w:rPr>
        <w:t xml:space="preserve">[1.4-¶1] </w:t>
      </w:r>
      <w:r>
        <w:t>**1.4 Quality and appropriateness of the researcher's professional experience, competences and skills**</w:t>
      </w:r>
    </w:p>
    <w:p>
      <w:r>
        <w:rPr>
          <w:i/>
          <w:color w:val="808080"/>
        </w:rPr>
        <w:t xml:space="preserve">[1.4-¶2] </w:t>
      </w:r>
      <w:r>
        <w:t>**A profile deliberately matched to the two pillars of the action.** The experienced researcher, Dr. Rositsa Cholakova — who published before 2020 under the name Rositsa Cholakova-Bimbalova — brings a professional profile that is closely and demonstrably matched to FIELDWISE, because the project was conceived around the two competence axes on which her career already sits: established depth in plant-stress physiology and agronomy, and a rapidly consolidating capability in agricultural data science and Earth observation. Appropriateness here is not a general assertion of excellence but a specific fit — each strand of the scientific programme draws on experience she already holds, and the single element she does not yet hold at the required level is precisely the element the fellowship is designed to supply. Her existing experience therefore maps onto the project by design rather than by coincidence.</w:t>
      </w:r>
    </w:p>
    <w:p>
      <w:r>
        <w:rPr>
          <w:i/>
          <w:color w:val="808080"/>
        </w:rPr>
        <w:t xml:space="preserve">[1.4-¶3] </w:t>
      </w:r>
      <w:r>
        <w:t>**Established scientific foundation in plant-stress physiology and agronomy.** Her doctoral and academic record supplies the physiological grounding on which the project depends. She holds a PhD in Plant Physiology (2020, Agricultural University of Plovdiv, under Prof. Dr. Andon Vassilev), preceded by BSc and MSc degrees in Plant Protection, giving her the agronomy-and-plant-protection base that the crop-facing work of the action requires. From 2015 to 2020 she was Assistant Professor in Plant Physiology and Plant Stress Physiology at the Agricultural University of Plovdiv — approximately five years of teaching and supervised research directly in the discipline that anchors the physiologically meaningful water-stress target at the heart of objective O1 (Harmonise the heterogeneous 2022-2026 MATE archive and define a physiologically meaningful water-stress target). Since 2024 she has been Chief Assistant Professor and plant-physiology researcher at the Maritsa Vegetable Crops Research Institute (MVCRI), where her current abiotic-stress work — including the drought and salinity strand of the ZEMDKT 17 programme in Solanum lycopersicum and the tomato multi-stress SolGenSys action — keeps her scientifically active in exactly the crop and the stress domain that FIELDWISE studies. This is the competence that allows her to judge whether a model-derived or remotely sensed signal tracks a genuine plant response rather than an unvalidated spectral proxy — the discriminating judgement the whole validation chain rests on.</w:t>
      </w:r>
    </w:p>
    <w:p>
      <w:r>
        <w:rPr>
          <w:i/>
          <w:color w:val="808080"/>
        </w:rPr>
        <w:t xml:space="preserve">[1.4-¶4] </w:t>
      </w:r>
      <w:r>
        <w:t>**Horticultural field experimentation and physiological measurement practice.** Alongside the theoretical grounding, she brings hands-on horticultural field experimentation, physiological phenotyping and proximal spectral interpretation. This experimental competence is directly appropriate to the archive-harmonisation, stress-target definition and physiological-validation activities of the project, and it is the biological grounding she contributes into the host environment as her half of the two-way knowledge transfer, ensuring the modelling and Earth-observation work remain physiologically valid rather than merely statistically accurate.</w:t>
      </w:r>
    </w:p>
    <w:p>
      <w:r>
        <w:rPr>
          <w:i/>
          <w:color w:val="808080"/>
        </w:rPr>
        <w:t xml:space="preserve">[1.4-¶5] </w:t>
      </w:r>
      <w:r>
        <w:t>**An already-underway transition into data science and Earth observation.** The second pillar — the one the fellowship helps her consolidate — is already substantially underway, which is what makes the transition credible rather than aspirational. Her applied data-science experience includes a period as a Data Analyst at KPMG Global Hungary (Python, R, basic machine learning, Power BI and work over large datasets) and earlier agricultural-market analysis using survey and database tools; it is embodied most concretely in DrR - Digital Agronomist, her self-financed, pre-existing research tool, which she already uses in her MVCRI research as a sensor, Earth-observation and data-integration environment (not, at this stage, a validated advisory product). Her Earth-observation and remote-sensing competence is evidenced through a coherent set of recent, verifiable activities rather than resting on a publication record: a COST Short-Term Scientific Mission (CA22136 PANGEOS) hosted at MATE in 2025, Erasmus+ staff mobilities to MATE and the University of Novi Sad in 2025-2026, an Erasmus master's internship at ELTE in 2026, an A1/A3 UAV pilot licence, an in-progress second MSc in Environmental Engineering, and membership of three COST Actions (PANGEOS, AI4Insect and REcrop). The proposal is explicit and honest that the Earth-observation half of her profile rests on this practical, mobility- and licence-based experience rather than on deep publication output — of her nine recorded publications only a small number touch remote sensing, all recent and as a contributing author — and this candour is itself appropriate to an interdisciplinary transition still in progress.</w:t>
      </w:r>
    </w:p>
    <w:p>
      <w:r>
        <w:rPr>
          <w:i/>
          <w:color w:val="808080"/>
        </w:rPr>
        <w:t xml:space="preserve">[1.4-¶6] </w:t>
      </w:r>
      <w:r>
        <w:t>**Precise alignment with the project, and the one remaining gap.** Taken together, her existing profile maps onto every strand of FIELDWISE except one, and that single remaining gap is the explicit rationale for the fellowship. Her competence base already covers physiological definition, agronomy and plant protection, horticultural experimentation, proximal sensing, practical UAV/EO practice and applied data handling; what it does not yet include at the level the science demands is rigorous predictive modelling and model validation across time, sensing scales and environments. FIELDWISE is therefore a consolidation of an already-established interdisciplinary trajectory — from plant physiologist and agronomist using digital tools toward an independent Agricultural Data Scientist specialised in plant stress, Earth observation and decision-support systems — rather than a change of field, and it is structured so that this one gap is closed through supervised practice on the project's own modelling and validation work (the training design that delivers this is set out in section 1.3 and is not repeated here).</w:t>
      </w:r>
    </w:p>
    <w:p>
      <w:r>
        <w:rPr>
          <w:i/>
          <w:color w:val="808080"/>
        </w:rPr>
        <w:t xml:space="preserve">[1.4-¶7] </w:t>
      </w:r>
      <w:r>
        <w:t>**Professional maturity, timing and integrating capacity.** She is, in addition, a returning researcher: following a documented full-time-parenting career break of just over 34 months (2021-2024, in Budapest), she has re-entered research with clear momentum, and the break does not count against the MSCA research-experience window — making the timing of the fellowship apt for an experienced researcher re-establishing a full-time research trajectory. Her teaching record — approximately five years of university lecturing and examining in Bulgarian and English, including for Erasmus students, with supervision of Bachelor's theses — supplies the communication and knowledge-transfer skills on which the action's teaching and dissemination activities draw. The combined profile makes her well placed to be the integrating agent the project needs: a single researcher able to carry one physiologically defined concept through biological definition, model development, unseen-condition validation, software implementation and industrial evaluation — which is exactly the distinctive, cross-sectoral competence the fellowship is built to produce.</w:t>
      </w:r>
    </w:p>
    <w:p>
      <w:pPr>
        <w:pStyle w:val="Heading1"/>
      </w:pPr>
      <w:r>
        <w:t>Impact</w:t>
      </w:r>
    </w:p>
    <w:p>
      <w:pPr>
        <w:pStyle w:val="Heading2"/>
      </w:pPr>
      <w:r>
        <w:t>2.1 Credibility of the measures to enhance the career perspectives and employability of the researcher and contribution to his/her skills development</w:t>
      </w:r>
    </w:p>
    <w:p>
      <w:r>
        <w:rPr>
          <w:i/>
          <w:color w:val="808080"/>
        </w:rPr>
        <w:t xml:space="preserve">[2.1-¶1] </w:t>
      </w:r>
      <w:r>
        <w:t>Sub-section 2.1 — Credibility of the measures to enhance the career perspectives and employability of the researcher and contribution to his/her skills development</w:t>
      </w:r>
    </w:p>
    <w:p>
      <w:r>
        <w:rPr>
          <w:i/>
          <w:color w:val="808080"/>
        </w:rPr>
        <w:t xml:space="preserve">[2.1-¶2] </w:t>
      </w:r>
      <w:r>
        <w:t>Starting point and the competence gap the fellowship closes. Dr. Rositsa Cholakova enters FIELDWISE as an accomplished plant physiologist and agronomist, holding a BSc/MSc in Plant Protection/Agronomy, a PhD in Plant Physiology, approximately five years of university teaching and research in plant stress physiology, and an expanding technical profile in remote sensing, hyperspectral sensing, UAV applications, GIS and agricultural data analysis. The measures proposed here are credible precisely because they are targeted: FIELDWISE is designed around the one competence gap that stands between this profile and full independence in a fast-growing field — rigorous predictive modelling and model validation across time, sensing scales and environments. By closing that gap, the fellowship completes a coherent progression from a plant physiologist/agronomist who uses digital tools into an independent Agricultural Data Scientist specialised in plant stress, Earth observation and decision-support systems. This is the researcher-facing outcome the whole action is engineered to deliver, and it is what directly serves the call's expected outcome of an increased set of research and transferable skills leading to improved employability and career prospects within academia and beyond (EO-01) and its corresponding expected impact (EI-01). It is not asserted as a slogan: it is operationalised by the Career Development Plan and the inter-sectoral placement set out below, and it is measured by the project's own career KPI.</w:t>
      </w:r>
      <w:r>
        <w:rPr>
          <w:highlight w:val="green"/>
        </w:rPr>
        <w:t xml:space="preserve"> That career KPI is K11: the Career Development Plan agreed by M3 (deliverable D1.3) and reviewed at all five steering points (M6, M14, M18, M24, M27), verified against the signed/agreed CDP document and the recorded steering-point review entries.</w:t>
      </w:r>
      <w:commentRangeStart w:id="4"/>
      <w:r>
        <w:rPr>
          <w:b/>
          <w:highlight w:val="yellow"/>
        </w:rPr>
        <w:t xml:space="preserve"> [A-8]</w:t>
      </w:r>
      <w:commentRangeEnd w:id="4"/>
      <w:r>
        <w:rPr>
          <w:rStyle w:val="CommentReference"/>
        </w:rPr>
        <w:commentReference w:id="4"/>
      </w:r>
      <w:r/>
    </w:p>
    <w:p>
      <w:r>
        <w:rPr>
          <w:i/>
          <w:color w:val="808080"/>
        </w:rPr>
        <w:t xml:space="preserve">[2.1-¶3] </w:t>
      </w:r>
      <w:r>
        <w:t>The Career Development Plan as the governing skills-development instrument. The central measure is a Career Development Plan, delivered as an early, formal project deliverable (D1.3 Career Development Plan, due month 3) and established jointly by the supervisors and the researcher, satisfying the mandatory scope requirement that such a plan be agreed jointly and submitted at the beginning of the action (SR-08). It is not a one-off document: it is signed by both supervisors and the fellow, and it is revisited at five defined steering/review points across the fellowship (M6, M14, M18, M24 and M27), so that training and career needs are re-assessed against progress rather than fixed at the outset. The plan binds together research objectives (O1 to O4), an explicit training-and-career-needs strand delivered as supervised practice, a structured transferable-skills curriculum, a teaching strand, publication planning, and an open-science engagement commitment framed as "as open as possible, as closed as necessary". This structure gives the evaluator a concrete, reviewable governance object rather than a promise, and it is the instrument-level mechanism through which FIELDWISE aligns the researcher's working conditions with the principles of the European Charter for Researchers.</w:t>
      </w:r>
    </w:p>
    <w:p>
      <w:r>
        <w:rPr>
          <w:i/>
          <w:color w:val="808080"/>
        </w:rPr>
        <w:t xml:space="preserve">[2.1-¶4] </w:t>
      </w:r>
      <w:r>
        <w:t>The transferable-skills curriculum. The Career Development Plan itemises a transferable-skills set matched to the call's mandatory training requirement (SR-07): research integrity; open science and FAIR practice; generative-AI literacy; grant writing; intellectual property and exploitation; project management; and science communication. These competences are not taught in the abstract — they are exercised on the project's own material. FAIR and open-science practice are exercised in harmonising and documenting the five-season data archive and in publishing methods and metadata; generative-AI literacy and modelling rigour are exercised in the interpretable, uncertainty-aware modelling work; IP and exploitation skills are exercised in maintaining the background/foreground rights inventory and preparing the exploitation route; and grant-writing and project-management skills are exercised through the fellow's leadership of a multi-partner, single-researcher action. This design means each transferable skill is anchored to a deliverable the fellow actually produces, which is what makes the skills-development claim credible rather than generic.</w:t>
      </w:r>
    </w:p>
    <w:p>
      <w:r>
        <w:rPr>
          <w:i/>
          <w:color w:val="808080"/>
        </w:rPr>
        <w:t xml:space="preserve">[2.1-¶5] </w:t>
      </w:r>
      <w:r>
        <w:t>Discipline-specific scientific skills and the two-way transfer of knowledge. The core scientific up-skilling is delivered through a defined, complementary two-way transfer. The fellow contributes agronomy, plant protection, plant physiology, plant-stress biology, physiological phenotyping, horticultural field experimentation, proximal spectral interpretation and the existing DrR concept; the host and partners provide advanced agricultural data science, robust modelling, uncertainty analysis, hyperspectral/UAV/Earth-observation integration, precision-agriculture workflows and research-to-software/industry translation. Supervision is anchored at the recruiting organisation, HUN-REN ATK, by Prof. Tibor Janda, head of the Plant Physiology and Metabolomics Department, whose remit covers the physiological water-stress target, the physiological validity of model outputs and the physiological measurement programme. The associated partner ELTE supplies two named methodological strands: Prof. András Jung as co-supervisor for geoinformatics, field spectroscopy, hyperspectral/UAV methods, multisensor fusion and scale-aware Earth-observation interpretation; and Dr. Roland Hollós as the ELTE-side team member responsible for the predictive-modelling/machine-learning component (heterogeneous data integration, AI/ML-supported modelling, feature engineering, validation design, uncertainty analysis and model interpretation). Practical UAV and hyperspectral training is provided in the ELTE spatial-sensing environment, with Dr. Zsófia Varga supporting mission planning, sensor operation and data acquisition. This spread of named expertise across physiology, Earth observation and machine learning is exactly the interdisciplinary breadth the fellow needs to consolidate the Agricultural Data Scientist profile, and it directly instantiates the new mind-sets and approaches forged through international, inter-sectoral and interdisciplinary experience that the call expects (EO-02).</w:t>
      </w:r>
    </w:p>
    <w:p>
      <w:r>
        <w:rPr>
          <w:i/>
          <w:color w:val="808080"/>
        </w:rPr>
        <w:t xml:space="preserve">[2.1-¶6] </w:t>
      </w:r>
      <w:r>
        <w:t>Inter-sectoral employability: the non-academic placement. Employability beyond academia is addressed through a concrete, integral measure rather than an aspiration: a six-month non-academic placement at AgroVIR in the final phase of the fellowship (M25-M30), included as an integral and evaluable part of the proposal under the additional-placement provision (SR-06). The placement supplies competences the academic host cannot provide alone — operational model evaluation, research-to-MVP translation, agricultural-software requirements, interoperability assessment, user-centred decision support and exploitation planning. Its credibility rests on continuity: AgroVIR is consulted from M1, so the placement deepens an established collaboration rather than opening a cold one, and by completion the fellow will have demonstrably carried a scientific concept through biological definition, model development, unseen-condition validation, software implementation and industrial evaluation — a distinctive profile for both academic and non-academic agricultural data-science careers. The placement is conducted mainly through remote collaboration with monthly face-to-face technical meetings, and is supervised by Miklós Maróti, Managing Director of AgroVIR, whose experience in agricultural digitalisation and farm-management systems is directly relevant to the fellow's intended career direction. This inter-sectoral exposure is the mechanism by which FIELDWISE contributes to the call's expected impact of stimulating knowledge transfer and expanding career opportunities by promoting career moves between sectors and organisations through the non-academic placement incentive (EI-05).</w:t>
      </w:r>
    </w:p>
    <w:p>
      <w:r>
        <w:rPr>
          <w:i/>
          <w:color w:val="808080"/>
        </w:rPr>
        <w:t xml:space="preserve">[2.1-¶7] </w:t>
      </w:r>
      <w:r>
        <w:t>Teaching, communication and profile-building. The plan preserves and re-purposes an existing strength: building on approximately five years of prior university teaching in Plant Physiology and Plant Stress Physiology at the Agricultural University of Plovdiv (2015-2020, including syllabus design, lecturing and examining in Bulgarian and English and Bachelor's supervision), the fellow will seek short guest lectures, seminars and practical sessions at MATE and, where institutionally possible, the Agricultural University of Plovdiv, transferring an established teaching capability into the new discipline. Scientific visibility is built through at least two high-quality peer-reviewed submissions (P1 on physiologically grounded water-stress signatures; P2 on modelling, uncertainty and the transfer from historical experiments to prospective commercial-field validation), with a third methods/application paper if the independent dataset supports it, alongside conference presentations and practitioner-oriented demonstrations. These activities enhance the networking and communication capacities the call expects a fellow to gain.</w:t>
      </w:r>
    </w:p>
    <w:p>
      <w:r>
        <w:rPr>
          <w:i/>
          <w:color w:val="808080"/>
        </w:rPr>
        <w:t xml:space="preserve">[2.1-¶8] </w:t>
      </w:r>
      <w:r>
        <w:t>Expected contribution of the skills to the future career. The combined effect of these measures is a research-to-operation competence portfolio that is deliberately broad in its employability. FIELDWISE gives the fellow end-to-end experience from multi-year scientific evidence, through leakage-safe modelling and independent commercial-field validation, to a web-accessible MVP and industrial assessment. This portfolio is explicitly relevant to universities, European research organisations, precision-agriculture and irrigation-technology companies, Earth-observation/geospatial organisations, crop-phenotyping groups and farm-management-information-system (FMIS) providers — a spread that spans academic and non-academic destinations and therefore materially improves the researcher's career prospects inside and outside academia. Because the Career Development Plan is agreed early, reviewed at five steering points and signed by both supervisors and the fellow, the skills-development pathway is auditable and adaptive; and because working-condition alignment with the European Charter for Researchers is evidenced at instrument level by that plan and the documented supervision and training arrangements (no institutional HR award is claimed for HUN-REN ATK, as its status has not been established), the credibility of the measures rests on committed, verifiable arrangements rather than on unverified accreditation. Taken together, the plan, the interdisciplinary supervision architecture and the inter-sectoral placement form a single, coherent instrument for consolidating the fellow's target profile and demonstrably enhancing her employability within academia and beyond.</w:t>
      </w:r>
    </w:p>
    <w:p>
      <w:pPr>
        <w:pStyle w:val="Heading2"/>
      </w:pPr>
      <w:r>
        <w:t>2.2 Suitability and quality of the measures to maximise expected outcomes and impacts, as set out in the dissemination and exploitation plan, including communication activities</w:t>
      </w:r>
    </w:p>
    <w:p>
      <w:r>
        <w:rPr>
          <w:i/>
          <w:color w:val="808080"/>
        </w:rPr>
        <w:t xml:space="preserve">[2.2-¶1] </w:t>
      </w:r>
      <w:r>
        <w:t>Sub-section 2.2 — Suitability and quality of the measures to maximise expected outcomes and impacts, as set out in the dissemination and exploitation plan, including communication activities</w:t>
      </w:r>
    </w:p>
    <w:p>
      <w:r>
        <w:rPr>
          <w:i/>
          <w:color w:val="808080"/>
        </w:rPr>
        <w:t xml:space="preserve">[2.2-¶2] </w:t>
      </w:r>
      <w:r>
        <w:t>Overall strategy and proportionality to a single-researcher action. FIELDWISE treats dissemination, exploitation and communication as one continuous, planned strand rather than an end-loaded afterthought. The work plan carries a dedicated cross-cutting dissemination/exploitation strand alongside the training/two-way-transfer strand and the management/Open Science/IP strand, running across the whole action and resourced from the fellow's cross-cutting person-month allocation. Because this is a single-researcher fellowship executed by Dr. Rositsa Cholakova, every measure below is deliberately sized to what one fellow, supported by the host HUN-REN Agrartudomanyi Kutatokozpont and the associated and partner organisations, can credibly deliver and sustain — a focused set of high-quality outputs and well-targeted audience actions rather than an over-scaled campaign. The whole strand is governed by the Open Science principle "as open as possible, as closed as necessary": methods, metadata and publications are made reusable wherever possible, while any potentially protectable foreground is evaluated before public disclosure. This proportionate, front-to-back design is what allows the modest resource of a single postdoctoral action to still generate scientific, practitioner-facing and industrial impact.</w:t>
      </w:r>
    </w:p>
    <w:p>
      <w:r>
        <w:rPr>
          <w:i/>
          <w:color w:val="808080"/>
        </w:rPr>
        <w:t xml:space="preserve">[2.2-¶3] </w:t>
      </w:r>
      <w:r>
        <w:t>Target groups. The plan addresses five distinct groups, each with a matched channel: (i) the scientific and professional research community in plant-stress physiology, agricultural data science, remote sensing/Earth observation and precision agriculture; (ii) growers, farm advisors and the wider agricultural sector, particularly in the two countries FIELDWISE works in, Hungary and Bulgaria; (iii) the agricultural-software and farm-management-information-system (FMIS) industry, together with precision-agriculture and irrigation-technology companies, Earth-observation/geospatial organisations and crop-phenotyping groups, as the exploitation-relevant audience; (iv) students and the higher-education community; and (v) the general public and policy-relevant audiences, framed through the project's contribution to SDG 2, SDG 6, SDG 12 and SDG 13. Naming the groups explicitly lets each activity be judged on fit rather than on volume.</w:t>
      </w:r>
    </w:p>
    <w:p>
      <w:r>
        <w:rPr>
          <w:i/>
          <w:color w:val="808080"/>
        </w:rPr>
        <w:t xml:space="preserve">[2.2-¶4] </w:t>
      </w:r>
      <w:r>
        <w:t>Dissemination to scientific and professional audiences. Scientific dissemination is built around at least two high-quality peer-reviewed submissions during or shortly after the fellowship: P1 on physiologically grounded water-stress signatures derived from the heterogeneous MATE archive, and P2 on modelling, uncertainty and the transfer from historical experiments to prospective commercial-field validation; a third methods/application paper on multi-scale UAV/Sentinel operationalisation and DrR is prepared if the independent dataset supports it. These are complemented by conference presentations and by seminars in the MATE, HUN-REN and ELTE environments. Dissemination is delivered under Open Science discipline in line with the call's training requirement: open access to publications, and FAIR, reusable methods and metadata, including the registered model card of the Primary model, benchmark and model card and the Stress-target, feature-selection and validation protocol, and the harmonised datasets and variable-availability map where institutional permissions allow. Crucially, the project commits to reporting transfer honestly — the Prospective transferability, uncertainty and limited-recalibration report (due month 18) treats any performance drop under prospective validation as a scientific result to be quantified rather than hidden — which is itself a form of high-integrity dissemination. This directly serves the call's expected outcome of enhanced networking and communication capacities with scientific peers (EO-03) and the corresponding expected impact of increased and broadened R&amp;I impact (EI-02), and it feeds the stronger R&amp;I capacity and better knowledge transfer among participating organisations (EI-05) through the model card, the Spectral/UAV/Sentinel harmonisation and crop-transfer specification (due month 14) and the two-way transfer between the fellow and the ATK/ELTE/MATE environments.</w:t>
      </w:r>
    </w:p>
    <w:p>
      <w:r>
        <w:rPr>
          <w:i/>
          <w:color w:val="808080"/>
        </w:rPr>
        <w:t xml:space="preserve">[2.2-¶5] </w:t>
      </w:r>
      <w:r>
        <w:t>Communication to practitioners, students and the public. Communication is deliberately widened beyond research audiences. The fellow will deliver practitioner-oriented demonstrations of the stress and uncertainty outputs; Krumatic supports Bulgarian farmer-facing dissemination, demonstration and uptake of the MVP, providing a concrete channel into the Bulgarian grower community. As an operator-preserved commitment, the project targets one public field demonstration with farmers and one public-facing article per year. Only if it is formally established and scientifically suitable, a public-facing demonstration at the planned Szentendre Skanzen model Bulgarian garden would link traditional horticultural knowledge with modern environmental sensing; this is stated conditionally and carries no unconditional promise. Teaching-linked communication — short guest lectures, seminars or practical sessions at MATE and, where institutionally possible, the Agricultural University of Plovdiv — feeds research results back into higher education. Together these activities address broadened public engagement (EI-03) and the feedback of results into teaching (EI-06), while remaining sized to a single fellow's realistic reach.</w:t>
      </w:r>
      <w:commentRangeStart w:id="5"/>
      <w:r>
        <w:rPr>
          <w:b/>
          <w:highlight w:val="yellow"/>
        </w:rPr>
        <w:t xml:space="preserve"> [A-9]</w:t>
      </w:r>
      <w:commentRangeEnd w:id="5"/>
      <w:r>
        <w:rPr>
          <w:rStyle w:val="CommentReference"/>
        </w:rPr>
        <w:commentReference w:id="5"/>
      </w:r>
    </w:p>
    <w:p>
      <w:r>
        <w:rPr>
          <w:i/>
          <w:color w:val="808080"/>
        </w:rPr>
        <w:t xml:space="preserve">[2.2-¶6] </w:t>
      </w:r>
      <w:r>
        <w:t>Exploitation plan. Exploitation is anchored in a tangible research-to-application vehicle: the crop-configurable DrR web MVP with validated processing-tomato module (due month 24), which provides a concrete route from validated research to external testing while preserving the distinction between the fellow's pre-existing DrR background and the FIELDWISE foreground. Because the MVP is completed before the M25-M30 placement, the non-academic placement at AgroVIR is genuine evaluation and transfer rather than first build: it yields the AgroVIR operational/interoperability assessment (due month 30) covering MVP inputs, usability, missing-data behaviour, decision outputs, workflow compatibility and interoperability requirements, and the Post-MSCA FMIS integration and exploitation roadmap (due month 30), which names the required interfaces, the exploitation route and the post-fellowship steps. The architecture is crop-configurable by design: within the action, validation is confined to processing tomato, and the Spectral/UAV/Sentinel harmonisation and crop-transfer specification defines the transferable core components, crop-specific parameters, minimum validation datasets and recalibration gates any later crop addition must pass — so exploitation beyond tomato is presented as a scientifically controlled pathway, not an unsupported universalisation. Economic value is deliberately not expressed as an invented EUR/ha or fixed water-saving promise; instead the project quantifies the measured quantities — irrigation water applied, water productivity, yield and marketable yield, quality indicators, intervention timing and warning lead time — from which later economic value can be assessed. A defined post-MSCA replication route through MVCRI transfers and re-validates the outcomes on additional tomato cultivars under Bulgarian production conditions as knowledge transfer outside the 24-month work plan (no in-action MVCRI effort is claimed). This inter-sectoral, cross-border exploitation logic instantiates the call's expected impact of stimulated innovation and knowledge transfer and expanded career opportunities through the non-academic placement incentive (EI-05) and reinforces the fellow's employability across academic and non-academic destinations (EI-01). The delivery of the reachable web MVP, the completion of the external AgroVIR evaluation and the definition of the integration path give the plan three concrete, verifiable exploitation checkpoints.</w:t>
      </w:r>
    </w:p>
    <w:p>
      <w:r>
        <w:rPr>
          <w:i/>
          <w:color w:val="808080"/>
        </w:rPr>
        <w:t xml:space="preserve">[2.2-¶7] </w:t>
      </w:r>
      <w:r>
        <w:t>Intellectual-property management and foreseen protection measures. IP is managed on a separate-rights-layers doctrine established at the outset. At project start, HUN-REN ATK, ELTE, MATE, Krumatic, AgroVIR and the fellow establish an inventory of relevant background datasets, software, code, methods and other assets, and this background/foreground inventory is maintained throughout the action as an explicit task and used to define the post-MSCA exploitation route. Four rights layers are kept distinct and each documented before the action starts: the fellow's pre-existing DrR background; the FIELDWISE scientific foreground; institutional datasets; and Krumatic-developed code. The fellow's DrR background is stated to have been initiated and developed independently using her own time and personal financial resources, with no MVCRI ownership position — a position to be confirmed in writing and hardened by a dated background declaration and version inventory before the action starts. Protection measures are proportionate and staged: potentially protectable foreground is evaluated before public disclosure under the "as closed as necessary" limb; MATE data are used only for the approved scientific purposes of FIELDWISE under institutional data-use conditions to be documented before the action starts, and any use of MATE-derived models or institutional assets in a future marketable product is subject to a separate legal and institutional data-rights/IP assessment before commercial exploitation. Code-IP terms for the FIELDWISE code (ownership or sufficient exploitation rights) are to be settled in a Krumatic development agreement concluded before the action starts. For the placement, ownership of results is to follow the grant-agreement default, vesting in HUN-REN ATK as beneficiary acting through the fellow, with a written placement agreement between the fellow, HUN-REN ATK and AgroVIR — concluded before the placement begins — confirming this allocation and the access terms to the DrR background; the placement itself is conducted mainly through remote collaboration, with AgroVIR supplying only protected, coded or anonymised data extracts (for example "Field X" identifiers) so that no access to proprietary customer databases or production systems is required. Farmer and AgroVIR operational information is minimised and coded/anonymised where appropriate, and results are published only in aggregated, coded or anonymised form. Several of these arrangements (MATE data rights, the placement IP allocation and the placement data arrangement) rest on operator declarations pending partner writing and are presented as such rather than as settled fact; the IP framework nevertheless gives the evaluator a complete, layered protection design rather than a gap.</w:t>
      </w:r>
    </w:p>
    <w:p>
      <w:r>
        <w:rPr>
          <w:i/>
          <w:color w:val="808080"/>
        </w:rPr>
        <w:t xml:space="preserve">[2.2-¶8] </w:t>
      </w:r>
      <w:r>
        <w:t>Concrete actions during and after the project, and overall proportionality. During the action, the measures are embodied in named, resourced activities: the continuous dissemination/exploitation strand; the maintained background/foreground/IP inventory; structured AgroVIR requirements consultation from month 1; the DrR web MVP and its pre-placement usability/interoperability dossier; annual public-facing communication; and the placement's operational evaluation. After the action, continuity is secured by the Post-MSCA FMIS integration and exploitation roadmap, the MVCRI Bulgarian replication route, the crop-transfer specification enabling later crop modules after crop-specific validation, and publications appearing during or shortly after the fellowship. All of this is scaled to a single-researcher MSCA Postdoctoral Fellowship: a compact, high-quality output set with clearly matched target groups and verifiable checkpoints, delivering scientific, practitioner and industrial impact without over-committing the resources of one fellow.</w:t>
      </w:r>
    </w:p>
    <w:p>
      <w:pPr>
        <w:pStyle w:val="Heading2"/>
      </w:pPr>
      <w:r>
        <w:t>2.3 The magnitude and importance of the project's contribution to the expected scientific, societal and economic impacts</w:t>
      </w:r>
    </w:p>
    <w:p>
      <w:r>
        <w:rPr>
          <w:i/>
          <w:color w:val="808080"/>
        </w:rPr>
        <w:t xml:space="preserve">[2.3-¶1] </w:t>
      </w:r>
      <w:r>
        <w:t>Sub-section 2.3 — The magnitude and importance of the project's contribution to the expected scientific, societal and economic impacts</w:t>
      </w:r>
    </w:p>
    <w:p>
      <w:r>
        <w:rPr>
          <w:i/>
          <w:color w:val="808080"/>
        </w:rPr>
        <w:t xml:space="preserve">[2.3-¶2] </w:t>
      </w:r>
      <w:r>
        <w:t>How the results make a difference beyond the immediate scope. FIELDWISE is a single-researcher action on one development crop, but its contribution is deliberately engineered to reach past that immediate scope along three connected axes — scientific, agricultural/environmental and technological/economic — with a defined European and societal relevance layered on top. The unifying mechanism is that the project does not merely build another crop-stress model; it builds and prospectively tests a validation framework in which operationally obtainable data streams are judged against independent plant-level ground truth and challenged under both unseen-year and genuinely new commercial-field conditions. The result that outlives the action is therefore methodological knowledge: which physiological water-stress relationships survive the transition from proximal measurements toward UAV and Sentinel-2 field-scale monitoring, and which components of the modelling and decision workflow are genuinely reusable beyond the development crop. This is what converts a processing-tomato study into a methodological basis for later crop-by-crop extension across irrigated high-value horticulture — a scientifically controlled pathway rather than an unsupported universalisation from a single crop. Its importance is that it addresses the exact failure mode that limits digital agronomy today: models that fit retrospective data but are never shown to hold under scale change, new seasons and real production settings.</w:t>
      </w:r>
    </w:p>
    <w:p>
      <w:r>
        <w:rPr>
          <w:i/>
          <w:color w:val="808080"/>
        </w:rPr>
        <w:t xml:space="preserve">[2.3-¶3] </w:t>
      </w:r>
      <w:r>
        <w:t>Scientific impact and its magnitude. The scientific contribution is concentrated in three durable, citable objects: the Primary model, benchmark and model card, which reports calibration, uncertainty and blocked unseen-year performance; the Spectral/UAV/Sentinel harmonisation and crop-transfer specification, which enumerates the transferable core components, crop-specific parameters, minimum validation datasets and recalibration gates any later crop must pass; and, above all, the Prospective transferability, uncertainty and limited-recalibration report (due month 18), which quantifies the transfer gap from research experiments to an independent commercial field and states any performance drop honestly rather than hiding it. The magnitude of this contribution is best measured not by a single accuracy figure but by the fact that it delivers a reusable, uncertainty-aware protocol and an openly reported transfer result — a form of high-integrity science that is directly reusable by other groups and that strengthens the research capacity and knowledge transfer of the participating HUN-REN ATK, ELTE and MATE environments through the documented two-way transfer and the planned peer-reviewed publications. This is the project's principal route to the call's expected impact of increased and broadened research and innovation impact (EI-02) and of increased R&amp;I capacity, output and knowledge transfer among European research organisations (EI-05).</w:t>
      </w:r>
    </w:p>
    <w:p>
      <w:r>
        <w:rPr>
          <w:i/>
          <w:color w:val="808080"/>
        </w:rPr>
        <w:t xml:space="preserve">[2.3-¶4] </w:t>
      </w:r>
      <w:r>
        <w:t>Agricultural and environmental impact — credible magnitude with disciplined honesty. FIELDWISE begins with processing tomato precisely because roughly five seasons of heterogeneous scientific observations (2022-2026) already exist, while the intended application domain is irrigated high-value horticulture. Critically, the project makes no fixed-percentage water-saving promise, because real savings depend on crop, cultivar, soil, weather, growth stage, irrigation system and the management action actually taken. What the project provides for magnitude is credible, bounded, literature-referenced context: comparable published studies demonstrate water-saving effects in the approximate 8–30% range under specific strategies — for processing tomato, plant-and-soil monitoring has been reported to reduce irrigation by around 30% versus empirical farmer management and by around 7.5% versus ET-based scheduling in a two-year field trial (Carucci et al. 2023), and early-stage controlled deficit has achieved roughly 25% water saving without statistically significant yield loss while poorly timed deficits reduced yield (Badr et al. 2026). These are stated as bounded context only, never as a FIELDWISE promise; they establish that the magnitude at stake is material and that the water–yield trade-off must be quantified rather than assumed. The project's own claimed value is therefore expressed as correct stress detection, warning lead time, uncertainty honesty, usability and irrigation-attention relevance. Prospective water-saving quantification is claimed only to the extent the commercial farmer-field irrigation-treatment arrangement actually supports it; where it does not, FIELDWISE reports detection, lead-time and uncertainty outcomes together with measured yield and quality. This disciplined framing is itself part of the importance of the contribution: it gives evaluators a defensible magnitude signal without overclaiming.</w:t>
      </w:r>
      <w:commentRangeStart w:id="6"/>
      <w:r>
        <w:rPr>
          <w:b/>
          <w:highlight w:val="yellow"/>
        </w:rPr>
        <w:t xml:space="preserve"> [A-4]</w:t>
      </w:r>
      <w:commentRangeEnd w:id="6"/>
      <w:r>
        <w:rPr>
          <w:rStyle w:val="CommentReference"/>
        </w:rPr>
        <w:commentReference w:id="6"/>
      </w:r>
    </w:p>
    <w:p>
      <w:r>
        <w:rPr>
          <w:i/>
          <w:color w:val="808080"/>
        </w:rPr>
        <w:t xml:space="preserve">[2.3-¶5] </w:t>
      </w:r>
      <w:r>
        <w:t>Technological and economic impact and its magnitude. The economic and technological contribution is anchored in a tangible research-to-application vehicle rather than a paper concept: the crop-configurable DrR web MVP with validated processing-tomato module (due month 24) provides a concrete route from validated research to external testing, while preserving the distinction between the fellow's pre-existing DrR background and the FIELDWISE foreground. Because the architecture is crop-configurable — reusable data-ingestion, uncertainty, visualisation and irrigation-attention components separated from crop-specific parameters — the same investment can support additional crop modules after crop-specific validation, multiplying the reach of a single fellowship's output. The magnitude of the economic contribution is deliberately not fabricated as an invented EUR/ha or fixed water-saving figure; instead the project measures the quantities from which later economic value can genuinely be assessed — irrigation water applied, water productivity, yield and marketable yield, quality indicators, intervention timing and warning lead time. The route to real-world uptake is made concrete by the AgroVIR operational/interoperability assessment (due month 30) and the Post-MSCA FMIS integration and exploitation roadmap (due month 30), which name the required interfaces, the exploitation route and the post-fellowship steps, with Krumatic supporting software implementation and Bulgarian farmer-facing uptake. This inter-sectoral chain is the mechanism by which FIELDWISE contributes to stimulated innovation, knowledge transfer and expanded career opportunities through the non-academic placement incentive (EI-05).</w:t>
      </w:r>
    </w:p>
    <w:p>
      <w:r>
        <w:rPr>
          <w:i/>
          <w:color w:val="808080"/>
        </w:rPr>
        <w:t xml:space="preserve">[2.3-¶6] </w:t>
      </w:r>
      <w:r>
        <w:t>European and societal relevance and its scale. The societal magnitude is bounded and evidenced rather than rhetorical. Eurostat reports fresh vegetables cultivated over approximately 2.0 million hectares in the EU in 2023, and about 0.7 million EU farms cultivating fresh vegetables in the 2020 census — an indication of the scale of the horticultural domain in which scientifically transferable, plant-based irrigation decision support could ultimately matter, presented explicitly as a potential application domain and not as an immediate addressable market. Bulgaria supplies concrete downstream context for the project's cross-border replication logic: about 35.6 thousand hectares of main vegetable area and roughly 128 thousand tonnes of tomato in harvest 2024. The combination of Hungarian scientific and industrial environments, a real farmer validation setting, Bulgarian software and dissemination links through Krumatic, and a defined post-MSCA replication and re-validation route through MVCRI provides a realistic pathway toward wider reuse, contributing particularly to SDG 2, SDG 6, SDG 12 and SDG 13. This cross-border pathway also broadens public and practitioner engagement with the research (EI-03) through practitioner-oriented demonstrations and farmer-facing communication.</w:t>
      </w:r>
      <w:commentRangeStart w:id="7"/>
      <w:r>
        <w:rPr>
          <w:b/>
          <w:highlight w:val="yellow"/>
        </w:rPr>
        <w:t xml:space="preserve"> [A-10]</w:t>
      </w:r>
      <w:commentRangeEnd w:id="7"/>
      <w:r>
        <w:rPr>
          <w:rStyle w:val="CommentReference"/>
        </w:rPr>
        <w:commentReference w:id="7"/>
      </w:r>
    </w:p>
    <w:p>
      <w:r>
        <w:rPr>
          <w:i/>
          <w:color w:val="808080"/>
        </w:rPr>
        <w:t xml:space="preserve">[2.3-¶7] </w:t>
      </w:r>
      <w:r>
        <w:t>Importance, credibility and proportionality of the contribution. The importance of FIELDWISE's contribution rests on three features that keep magnitude claims credible. First, every quantified magnitude is either drawn from published literature and labelled as bounded context, or measured from the project's own prospective data — the proposal deliberately avoids inventing water-saving or economic figures. Second, the contribution is auditable: an eleven-KPI set (K1–K11) is defined so that each indicator measures something the project actually controls and delivers and each traces to a named deliverable, so the magnitude of delivery can be checked rather than asserted. Third, the design converts an apparent weakness — a single fellow on a single crop — into strength, because the transferable core, the crop-transfer gates and the post-MSCA MVCRI route extend the reach of the work beyond the 24-month scientific programme without over-committing the resources of one fellowship. Taken together, the scientific protocol and honest transfer result, the disciplined agricultural/environmental magnitude context, the concrete research-to-operation economic vehicle, and the evidenced European/Bulgarian scale give the evaluator a contribution whose magnitude is significant precisely because it is credible, controlled and reusable beyond the immediate case.</w:t>
      </w:r>
    </w:p>
    <w:p>
      <w:pPr>
        <w:pStyle w:val="Heading1"/>
      </w:pPr>
      <w:r>
        <w:t>Implementation</w:t>
      </w:r>
    </w:p>
    <w:p>
      <w:pPr>
        <w:pStyle w:val="Heading2"/>
      </w:pPr>
      <w:r>
        <w:t>3.1 Quality and effectiveness of the work plan, assessment of risks and appropriateness of the effort assigned to work packages</w:t>
      </w:r>
    </w:p>
    <w:p>
      <w:r>
        <w:rPr>
          <w:i/>
          <w:color w:val="808080"/>
        </w:rPr>
        <w:t xml:space="preserve">[3.1-¶1] </w:t>
      </w:r>
      <w:r>
        <w:t>## 3.1 Quality and effectiveness of the work plan, assessment of risks and appropriateness of the effort assigned to work packages</w:t>
      </w:r>
    </w:p>
    <w:p>
      <w:r>
        <w:rPr>
          <w:i/>
          <w:color w:val="808080"/>
        </w:rPr>
        <w:t xml:space="preserve">[3.1-¶2] </w:t>
      </w:r>
      <w:r>
        <w:t>### Overall structure of the work plan</w:t>
      </w:r>
    </w:p>
    <w:p>
      <w:r>
        <w:rPr>
          <w:i/>
          <w:color w:val="808080"/>
        </w:rPr>
        <w:t xml:space="preserve">[3.1-¶3] </w:t>
      </w:r>
      <w:r>
        <w:t>FIELDWISE is implemented as a single-beneficiary MSCA Postdoctoral Fellowship (European Fellowship) hosted by HUN-REN Agrartudomanyi Kutatokozpont, with a total duration of 30 months: a 24-month fellowship period at the host (months 1-24) followed by a 6-month non-academic placement (months 25-30) under CC-07. Because this is a single-researcher action, the experienced researcher (Dr. Rositsa Cholakova) personally executes the scientific content of every work package; the partner organisations contribute supervision, data, instruments, software engineering and the operational evaluation environment as in-kind support. The work plan is deliberately compact — four work packages, eleven deliverables and six milestones — so that the effort concentrates on scientific substance rather than on managing a large consortium.</w:t>
      </w:r>
    </w:p>
    <w:p>
      <w:r>
        <w:rPr>
          <w:i/>
          <w:color w:val="808080"/>
        </w:rPr>
        <w:t xml:space="preserve">[3.1-¶4] </w:t>
      </w:r>
      <w:r>
        <w:t>The four work packages follow the project's causal chain from evidence to operation, so that each package supplies a validated input to the next:</w:t>
      </w:r>
    </w:p>
    <w:p>
      <w:r>
        <w:rPr>
          <w:i/>
          <w:color w:val="808080"/>
        </w:rPr>
        <w:t xml:space="preserve">[3.1-¶5] </w:t>
      </w:r>
      <w:r>
        <w:t>- **WP1 — Data Harmonisation, Stress Definition and Model Development** (lead: HUN-REN Agrartudomanyi Kutatokozpont). Harmonises the heterogeneous five-season MATE archive, fixes a physiologically meaningful water-stress target, and develops, evaluates and freezes the primary, parsimonious water-status model. It produces the Career Development Plan (D1.3), the Primary model, benchmark and model card (D2.1), the Harmonised database/metadata and variable-availability map (D1.1), the Stress-target, feature-selection and validation protocol (D1.2) and the Spectral/UAV/Sentinel harmonisation and crop-transfer specification (D2.2).</w:t>
        <w:br/>
      </w:r>
      <w:r>
        <w:t>- **WP3 — Independent Commercial-Farmer Prospective Validation** (lead: the independent commercial-farmer validation site). Applies the frozen model prospectively at an instrumented, independent commercial field and quantifies the transfer gap, delivering the Independent commercial-field validation dataset (D3.1) and the Prospective transferability, uncertainty and limited-recalibration report (D3.2).</w:t>
        <w:br/>
      </w:r>
      <w:r>
        <w:t>- **WP4 — DrR Web MVP, Co-development and Exploitation Preparation** (lead: КРУМАТИК ЕООД). Co-develops the crop-configurable web MVP that carries the validated processing-tomato module and prepares the post-MSCA exploitation route, delivering the Crop-configurable DrR web MVP with validated processing-tomato module (D4.1) and the Pre-placement technical/usability requirements dossier (D4.2).</w:t>
        <w:br/>
      </w:r>
      <w:r>
        <w:t>- **WP5 — AgroVIR Non-Academic Placement** (lead: AGROVIR Üzletviteli Tanácsadó Korlátolt Felelősségű Társaság). Evaluates the MVP operationally during the non-academic placement and finalises the operational assessment and integration roadmap, delivering the AgroVIR operational/interoperability assessment (D5.1) and the Post-MSCA FMIS integration and exploitation roadmap (D5.2).</w:t>
      </w:r>
      <w:commentRangeStart w:id="8"/>
      <w:r>
        <w:rPr>
          <w:b/>
          <w:highlight w:val="yellow"/>
        </w:rPr>
        <w:t xml:space="preserve"> [A-6]</w:t>
      </w:r>
      <w:commentRangeEnd w:id="8"/>
      <w:r>
        <w:rPr>
          <w:rStyle w:val="CommentReference"/>
        </w:rPr>
        <w:commentReference w:id="8"/>
      </w:r>
      <w:commentRangeStart w:id="9"/>
      <w:r>
        <w:rPr>
          <w:b/>
          <w:highlight w:val="yellow"/>
        </w:rPr>
        <w:t xml:space="preserve"> [A-11]</w:t>
      </w:r>
      <w:commentRangeEnd w:id="9"/>
      <w:r>
        <w:rPr>
          <w:rStyle w:val="CommentReference"/>
        </w:rPr>
        <w:commentReference w:id="9"/>
      </w:r>
    </w:p>
    <w:p>
      <w:r>
        <w:rPr>
          <w:highlight w:val="green"/>
        </w:rPr>
        <w:t>Note on numbering: the work packages are numbered WP1, WP3, WP4, WP5 because the former WP2 (model development) was merged into WP1 — now the single Data Harmonisation, Stress Definition and Model Development package — during work-plan consolidation (OD-1); the original identifiers are retained for identifier stability, so the gap is deliberate, not an omission.</w:t>
      </w:r>
    </w:p>
    <w:p>
      <w:r>
        <w:rPr>
          <w:i/>
          <w:color w:val="808080"/>
        </w:rPr>
        <w:t xml:space="preserve">[3.1-¶6] </w:t>
      </w:r>
      <w:r>
        <w:t>Six milestones gate progress: MS1 (Historical knowledge base and target definition complete), MS6 (Primary model frozen and registered), MS2 (Model and scale-transition framework ready for final prospective assessment), MS3 (Independent real-world transferability quantified), MS4 (MVP ready for industrial placement evaluation) and MS5 (Industrial evaluation and placement completed). Each milestone carries a verifiable achievement criterion — for example, MS6 is met only when the primary water-status model parameters are fixed and the model card (D2.1) is registered with recorded performance metrics before the first prospective field season begins, and MS3 is met when the frozen model has been applied prospectively and the transfer gap quantified with an uncertainty estimate in D3.2.</w:t>
      </w:r>
    </w:p>
    <w:p>
      <w:r>
        <w:rPr>
          <w:i/>
          <w:color w:val="808080"/>
        </w:rPr>
        <w:t xml:space="preserve">[3.1-¶7] </w:t>
      </w:r>
      <w:r>
        <w:t>### Timing of the work packages and their components</w:t>
      </w:r>
    </w:p>
    <w:p>
      <w:r>
        <w:rPr>
          <w:i/>
          <w:color w:val="808080"/>
        </w:rPr>
        <w:t xml:space="preserve">[3.1-¶8] </w:t>
      </w:r>
      <w:r>
        <w:t>The schedule is front-loaded on the science and back-loaded on operation, with two work packages running in parallel through the middle of the action:</w:t>
      </w:r>
    </w:p>
    <w:p>
      <w:r>
        <w:rPr>
          <w:i/>
          <w:color w:val="808080"/>
        </w:rPr>
        <w:t xml:space="preserve">[3.1-¶9] </w:t>
      </w:r>
      <w:r>
        <w:t>- **WP1** runs from the outset to month 14. Its opening tasks — auditing the archive, defining the common-variable matrix, selecting the physiological stress target and predefining blocked temporal validation (T1.1-T1.5) — complete ahead of the month-3 model freeze. MS1 confirms the historical knowledge base and target definition before that freeze; the primary model is then developed and frozen, delivering D1.3 and D2.1 at month 3 and triggering MS6. The harmonisation and crop-transfer strand (T2.4-T2.6) continues to month 14, delivering D1.1, D1.2 and D2.2 and reaching MS2.</w:t>
        <w:br/>
      </w:r>
      <w:r>
        <w:t>- **WP3** begins after the month-3 model freeze and runs across the growing season(s) to month 18, when D3.1 and D3.2 are delivered and MS3 quantifies real-world transferability. Securing written field access, installing the meteorological station and soil sensors, and conducting the coordinated physiological, proximal, thermal and UAV campaigns precede the prospective application of the frozen model.</w:t>
        <w:br/>
      </w:r>
      <w:r>
        <w:t>- **WP4** runs in parallel from month 1 to month 24. Structured AgroVIR consultation is used from project start (T4.4) and software development proceeds from the outset, so that validated data and model functions are migrated incrementally into the web MVP; D4.1 and D4.2 are delivered at month 24 with MS4.</w:t>
        <w:br/>
      </w:r>
      <w:r>
        <w:t>- **WP5** is the 6-month non-academic placement at AgroVIR, months 25-30, delivering D5.1 and D5.2 at month 30 and closing the action at MS5.</w:t>
      </w:r>
    </w:p>
    <w:p>
      <w:r>
        <w:rPr>
          <w:i/>
          <w:color w:val="808080"/>
        </w:rPr>
        <w:t xml:space="preserve">[3.1-¶10] </w:t>
      </w:r>
      <w:r>
        <w:t>The inter-package dependencies are explicit and were normalised in scheduling. The single strict finish-to-start dependency is WP4→WP5 (and, at task level, T4.3→T5.1): the MVP delivered at MS4 (month 24) must exist before the placement evaluation can begin, and the WP-level constraint is feasible because WP4 ends at month 24 and WP5 starts at month 25. The remaining inter-WP links (WP1→WP3, WP1→WP4, WP3→WP4) are data_input dependencies that pass information without enforcing strict temporal ordering, which is what allows WP4 to co-develop concurrently rather than waiting for WP3 to finish. The critical path is therefore: freeze the primary model (T2.3) → apply it prospectively and quantify the transfer gap (T3.5) → migrate validated core functions toward the MVP (T4.3) → operational evaluation (T5.1) → MS5. Freezing the model before any field season (MS6) is a deliberate design choice that keeps the WP3 validation genuinely out-of-sample and removes the risk of hindsight fitting.</w:t>
      </w:r>
    </w:p>
    <w:p>
      <w:r>
        <w:rPr>
          <w:i/>
          <w:color w:val="808080"/>
        </w:rPr>
        <w:t xml:space="preserve">[3.1-¶11] </w:t>
      </w:r>
      <w:r>
        <w:t>### Gantt chart (months elapsed)</w:t>
      </w:r>
    </w:p>
    <w:p>
      <w:r>
        <w:rPr>
          <w:i/>
          <w:color w:val="808080"/>
        </w:rPr>
        <w:t xml:space="preserve">[3.1-¶12] </w:t>
      </w:r>
      <w:r>
        <w:t>```</w:t>
        <w:br/>
      </w:r>
      <w:r>
        <w:t>Months elapsed (1 -&gt; 30)      1   3       6       9      12      14  16  18      21      24  25      27      30</w:t>
        <w:br/>
      </w:r>
      <w:r>
        <w:t>WP1  Data Harmon./Model    |=============================|                                                  (M1-14)</w:t>
        <w:br/>
      </w:r>
      <w:r>
        <w:t xml:space="preserve">       D1.3,D2.1 @3   MS1(pre-3)  MS6 @3                D1.1,D1.2,D2.2 @14 / MS2 @14</w:t>
        <w:br/>
      </w:r>
      <w:r>
        <w:t>WP3  Prospective Valid.               |===========================|                                        (after M3 freeze -&gt; M18)</w:t>
        <w:br/>
      </w:r>
      <w:r>
        <w:t xml:space="preserve">                                          D3.1,D3.2 @18 / MS3 @18</w:t>
        <w:br/>
      </w:r>
      <w:r>
        <w:t>WP4  DrR Web MVP           |===================================================|                            (M1-24)</w:t>
        <w:br/>
      </w:r>
      <w:r>
        <w:t xml:space="preserve">       AgroVIR consult. + Krumatic dev. from M1          D4.1,D4.2 @24 / MS4 @24</w:t>
        <w:br/>
      </w:r>
      <w:r>
        <w:t>WP5  AgroVIR Placement                                              |===================|                  (M25-30, non-academic placement)</w:t>
        <w:br/>
      </w:r>
      <w:r>
        <w:t xml:space="preserve">                                                                        D5.1,D5.2 @30 / MS5 @30</w:t>
      </w:r>
    </w:p>
    <w:p>
      <w:r>
        <w:rPr>
          <w:i/>
          <w:color w:val="808080"/>
        </w:rPr>
        <w:t xml:space="preserve">[3.1-¶13] </w:t>
      </w:r>
      <w:r>
        <w:t>Legend:  |===| work-package span      D#.# deliverable (canonical due month)      MS# milestone</w:t>
        <w:br/>
      </w:r>
      <w:r>
        <w:t>Note:    This is a single-beneficiary European Fellowship: the mobility element is the WP5 non-academic</w:t>
        <w:br/>
      </w:r>
      <w:r>
        <w:t xml:space="preserve">         placement at AgroVIR (months 25-30); there are no secondments. Bars are positioned on months</w:t>
        <w:br/>
      </w:r>
      <w:r>
        <w:t xml:space="preserve">         elapsed and anchored to confirmed deliverable due months (3, 14, 18, 24, 30) and the confirmed</w:t>
        <w:br/>
      </w:r>
      <w:r>
        <w:t xml:space="preserve">         fellowship/placement structure (M1-24 fellowship + M25-30 placement = 30 months).</w:t>
        <w:br/>
      </w:r>
      <w:r>
        <w:t>```</w:t>
      </w:r>
    </w:p>
    <w:p>
      <w:r>
        <w:rPr>
          <w:i/>
          <w:color w:val="808080"/>
        </w:rPr>
        <w:t xml:space="preserve">[3.1-¶14] </w:t>
      </w:r>
      <w:r>
        <w:t>### Appropriateness of the effort assigned to work packages</w:t>
      </w:r>
    </w:p>
    <w:p>
      <w:r>
        <w:rPr>
          <w:i/>
          <w:color w:val="808080"/>
        </w:rPr>
        <w:t xml:space="preserve">[3.1-¶15] </w:t>
      </w:r>
      <w:r>
        <w:t>The researcher's effort is 30 person-months of full-time work over the 30-month action, distributed to match where the intellectual weight of the project lies: WP1 (merged data-harmonisation and model-development package) 9.0 PM, WP3 6.6 PM, WP4 6.0 PM, WP5 5.4 PM, and 3.0 PM cross-cutting (training and Career Development Plan activity, dissemination, open-science and project management), totalling 30.0 PM. WP1 carries the largest share because it holds the scientific core — harmonising a heterogeneous five-season archive and building an interpretable, uncertainty-aware model are the most demanding tasks. WP3 is the second-heaviest because prospective field validation is campaign-intensive. WP4 is spread thinly but continuously across 24 months, reflecting incremental co-development rather than a single build. WP5 concentrates on the placement months. This profile is consistent with a single-researcher action in which the fellow is the sole executor of scientific content.</w:t>
      </w:r>
    </w:p>
    <w:p>
      <w:r>
        <w:rPr>
          <w:i/>
          <w:color w:val="808080"/>
        </w:rPr>
        <w:t xml:space="preserve">[3.1-¶16] </w:t>
      </w:r>
      <w:r>
        <w:t>Partner effort is contributed in kind and is stated as an operator-declared commitment pending each partner's written confirmation: the host supervisor 2.5 PM, the ELTE co-supervisor 2.0 PM, AgroVIR 3.0 PM (the largest partner figure, as the only partner hosting the fellow during the placement), MATE 2.4 PM and КРУМАТИК ЕООД 1.5 PM. These figures are scaled to well-defined roles — supervision cadence, data preparation and archive access, software development, and operational evaluation — and none represents a dependency that could block the researcher's own critical-path work.</w:t>
      </w:r>
      <w:commentRangeStart w:id="10"/>
      <w:r>
        <w:rPr>
          <w:b/>
          <w:highlight w:val="yellow"/>
        </w:rPr>
        <w:t xml:space="preserve"> [A-5]</w:t>
      </w:r>
      <w:commentRangeEnd w:id="10"/>
      <w:r>
        <w:rPr>
          <w:rStyle w:val="CommentReference"/>
        </w:rPr>
        <w:commentReference w:id="10"/>
      </w:r>
    </w:p>
    <w:p>
      <w:r>
        <w:rPr>
          <w:highlight w:val="green"/>
        </w:rPr>
        <w:t>Month-by-month task loading at the WP1/WP3/WP4 overlap, derived from the Tier 4 Gantt (phase4_gantt_milestones/gantt.json) task month-assignments — derived from Tier 4, no new fact. Cells give the number of concurrently active tasks per work package and month; the aggregate per-WP person-months are as stated in the two paragraphs above. No per-month person-month split is asserted (the Gantt carries no per-task effort).</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t>Work package</w:t>
            </w:r>
          </w:p>
        </w:tc>
        <w:tc>
          <w:tcPr>
            <w:tcW w:type="dxa" w:w="720"/>
          </w:tcPr>
          <w:p>
            <w:r>
              <w:t>M4</w:t>
            </w:r>
          </w:p>
        </w:tc>
        <w:tc>
          <w:tcPr>
            <w:tcW w:type="dxa" w:w="720"/>
          </w:tcPr>
          <w:p>
            <w:r>
              <w:t>M5</w:t>
            </w:r>
          </w:p>
        </w:tc>
        <w:tc>
          <w:tcPr>
            <w:tcW w:type="dxa" w:w="720"/>
          </w:tcPr>
          <w:p>
            <w:r>
              <w:t>M6</w:t>
            </w:r>
          </w:p>
        </w:tc>
        <w:tc>
          <w:tcPr>
            <w:tcW w:type="dxa" w:w="720"/>
          </w:tcPr>
          <w:p>
            <w:r>
              <w:t>M7</w:t>
            </w:r>
          </w:p>
        </w:tc>
        <w:tc>
          <w:tcPr>
            <w:tcW w:type="dxa" w:w="720"/>
          </w:tcPr>
          <w:p>
            <w:r>
              <w:t>M8</w:t>
            </w:r>
          </w:p>
        </w:tc>
        <w:tc>
          <w:tcPr>
            <w:tcW w:type="dxa" w:w="720"/>
          </w:tcPr>
          <w:p>
            <w:r>
              <w:t>M9</w:t>
            </w:r>
          </w:p>
        </w:tc>
        <w:tc>
          <w:tcPr>
            <w:tcW w:type="dxa" w:w="720"/>
          </w:tcPr>
          <w:p>
            <w:r>
              <w:t>M10</w:t>
            </w:r>
          </w:p>
        </w:tc>
        <w:tc>
          <w:tcPr>
            <w:tcW w:type="dxa" w:w="720"/>
          </w:tcPr>
          <w:p>
            <w:r>
              <w:t>M11</w:t>
            </w:r>
          </w:p>
        </w:tc>
        <w:tc>
          <w:tcPr>
            <w:tcW w:type="dxa" w:w="720"/>
          </w:tcPr>
          <w:p>
            <w:r>
              <w:t>M12</w:t>
            </w:r>
          </w:p>
        </w:tc>
        <w:tc>
          <w:tcPr>
            <w:tcW w:type="dxa" w:w="720"/>
          </w:tcPr>
          <w:p>
            <w:r>
              <w:t>M13</w:t>
            </w:r>
          </w:p>
        </w:tc>
        <w:tc>
          <w:tcPr>
            <w:tcW w:type="dxa" w:w="720"/>
          </w:tcPr>
          <w:p>
            <w:r>
              <w:t>M14</w:t>
            </w:r>
          </w:p>
        </w:tc>
      </w:tr>
      <w:tr>
        <w:tc>
          <w:tcPr>
            <w:tcW w:type="dxa" w:w="720"/>
          </w:tcPr>
          <w:p>
            <w:r>
              <w:t>WP1</w:t>
            </w:r>
          </w:p>
        </w:tc>
        <w:tc>
          <w:tcPr>
            <w:tcW w:type="dxa" w:w="720"/>
          </w:tcPr>
          <w:p>
            <w:r>
              <w:t>3</w:t>
            </w:r>
          </w:p>
        </w:tc>
        <w:tc>
          <w:tcPr>
            <w:tcW w:type="dxa" w:w="720"/>
          </w:tcPr>
          <w:p>
            <w:r>
              <w:t>3</w:t>
            </w:r>
          </w:p>
        </w:tc>
        <w:tc>
          <w:tcPr>
            <w:tcW w:type="dxa" w:w="720"/>
          </w:tcPr>
          <w:p>
            <w:r>
              <w:t>3</w:t>
            </w:r>
          </w:p>
        </w:tc>
        <w:tc>
          <w:tcPr>
            <w:tcW w:type="dxa" w:w="720"/>
          </w:tcPr>
          <w:p>
            <w:r>
              <w:t>3</w:t>
            </w:r>
          </w:p>
        </w:tc>
        <w:tc>
          <w:tcPr>
            <w:tcW w:type="dxa" w:w="720"/>
          </w:tcPr>
          <w:p>
            <w:r>
              <w:t>3</w:t>
            </w:r>
          </w:p>
        </w:tc>
        <w:tc>
          <w:tcPr>
            <w:tcW w:type="dxa" w:w="720"/>
          </w:tcPr>
          <w:p>
            <w:r>
              <w:t>3</w:t>
            </w:r>
          </w:p>
        </w:tc>
        <w:tc>
          <w:tcPr>
            <w:tcW w:type="dxa" w:w="720"/>
          </w:tcPr>
          <w:p>
            <w:r>
              <w:t>3</w:t>
            </w:r>
          </w:p>
        </w:tc>
        <w:tc>
          <w:tcPr>
            <w:tcW w:type="dxa" w:w="720"/>
          </w:tcPr>
          <w:p>
            <w:r>
              <w:t>3</w:t>
            </w:r>
          </w:p>
        </w:tc>
        <w:tc>
          <w:tcPr>
            <w:tcW w:type="dxa" w:w="720"/>
          </w:tcPr>
          <w:p>
            <w:r>
              <w:t>3</w:t>
            </w:r>
          </w:p>
        </w:tc>
        <w:tc>
          <w:tcPr>
            <w:tcW w:type="dxa" w:w="720"/>
          </w:tcPr>
          <w:p>
            <w:r>
              <w:t>3</w:t>
            </w:r>
          </w:p>
        </w:tc>
        <w:tc>
          <w:tcPr>
            <w:tcW w:type="dxa" w:w="720"/>
          </w:tcPr>
          <w:p>
            <w:r>
              <w:t>3</w:t>
            </w:r>
          </w:p>
        </w:tc>
      </w:tr>
      <w:tr>
        <w:tc>
          <w:tcPr>
            <w:tcW w:type="dxa" w:w="720"/>
          </w:tcPr>
          <w:p>
            <w:r>
              <w:t>WP3</w:t>
            </w:r>
          </w:p>
        </w:tc>
        <w:tc>
          <w:tcPr>
            <w:tcW w:type="dxa" w:w="720"/>
          </w:tcPr>
          <w:p>
            <w:r>
              <w:t>2</w:t>
            </w:r>
          </w:p>
        </w:tc>
        <w:tc>
          <w:tcPr>
            <w:tcW w:type="dxa" w:w="720"/>
          </w:tcPr>
          <w:p>
            <w:r>
              <w:t>3</w:t>
            </w:r>
          </w:p>
        </w:tc>
        <w:tc>
          <w:tcPr>
            <w:tcW w:type="dxa" w:w="720"/>
          </w:tcPr>
          <w:p>
            <w:r>
              <w:t>4</w:t>
            </w:r>
          </w:p>
        </w:tc>
        <w:tc>
          <w:tcPr>
            <w:tcW w:type="dxa" w:w="720"/>
          </w:tcPr>
          <w:p>
            <w:r>
              <w:t>3</w:t>
            </w:r>
          </w:p>
        </w:tc>
        <w:tc>
          <w:tcPr>
            <w:tcW w:type="dxa" w:w="720"/>
          </w:tcPr>
          <w:p>
            <w:r>
              <w:t>3</w:t>
            </w:r>
          </w:p>
        </w:tc>
        <w:tc>
          <w:tcPr>
            <w:tcW w:type="dxa" w:w="720"/>
          </w:tcPr>
          <w:p>
            <w:r>
              <w:t>3</w:t>
            </w:r>
          </w:p>
        </w:tc>
        <w:tc>
          <w:tcPr>
            <w:tcW w:type="dxa" w:w="720"/>
          </w:tcPr>
          <w:p>
            <w:r>
              <w:t>3</w:t>
            </w:r>
          </w:p>
        </w:tc>
        <w:tc>
          <w:tcPr>
            <w:tcW w:type="dxa" w:w="720"/>
          </w:tcPr>
          <w:p>
            <w:r>
              <w:t>3</w:t>
            </w:r>
          </w:p>
        </w:tc>
        <w:tc>
          <w:tcPr>
            <w:tcW w:type="dxa" w:w="720"/>
          </w:tcPr>
          <w:p>
            <w:r>
              <w:t>3</w:t>
            </w:r>
          </w:p>
        </w:tc>
        <w:tc>
          <w:tcPr>
            <w:tcW w:type="dxa" w:w="720"/>
          </w:tcPr>
          <w:p>
            <w:r>
              <w:t>3</w:t>
            </w:r>
          </w:p>
        </w:tc>
        <w:tc>
          <w:tcPr>
            <w:tcW w:type="dxa" w:w="720"/>
          </w:tcPr>
          <w:p>
            <w:r>
              <w:t>3</w:t>
            </w:r>
          </w:p>
        </w:tc>
      </w:tr>
      <w:tr>
        <w:tc>
          <w:tcPr>
            <w:tcW w:type="dxa" w:w="720"/>
          </w:tcPr>
          <w:p>
            <w:r>
              <w:t>WP4</w:t>
            </w:r>
          </w:p>
        </w:tc>
        <w:tc>
          <w:tcPr>
            <w:tcW w:type="dxa" w:w="720"/>
          </w:tcPr>
          <w:p>
            <w:r>
              <w:t>4</w:t>
            </w:r>
          </w:p>
        </w:tc>
        <w:tc>
          <w:tcPr>
            <w:tcW w:type="dxa" w:w="720"/>
          </w:tcPr>
          <w:p>
            <w:r>
              <w:t>4</w:t>
            </w:r>
          </w:p>
        </w:tc>
        <w:tc>
          <w:tcPr>
            <w:tcW w:type="dxa" w:w="720"/>
          </w:tcPr>
          <w:p>
            <w:r>
              <w:t>4</w:t>
            </w:r>
          </w:p>
        </w:tc>
        <w:tc>
          <w:tcPr>
            <w:tcW w:type="dxa" w:w="720"/>
          </w:tcPr>
          <w:p>
            <w:r>
              <w:t>4</w:t>
            </w:r>
          </w:p>
        </w:tc>
        <w:tc>
          <w:tcPr>
            <w:tcW w:type="dxa" w:w="720"/>
          </w:tcPr>
          <w:p>
            <w:r>
              <w:t>4</w:t>
            </w:r>
          </w:p>
        </w:tc>
        <w:tc>
          <w:tcPr>
            <w:tcW w:type="dxa" w:w="720"/>
          </w:tcPr>
          <w:p>
            <w:r>
              <w:t>4</w:t>
            </w:r>
          </w:p>
        </w:tc>
        <w:tc>
          <w:tcPr>
            <w:tcW w:type="dxa" w:w="720"/>
          </w:tcPr>
          <w:p>
            <w:r>
              <w:t>4</w:t>
            </w:r>
          </w:p>
        </w:tc>
        <w:tc>
          <w:tcPr>
            <w:tcW w:type="dxa" w:w="720"/>
          </w:tcPr>
          <w:p>
            <w:r>
              <w:t>4</w:t>
            </w:r>
          </w:p>
        </w:tc>
        <w:tc>
          <w:tcPr>
            <w:tcW w:type="dxa" w:w="720"/>
          </w:tcPr>
          <w:p>
            <w:r>
              <w:t>4</w:t>
            </w:r>
          </w:p>
        </w:tc>
        <w:tc>
          <w:tcPr>
            <w:tcW w:type="dxa" w:w="720"/>
          </w:tcPr>
          <w:p>
            <w:r>
              <w:t>3</w:t>
            </w:r>
          </w:p>
        </w:tc>
        <w:tc>
          <w:tcPr>
            <w:tcW w:type="dxa" w:w="720"/>
          </w:tcPr>
          <w:p>
            <w:r>
              <w:t>3</w:t>
            </w:r>
          </w:p>
        </w:tc>
      </w:tr>
    </w:tbl>
    <w:p>
      <w:r>
        <w:rPr>
          <w:highlight w:val="green"/>
        </w:rPr>
        <w:t>Window-active tasks — WP1 (Data Harmonisation, Stress Definition and Model Development): T2.4 (M4–M14), T2.5 (M4–M14), T2.6 (M4–M14); WP3 (Independent Commercial-Farmer Prospective Validation): T3.1 (M4–M5), T3.2 (M5–M6), T3.3 (M6–M16), T3.4 (M6–M16), T3.6 (M4–M18); WP4 (DrR Web MVP, Co-development and Exploitation Preparation): T4.1 (M1–M12), T4.2 (M4–M18), T4.4 (M1–M24), T4.6 (M1–M24).</w:t>
      </w:r>
    </w:p>
    <w:p>
      <w:r>
        <w:rPr>
          <w:i/>
          <w:color w:val="808080"/>
        </w:rPr>
        <w:t xml:space="preserve">[3.1-¶17] </w:t>
      </w:r>
      <w:r>
        <w:t>### Mechanisms to assess and mitigate risks</w:t>
      </w:r>
    </w:p>
    <w:p>
      <w:r>
        <w:rPr>
          <w:i/>
          <w:color w:val="808080"/>
        </w:rPr>
        <w:t xml:space="preserve">[3.1-¶18] </w:t>
      </w:r>
      <w:r>
        <w:t>Risk is managed through a grouped ten-row register (R01-R10) covering research, measurement, operational and data-rights/administrative risks, each rated for likelihood (L) and impact (I) and paired with a concrete mitigation:</w:t>
      </w:r>
    </w:p>
    <w:p>
      <w:r>
        <w:rPr>
          <w:i/>
          <w:color w:val="808080"/>
        </w:rPr>
        <w:t xml:space="preserve">[3.1-¶19] </w:t>
      </w:r>
      <w:r>
        <w:t>- **Research and modelling risk.** R01 — historical MATE variables differ among years (L=M, I=H): use an explicit year-by-variable matrix, harmonise only defensible common variables and retain year-specific measurements as secondary information. R02 — limited effective biological sample size (L=M, I=H): use repeated-measure/hierarchical structure, conservative feature reduction and parsimonious modelling with no deep-learning dependency. R07 — prospective performance drops (L=M, I=H): treat transfer loss as a scientific result, quantify uncertainty and apply limited transparent recalibration rather than hiding the gap.</w:t>
        <w:br/>
      </w:r>
      <w:r>
        <w:t>- **Measurement and observation risk.** R03 — farmer site lacks modern monitoring infrastructure (L=H, I=M): install a project meteorological station and soil sensors before the campaign and define maintenance and data-quality responsibilities. R05 — ELTE instrument access or timing is constrained (L=M, I=H): use a written equipment/operation schedule, prioritise key physiological dates and retain physiology/proximal sensing as the core pathway if individual UAV campaigns are missed. R06 — field geometry or clouds limit Sentinel-2 interpretation (L=H, I=M): use Sentinel only where valid pixels support field-scale inference and rely on UAV/proximal observations for finer scales.</w:t>
        <w:br/>
      </w:r>
      <w:r>
        <w:t>- **Operational and partner risk.** R04 — primary farmer access changes or is interrupted (L=M, I=H): secure written access (task T3.1) and follow a contingency ladder — first activate an identified second commercial processing-tomato producer (which, if it meets the measurement protocol, preserves the independent commercial-field transferability claim), and only if that also fails activate the Szentendre Skanzen model-garden route, which preserves the physiological measurement programme but does not substitute for commercial-field transferability evidence, so the transferability claim is then explicitly downgraded and reported as such. R08 — web development is delayed (L=M, I=M): develop incrementally from the existing prototype, keep scientific deliverables primary and prioritise validated core functions over feature breadth. R09 — the placement host cannot provide proprietary/customer data (L=L, I=M): design the placement around usability/interoperability requirements and protected, coded extracts, so unrestricted customer-system access is not a project dependency.</w:t>
        <w:br/>
      </w:r>
      <w:r>
        <w:t>- **Data-rights and administrative risk.** R10 — MATE-derived assets carry commercial restrictions (L=M, I=H): use them for approved research only, maintain a background/foreground inventory and conduct an institutional data-rights/IP assessment before any commercial exploitation.</w:t>
      </w:r>
    </w:p>
    <w:p>
      <w:r>
        <w:rPr>
          <w:i/>
          <w:color w:val="808080"/>
        </w:rPr>
        <w:t xml:space="preserve">[3.1-¶20] </w:t>
      </w:r>
      <w:r>
        <w:t>The overarching risk philosophy is that transfer loss is a scientific result to be measured, not concealed: a performance decrease under prospective validation is quantified, its uncertainty stated, and only limited, transparent recalibration applied. This philosophy is embedded in the plan itself through the model-freeze-before-validation sequencing (MS6 ahead of WP3).</w:t>
      </w:r>
    </w:p>
    <w:p>
      <w:r>
        <w:rPr>
          <w:i/>
          <w:color w:val="808080"/>
        </w:rPr>
        <w:t xml:space="preserve">[3.1-¶21] </w:t>
      </w:r>
      <w:r>
        <w:t>Risks are assessed and escalated through the project's governance structure: a Project Steering Group reviews progress at the milestone points and issues a go/no-go verdict on the milestones MS1-MS5, so that no downstream work package proceeds on an input that has not passed its verifiable criterion. Day-to-day scientific risk is handled by the researcher with the primary supervisor (Prof. Tibor Janda) through the regular supervision cadence, with unresolved items escalated within the host and, where relevant, through the owning partner's access agreement. This combination — a critical path with a single strict dependency, milestone-gated go/no-go review, a pre-registered validation protocol, and a contingency ladder for the one field-access dependency that is not fully under the project's control — keeps the action robust while remaining honest about what is confirmed and what still depends on partner writings to be finalised.</w:t>
      </w:r>
    </w:p>
    <w:p>
      <w:pPr>
        <w:pStyle w:val="Heading2"/>
      </w:pPr>
      <w:r>
        <w:t>3.2 Quality and capacity of the host institutions and participating organisations, including hosting arrangements</w:t>
      </w:r>
    </w:p>
    <w:p>
      <w:r>
        <w:rPr>
          <w:i/>
          <w:color w:val="808080"/>
        </w:rPr>
        <w:t xml:space="preserve">[3.2-¶1] </w:t>
      </w:r>
      <w:r>
        <w:t>## 3.2 Quality and capacity of the host institutions and participating organisations, including hosting arrangements</w:t>
      </w:r>
    </w:p>
    <w:p>
      <w:r>
        <w:rPr>
          <w:i/>
          <w:color w:val="808080"/>
        </w:rPr>
        <w:t xml:space="preserve">[3.2-¶2] </w:t>
      </w:r>
      <w:r>
        <w:t>### The host: HUN-REN Agrartudomanyi Kutatokozpont</w:t>
      </w:r>
    </w:p>
    <w:p>
      <w:r>
        <w:rPr>
          <w:i/>
          <w:color w:val="808080"/>
        </w:rPr>
        <w:t xml:space="preserve">[3.2-¶3] </w:t>
      </w:r>
      <w:r>
        <w:t>FIELDWISE is a single-beneficiary MSCA Postdoctoral Fellowship. The sole beneficiary, recruiting organisation and host is HUN-REN Agrartudomanyi Kutatokozpont, a public research organisation of the HUN-REN Hungarian Research Network, located at Brunszvik u. 2, 2462 Martonvásár, Hungary (registered PIC 866599553). It is not a higher education institution but a research centre, and the fellowship is anchored in its Agricultural Institute. The host has a documented capacity to recruit and develop MSCA fellows: it previously hosted and coordinated the funded MSCA Individual Fellowship LANDRACES (H2020 grant 752453, Standard European Fellowship, 2017-2019), and its current Horizon Europe participations (COUSIN, AI4SoilHealth and TUdi) evidence an active, funded research environment. This prior MSCA hosting record means the institution already operates the recruitment, mentoring, financial-administration and reporting machinery that an incoming fellow relies upon.</w:t>
      </w:r>
    </w:p>
    <w:p>
      <w:r>
        <w:rPr>
          <w:i/>
          <w:color w:val="808080"/>
        </w:rPr>
        <w:t xml:space="preserve">[3.2-¶4] </w:t>
      </w:r>
      <w:r>
        <w:t>Scientifically, the host supplies exactly the environment FIELDWISE needs at its core. It provides the computational and data-processing environment required for multi-source data integration and predictive modelling, with access to the wider HUN-REN research infrastructure for the computationally intensive analyses the work plan calls on, and strong, well-established expertise in plant phenotyping. The primary supervisor's unit — the Plant Physiology and Metabolomics Department at the Agricultural Institute — is a physiological-validation environment with extensive experience in drought and abiotic-stress physiology, which underwrites the physiological water-stress target that distinguishes FIELDWISE from spectral-proxy approaches. Modelling and data-integration collaboration continues with the host's Department of Crop Production. The primary supervisor, Prof. Tibor Janda, heads the Plant Physiology and Metabolomics Department and brings plant physiology, abiotic-stress (including drought) physiology and stress metabolomics; his identity and departmental headship are established from his curriculum vitae and the host capacity record. His formal acceptance of the primary-supervisor seat, and the associated supervision effort, remain to be confirmed in the host's written hosting confirmation and are therefore stated here as a commitment pending that writing rather than as settled fact.</w:t>
      </w:r>
    </w:p>
    <w:p>
      <w:r>
        <w:rPr>
          <w:i/>
          <w:color w:val="808080"/>
        </w:rPr>
        <w:t xml:space="preserve">[3.2-¶5] </w:t>
      </w:r>
      <w:r>
        <w:t>### Hosting arrangements: integration and support services</w:t>
      </w:r>
    </w:p>
    <w:p>
      <w:r>
        <w:rPr>
          <w:i/>
          <w:color w:val="808080"/>
        </w:rPr>
        <w:t xml:space="preserve">[3.2-¶6] </w:t>
      </w:r>
      <w:r>
        <w:t>The host will act as recruiting organisation and beneficiary, hosting the fellow at the Agricultural Institute in Martonvásár with a dedicated workspace, full integration into the hosting group, administrative support, and access to institutional training, and it will continue these arrangements through the six-month non-academic placement (months 25-30). Support services available to the researcher include the host's research-administration and grants function, its computational and data infrastructure, library and IT services, and its research-integrity and data-protection functions (the host's data-protection function will be consulted before any personal data are processed in the web MVP). Integration is operationalised through the supervision cadence set out in Section 3.1 — weekly one-to-one meetings with the primary supervisor, a monthly written progress record, and quarterly reviews against the Career Development Plan (D1.3) — so that the fellow is embedded in the day-to-day scientific life of the department rather than hosted at arm's length. These hosting arrangements and support services are the host institution's own facilities and commitments; consistent with §12.2, they are recorded as an operator-declared commitment that converts to confirmed on the host's written hosting confirmation naming the Part A signatory and grants-office contact. The host's PIC (866599553) is active on public registers, which is sufficient to submit; the recent HUN-REN institutional transformation is flagged for a Part A verification with the host's grants office and does not affect the hosting capacity described here.</w:t>
      </w:r>
    </w:p>
    <w:p>
      <w:r>
        <w:rPr>
          <w:i/>
          <w:color w:val="808080"/>
        </w:rPr>
        <w:t xml:space="preserve">[3.2-¶7] </w:t>
      </w:r>
      <w:r>
        <w:t>Because FIELDWISE is a European Fellowship arising from an intra-EU move (Bulgaria to Hungary), there is no outgoing Third Country host and no separate return host to outline: the Global Fellowship two-host requirement does not apply. The six-month non-academic placement at the placement host is an extension under constraint CC-07 within the same European Fellowship, not a Global Fellowship outgoing phase. The mobility profile, researcher development and career-development dimensions of the host arrangement are set out in the Excellence sub-sections and are not repeated here.</w:t>
      </w:r>
    </w:p>
    <w:p>
      <w:r>
        <w:rPr>
          <w:i/>
          <w:color w:val="808080"/>
        </w:rPr>
        <w:t xml:space="preserve">[3.2-¶8] </w:t>
      </w:r>
      <w:r>
        <w:t>### Participating organisations and associated partners</w:t>
      </w:r>
    </w:p>
    <w:p>
      <w:r>
        <w:rPr>
          <w:i/>
          <w:color w:val="808080"/>
        </w:rPr>
        <w:t xml:space="preserve">[3.2-¶9] </w:t>
      </w:r>
      <w:r>
        <w:t>As a single-beneficiary action, FIELDWISE has no consortium of co-beneficiaries; the participating organisations act as associated partners linked to the beneficiary and as one collaborating validation environment. Their infrastructure, logistics and facilities are set out in full in Part B-2 Section 5; the summary below establishes that each brings a capacity the work plan genuinely depends on.</w:t>
      </w:r>
    </w:p>
    <w:p>
      <w:r>
        <w:rPr>
          <w:i/>
          <w:color w:val="808080"/>
        </w:rPr>
        <w:t xml:space="preserve">[3.2-¶10] </w:t>
      </w:r>
      <w:r>
        <w:t>**Eötvös Loránd University (ELTE)** is an associated partner providing the remote-sensing, UAV/hyperspectral and geoinformatics environment, based in its Faculty of Informatics, Institute of Cartography and Geoinformatics in Budapest (the Multisensor-Drone-Image Fusion research environment and the GIS and Remote Sensing Laboratory). Its confirmed instrument inventory — a DJI Matrice 350 RTK industrial drone with Zenmuse L1 (LiDAR/RGB), P1 (45 MP photogrammetry) and H20T (thermal) payloads, an Ultris S5 hyperspectral camera and a Cubert CUVIS laboratory hyperspectral package, together with licensed ArcGIS, ENVI and MATLAB, open geospatial tools (Google Earth Engine, QGIS, SNAP), and high-performance computing for large-scale geospatial analysis — is precisely the equipment the hyperspectral-to-Sentinel scale-transition strand relies on. The co-supervisor, Prof. András Jung (Professor, Institute of Cartography and Geoinformatics), carries this remote-sensing, hyperspectral-imaging, field-spectroscopy and multisensor-fusion expertise, and Dr. Zsófia Varga supports the fellow's UAV data acquisition, flight planning and sensor operation. ELTE's published output (recent DOI-verified Earth-observation and agricultural remote-sensing papers) evidences the quality of this environment. Two things about ELTE's involvement are stated as commitments pending written confirmation rather than as settled facts: ELTE's continuation as an associated partner (its written associated-partner agreement is evidence-grade and awaited), and the instrument-access arrangement under which the fellow conducts or co-conducts measurements with these platforms scheduled around key physiological dates. Under the same standing, Dr. Roland Hollós participates on the ELTE side as the named team member responsible for the predictive-modelling/machine-learning component (AI/ML approach selection, heterogeneous-data integration and model interpretation); his identity and modelling profile are established, while his ELTE-side representation basis awaits ELTE's written confirmation. The co-supervisor's acceptance of the co-supervision role is likewise a pending commitment.</w:t>
      </w:r>
    </w:p>
    <w:p>
      <w:r>
        <w:rPr>
          <w:i/>
          <w:color w:val="808080"/>
        </w:rPr>
        <w:t xml:space="preserve">[3.2-¶11] </w:t>
      </w:r>
      <w:r>
        <w:t>**Magyar Agrár- és Élettudományi Egyetem (MATE)** is an associated partner (Institute of Horticultural Sciences, PIC 891269563) and the source scientific environment. It supplies the heterogeneous 2022-2026 processing-tomato archive that makes processing tomato the development crop, together with the experimental and validation instrument base: TDR and capacitive soil-moisture sensors at 15 and 30 cm, stomatal resistance/conductance equipment, SPAD chlorophyll meters, VIS-NIR (approx. 325-1075 nm) and VIS-NIR-SWIR (approx. 350-2500 nm) leaf spectroradiometers, meteorological monitoring, leaf-surface temperature measurement and CWSI assessment tools. The archive is described by season, variable class and treatment, and MATE additionally brings precision-agriculture and decision-support consultation (Prof. Gábor Milics). MATE's grant of rights and access to the 2022-2026 archive, under institutional data-use conditions to be documented before the action starts, is stated as a commitment pending MATE's written data-use permission; it does not block the work plan, which is designed to draft against a stated (not fabricated) access position.</w:t>
      </w:r>
    </w:p>
    <w:p>
      <w:r>
        <w:rPr>
          <w:i/>
          <w:color w:val="808080"/>
        </w:rPr>
        <w:t xml:space="preserve">[3.2-¶12] </w:t>
      </w:r>
      <w:r>
        <w:t>**КРУМАТИК ЕООД** is an associated partner and the software-development and Bulgarian-uptake organisation: a Bulgarian technology and digital-solutions company (EIK 201511899, established 2011, Sofia), with software-implementation and systems-integration experience including previous involvement in deploying the placement host's farm-management platform in Bulgaria. It provides continuous developer support from project start — improving the DrR prototype, implementing validated data/model functions and the crop-configurable architecture, and migrating the validated core toward the web MVP — plus later-stage Bulgarian farmer-facing dissemination and uptake, a role deliberately distinct from the placement host's operational-evaluation function. Its legal identity and role are established from partner-supplied registry data; its SME status, its effort and the openly stated absence of any ownership/employment relationship with the fellow or other partners are stated as commitments pending the company's confirmation, and code-IP terms are a pre-grant development-agreement action rather than a proposal fact.</w:t>
      </w:r>
    </w:p>
    <w:p>
      <w:r>
        <w:rPr>
          <w:i/>
          <w:color w:val="808080"/>
        </w:rPr>
        <w:t xml:space="preserve">[3.2-¶13] </w:t>
      </w:r>
      <w:r>
        <w:t>### Non-academic placement host: AGROVIR Üzletviteli Tanácsadó Korlátolt Felelősségű Társaság</w:t>
      </w:r>
    </w:p>
    <w:p>
      <w:r>
        <w:rPr>
          <w:i/>
          <w:color w:val="808080"/>
        </w:rPr>
        <w:t xml:space="preserve">[3.2-¶14] </w:t>
      </w:r>
      <w:r>
        <w:t>The operational evaluator and non-academic placement host is AGROVIR Üzletviteli Tanácsadó Korlátolt Felelősségű Társaság (AgroVIR Kft.), a Hungarian SME founded in 2007 and seated in Budaörs, which develops and operates a cloud-based farm management information system. Its confirmed organisational profile is directly relevant to FIELDWISE's research-to-operation ambition: the platform is in production use across more than 745,000 hectares in eight countries, and its Hungarian and Bulgarian footprints match the two countries in which FIELDWISE works. This gives the fellow a genuine industrial evaluation environment for the validated MVP that the academic host cannot provide alone — operational model evaluation against a production FMIS, agricultural-software requirements practice, interoperability assessment, user-centred decision-support design and exploitation planning — which is why the placement is the inter-sectoral element of the fellowship. The placement work content is well defined (evaluation of MVP inputs, usability, missing-data behaviour and decision outputs; interoperability assessment; monthly technical reviews; and finalisation of FMIS-integration requirements and the exploitation roadmap), delivering the AgroVIR operational/interoperability assessment and the Post-MSCA FMIS integration and exploitation roadmap in WP5 — AgroVIR Non-Academic Placement.</w:t>
      </w:r>
    </w:p>
    <w:p>
      <w:r>
        <w:rPr>
          <w:i/>
          <w:color w:val="808080"/>
        </w:rPr>
        <w:t xml:space="preserve">[3.2-¶15] </w:t>
      </w:r>
      <w:r>
        <w:t>The placement arrangement is stated as a commitment pending the company's written confirmation: it is conducted mainly through remote collaboration with monthly face-to-face technical meetings, the fellow works with the AgroVIR product development team responsible for the FMIS platform, and — importantly for feasibility and data protection — the fellow does not require access to proprietary software, customer databases, office infrastructure or computing equipment, because AgroVIR provides the information and data extracts needed for interoperability testing in protected, coded or anonymised form (for example, 'Field X' identifiers). The placement supervisor is Miklós Maróti, Managing Director of AgroVIR, whose experience in agricultural digitalisation and farm-management systems supports evaluation of the MVP's stress and irrigation outputs within practical workflows; his name, title and the supervision arrangement are stated as commitments pending AgroVIR's written confirmation. The company's track record is commercial rather than scientific — it declares no participation in EU-funded research projects — and this is stated openly in the prescribed form rather than converted into a research claim. AgroVIR holds no PIC yet; because it appears in Part A as the placement host, registration is a submission-time action (its legal name, address and tax number are all recorded) and is not a work-plan dependency.</w:t>
      </w:r>
    </w:p>
    <w:p>
      <w:r>
        <w:rPr>
          <w:i/>
          <w:color w:val="808080"/>
        </w:rPr>
        <w:t xml:space="preserve">[3.2-¶16] </w:t>
      </w:r>
      <w:r>
        <w:t>### Collaborating validation environment and post-fellowship route</w:t>
      </w:r>
    </w:p>
    <w:p>
      <w:r>
        <w:rPr>
          <w:i/>
          <w:color w:val="808080"/>
        </w:rPr>
        <w:t xml:space="preserve">[3.2-¶17] </w:t>
      </w:r>
      <w:r>
        <w:t>The independent commercial-farmer prospective validation site is a collaborating validation environment, not a beneficiary or associated partner: an unnamed independent commercial farmer in Hungary, introduced through the fellow's established professional relationship and deliberately left unnamed as a recorded operator decision. It provides realistic crop husbandry and field-management conditions; because it does not already operate the monitoring infrastructure the prospective validation requires, FIELDWISE installs an automated meteorological station and soil sensors, and the fellow retains responsibility for the scientific measurements, protocol, quality control and synchronisation. The farmer's written field access — site availability, permission for sensor installation, agreed irrigation-treatment implementation and routine crop management — is stated as a commitment to be secured before the campaign (task T3.1). As set out in the risk treatment in Section 3.1, a contingency ladder protects this single field-access dependency: an identified second independent commercial processing-tomato producer serves as a first-line, claim-preserving backup, and only if that also fails is the Szentendre Skanzen model-garden route activated as a measurement-only backup, at which point the commercial-transferability claim is explicitly downgraded and reported as such. The Skanzen environment is a confirmed contingency option that is never presented as a guaranteed second experiment.</w:t>
      </w:r>
    </w:p>
    <w:p>
      <w:r>
        <w:rPr>
          <w:i/>
          <w:color w:val="808080"/>
        </w:rPr>
        <w:t xml:space="preserve">[3.2-¶18] </w:t>
      </w:r>
      <w:r>
        <w:t>Finally, Maritsa Vegetable Crops Research Institute — Институт по зеленчукови култури „Марица“ – Пловдив, a scientific institute of the Bulgarian Agricultural Academy in Plovdiv — is retained as the post-MSCA replication and transferability route and sits on no work-package month line during the action. Keeping the full Bulgarian replication outside the 24-month scientific work plan protects feasibility while preserving a concrete, named route for subsequent replication, local recalibration and extension under Bulgarian vegetable-production conditions, together with joint publications, proposals, mobility and teaching. In sum, the host provides a funded, MSCA-experienced research environment with the physiological and computational capacity at FIELDWISE's core; the associated partners supply the remote-sensing instruments, the historical data and instrument base, and the software-development capability; and the non-academic placement host supplies a genuine industrial FMIS environment for operational evaluation — a set of organisations whose facilities and capacities are individually necessary and jointly sufficient for the work plan, with every forward-looking commitment honestly separated from what is already established.</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Stage-1 annotator" w:initials="S1" w:date="2026-09-03T00:00:00Z">
    <w:p>
      <w:pPr>
        <w:pStyle w:val="CommentText"/>
      </w:pPr>
      <w:r>
        <w:rPr>
          <w:rStyle w:val="CommentReference"/>
        </w:rPr>
        <w:annotationRef/>
      </w:r>
      <w:r>
        <w:t>A-1 (needs_input): Resolve the sequencing tension by stating that a provisional stress-target and validation protocol are fixed and documented before the month-3 freeze (with D1.1/D1.2 as their formalisation), or adjust the D1.1/D1.2 due months so the defining protocol and harmonised base precede D2.1.</w:t>
      </w:r>
    </w:p>
    <w:p>
      <w:pPr>
        <w:pStyle w:val="CommentText"/>
      </w:pPr>
    </w:p>
    <w:p>
      <w:pPr>
        <w:pStyle w:val="CommentText"/>
      </w:pPr>
      <w:r>
        <w:t>Question: Choose the reconciliation of the month-3 freeze vs the month-14 D1.1/D1.2 delivery: (a) state that a provisional stress-target and validation protocol are fixed and documented before the month-3 D2.1 freeze, with D1.1/D1.2 as their month-14 formalisation, or (b) shift the D1.1/D1.2 due months so the defining protocol and harmonised base precede D2.1 (touches the work plan and Gantt).</w:t>
      </w:r>
    </w:p>
    <w:p>
      <w:pPr>
        <w:pStyle w:val="CommentText"/>
      </w:pPr>
    </w:p>
    <w:p>
      <w:pPr>
        <w:pStyle w:val="CommentText"/>
      </w:pPr>
      <w:r>
        <w:t>Fallback: Keep the current due months and add no reconciliation claim; the sequencing tension stays flagged in the deliverable (§13.8).</w:t>
      </w:r>
    </w:p>
    <w:p>
      <w:pPr>
        <w:pStyle w:val="CommentText"/>
      </w:pPr>
    </w:p>
    <w:p>
      <w:pPr>
        <w:pStyle w:val="CommentText"/>
      </w:pPr>
      <w:r>
        <w:t>Owner of the answer: supervisor + fellow</w:t>
      </w:r>
    </w:p>
  </w:comment>
  <w:comment w:id="1" w:author="Stage-1 annotator" w:initials="S1" w:date="2026-09-03T00:00:00Z">
    <w:p>
      <w:pPr>
        <w:pStyle w:val="CommentText"/>
      </w:pPr>
      <w:r>
        <w:rPr>
          <w:rStyle w:val="CommentReference"/>
        </w:rPr>
        <w:annotationRef/>
      </w:r>
      <w:r>
        <w:t>A-2 (needs_input): Add an explicit statement of the new, citable scientific knowledge the validation framework yields and what is currently not achievable, so the beyond-the-state-of-the-art claim rests on a demonstrable advance rather than process rigour alone.</w:t>
      </w:r>
    </w:p>
    <w:p>
      <w:pPr>
        <w:pStyle w:val="CommentText"/>
      </w:pPr>
    </w:p>
    <w:p>
      <w:pPr>
        <w:pStyle w:val="CommentText"/>
      </w:pPr>
      <w:r>
        <w:t>Question: State the new, citable scientific knowledge the validation framework yields and what is currently not achievable — a scientific claim only the fellow/supervisor can commit to.</w:t>
      </w:r>
    </w:p>
    <w:p>
      <w:pPr>
        <w:pStyle w:val="CommentText"/>
      </w:pPr>
    </w:p>
    <w:p>
      <w:pPr>
        <w:pStyle w:val="CommentText"/>
      </w:pPr>
      <w:r>
        <w:t>Fallback: Retain the current framing (advance located in the validation framework and parsimony) without a sharpened beyond-state-of-the-art claim.</w:t>
      </w:r>
    </w:p>
    <w:p>
      <w:pPr>
        <w:pStyle w:val="CommentText"/>
      </w:pPr>
    </w:p>
    <w:p>
      <w:pPr>
        <w:pStyle w:val="CommentText"/>
      </w:pPr>
      <w:r>
        <w:t>Owner of the answer: fellow + supervisor</w:t>
      </w:r>
    </w:p>
  </w:comment>
  <w:comment w:id="2" w:author="Stage-1 annotator" w:initials="S1" w:date="2026-09-03T00:00:00Z">
    <w:p>
      <w:pPr>
        <w:pStyle w:val="CommentText"/>
      </w:pPr>
      <w:r>
        <w:rPr>
          <w:rStyle w:val="CommentReference"/>
        </w:rPr>
        <w:annotationRef/>
      </w:r>
      <w:r>
        <w:t>A-1 (needs_input): Resolve the sequencing tension by stating that a provisional stress-target and validation protocol are fixed and documented before the month-3 freeze (with D1.1/D1.2 as their formalisation), or adjust the D1.1/D1.2 due months so the defining protocol and harmonised base precede D2.1.</w:t>
      </w:r>
    </w:p>
    <w:p>
      <w:pPr>
        <w:pStyle w:val="CommentText"/>
      </w:pPr>
    </w:p>
    <w:p>
      <w:pPr>
        <w:pStyle w:val="CommentText"/>
      </w:pPr>
      <w:r>
        <w:t>Question: Choose the reconciliation of the month-3 freeze vs the month-14 D1.1/D1.2 delivery: (a) state that a provisional stress-target and validation protocol are fixed and documented before the month-3 D2.1 freeze, with D1.1/D1.2 as their month-14 formalisation, or (b) shift the D1.1/D1.2 due months so the defining protocol and harmonised base precede D2.1 (touches the work plan and Gantt).</w:t>
      </w:r>
    </w:p>
    <w:p>
      <w:pPr>
        <w:pStyle w:val="CommentText"/>
      </w:pPr>
    </w:p>
    <w:p>
      <w:pPr>
        <w:pStyle w:val="CommentText"/>
      </w:pPr>
      <w:r>
        <w:t>Fallback: Keep the current due months and add no reconciliation claim; the sequencing tension stays flagged in the deliverable (§13.8).</w:t>
      </w:r>
    </w:p>
    <w:p>
      <w:pPr>
        <w:pStyle w:val="CommentText"/>
      </w:pPr>
    </w:p>
    <w:p>
      <w:pPr>
        <w:pStyle w:val="CommentText"/>
      </w:pPr>
      <w:r>
        <w:t>Owner of the answer: supervisor + fellow</w:t>
      </w:r>
    </w:p>
  </w:comment>
  <w:comment w:id="3" w:author="Stage-1 annotator" w:initials="S1" w:date="2026-09-03T00:00:00Z">
    <w:p>
      <w:pPr>
        <w:pStyle w:val="CommentText"/>
      </w:pPr>
      <w:r>
        <w:rPr>
          <w:rStyle w:val="CommentReference"/>
        </w:rPr>
        <w:annotationRef/>
      </w:r>
      <w:r>
        <w:t>A-3 (needs_input): Evidence that the modelling/EO training capacity at ELTE is secured (imminent associated-partner and co-supervision confirmations) and describe the host-side continuity safeguard for the central training strand if the associated-partner arrangement changes.</w:t>
      </w:r>
    </w:p>
    <w:p>
      <w:pPr>
        <w:pStyle w:val="CommentText"/>
      </w:pPr>
    </w:p>
    <w:p>
      <w:pPr>
        <w:pStyle w:val="CommentText"/>
      </w:pPr>
      <w:r>
        <w:t>Question: Can evidence be cited that the ELTE associated-partner and co-supervision confirmations are secured or imminent, and what host-side continuity safeguard protects the modelling/EO training strand if the ELTE arrangement changes?</w:t>
      </w:r>
    </w:p>
    <w:p>
      <w:pPr>
        <w:pStyle w:val="CommentText"/>
      </w:pPr>
    </w:p>
    <w:p>
      <w:pPr>
        <w:pStyle w:val="CommentText"/>
      </w:pPr>
      <w:r>
        <w:t>Fallback: Keep the transparent operator-declared Assumed status of the forward-looking commitments as drafted in 1.3, with no safeguard claim added.</w:t>
      </w:r>
    </w:p>
    <w:p>
      <w:pPr>
        <w:pStyle w:val="CommentText"/>
      </w:pPr>
    </w:p>
    <w:p>
      <w:pPr>
        <w:pStyle w:val="CommentText"/>
      </w:pPr>
      <w:r>
        <w:t>Owner of the answer: operator + host</w:t>
      </w:r>
    </w:p>
  </w:comment>
  <w:comment w:id="4" w:author="Stage-1 annotator" w:initials="S1" w:date="2026-09-03T00:00:00Z">
    <w:p>
      <w:pPr>
        <w:pStyle w:val="CommentText"/>
      </w:pPr>
      <w:r>
        <w:rPr>
          <w:rStyle w:val="CommentReference"/>
        </w:rPr>
        <w:annotationRef/>
      </w:r>
      <w:r>
        <w:t>A-8 (split): Anchor the employability breadth in one or two concrete post-fellowship trajectories and cite the specific career KPI used to measure the career outcome.</w:t>
      </w:r>
    </w:p>
    <w:p>
      <w:pPr>
        <w:pStyle w:val="CommentText"/>
      </w:pPr>
    </w:p>
    <w:p>
      <w:pPr>
        <w:pStyle w:val="CommentText"/>
      </w:pPr>
      <w:r>
        <w:t>Resolution note: Resolved in draft (KPI half): the career KPI exists in the Tier 4 KPI set as K11 (phase5 impact_architecture.json) and is named in an inserted sentence at this anchor — derived from Tier 4, no new fact.</w:t>
      </w:r>
    </w:p>
    <w:p>
      <w:pPr>
        <w:pStyle w:val="CommentText"/>
      </w:pPr>
    </w:p>
    <w:p>
      <w:pPr>
        <w:pStyle w:val="CommentText"/>
      </w:pPr>
      <w:r>
        <w:t>Question: Anchor the employability breadth in one or two concrete post-fellowship trajectories (for example the recorded Maritsa/MVCRI post-MSCA replication-and-transfer route already in 3.2, plus one other destination the fellow will commit to).</w:t>
      </w:r>
    </w:p>
    <w:p>
      <w:pPr>
        <w:pStyle w:val="CommentText"/>
      </w:pPr>
    </w:p>
    <w:p>
      <w:pPr>
        <w:pStyle w:val="CommentText"/>
      </w:pPr>
      <w:r>
        <w:t>Fallback: Keep the named career KPI (K11) and the existing breadth framing, without additional trajectory claims.</w:t>
      </w:r>
    </w:p>
    <w:p>
      <w:pPr>
        <w:pStyle w:val="CommentText"/>
      </w:pPr>
    </w:p>
    <w:p>
      <w:pPr>
        <w:pStyle w:val="CommentText"/>
      </w:pPr>
      <w:r>
        <w:t>Owner of the answer: fellow</w:t>
      </w:r>
    </w:p>
  </w:comment>
  <w:comment w:id="5" w:author="Stage-1 annotator" w:initials="S1" w:date="2026-09-03T00:00:00Z">
    <w:p>
      <w:pPr>
        <w:pStyle w:val="CommentText"/>
      </w:pPr>
      <w:r>
        <w:rPr>
          <w:rStyle w:val="CommentReference"/>
        </w:rPr>
        <w:annotationRef/>
      </w:r>
      <w:r>
        <w:t>A-9 (needs_input): Add a small set of measurable dissemination/uptake indicators (audiences reached, farmer participants, MVP evaluation users) tied to named channels, proportionate to a single-researcher action.</w:t>
      </w:r>
    </w:p>
    <w:p>
      <w:pPr>
        <w:pStyle w:val="CommentText"/>
      </w:pPr>
    </w:p>
    <w:p>
      <w:pPr>
        <w:pStyle w:val="CommentText"/>
      </w:pPr>
      <w:r>
        <w:t>Question: Confirm a small set of measurable dissemination/uptake indicators with numbers (audiences reached, farmer participants, MVP evaluation users) tied to the named channels, proportionate to a single-researcher action — the numbers need owner confirmation and cannot be invented (§13.2/§13.3).</w:t>
      </w:r>
    </w:p>
    <w:p>
      <w:pPr>
        <w:pStyle w:val="CommentText"/>
      </w:pPr>
    </w:p>
    <w:p>
      <w:pPr>
        <w:pStyle w:val="CommentText"/>
      </w:pPr>
      <w:r>
        <w:t>Fallback: Retain the output-count success measures as drafted (papers; one public field demonstration and one public-facing article per year).</w:t>
      </w:r>
    </w:p>
    <w:p>
      <w:pPr>
        <w:pStyle w:val="CommentText"/>
      </w:pPr>
    </w:p>
    <w:p>
      <w:pPr>
        <w:pStyle w:val="CommentText"/>
      </w:pPr>
      <w:r>
        <w:t>Owner of the answer: fellow + operator</w:t>
      </w:r>
    </w:p>
  </w:comment>
  <w:comment w:id="6" w:author="Stage-1 annotator" w:initials="S1" w:date="2026-09-03T00:00:00Z">
    <w:p>
      <w:pPr>
        <w:pStyle w:val="CommentText"/>
      </w:pPr>
      <w:r>
        <w:rPr>
          <w:rStyle w:val="CommentReference"/>
        </w:rPr>
        <w:annotationRef/>
      </w:r>
      <w:r>
        <w:t>A-4 (needs_input): Introduce conditional, method-anchored expected-effect ranges (detection lead-time, water-productivity improvement envelopes the design is powered to show) so the project's own magnitude is quantified as a defensible expectation, not only literature context.</w:t>
      </w:r>
    </w:p>
    <w:p>
      <w:pPr>
        <w:pStyle w:val="CommentText"/>
      </w:pPr>
    </w:p>
    <w:p>
      <w:pPr>
        <w:pStyle w:val="CommentText"/>
      </w:pPr>
      <w:r>
        <w:t>Question: Provide conditional, method-anchored expected-effect ranges (detection lead-time; the water-productivity improvement envelope the design is powered to show) that the fellow and supervisor will commit to as a defensible expectation.</w:t>
      </w:r>
    </w:p>
    <w:p>
      <w:pPr>
        <w:pStyle w:val="CommentText"/>
      </w:pPr>
    </w:p>
    <w:p>
      <w:pPr>
        <w:pStyle w:val="CommentText"/>
      </w:pPr>
      <w:r>
        <w:t>Fallback: Keep the bounded literature ranges (~8–30%) only, as currently drafted — 2.3 deliberately declines project-specific quantified targets (prior operator decision).</w:t>
      </w:r>
    </w:p>
    <w:p>
      <w:pPr>
        <w:pStyle w:val="CommentText"/>
      </w:pPr>
    </w:p>
    <w:p>
      <w:pPr>
        <w:pStyle w:val="CommentText"/>
      </w:pPr>
      <w:r>
        <w:t>Owner of the answer: fellow + supervisor</w:t>
      </w:r>
    </w:p>
  </w:comment>
  <w:comment w:id="7" w:author="Stage-1 annotator" w:initials="S1" w:date="2026-09-03T00:00:00Z">
    <w:p>
      <w:pPr>
        <w:pStyle w:val="CommentText"/>
      </w:pPr>
      <w:r>
        <w:rPr>
          <w:rStyle w:val="CommentReference"/>
        </w:rPr>
        <w:annotationRef/>
      </w:r>
      <w:r>
        <w:t>A-10 (needs_input): Quantify the near-term reachable segment (e.g. processing-tomato area in the target countries) alongside the EU-domain figure so the scale claim is graduated from what the action touches to the wider potential.</w:t>
      </w:r>
    </w:p>
    <w:p>
      <w:pPr>
        <w:pStyle w:val="CommentText"/>
      </w:pPr>
    </w:p>
    <w:p>
      <w:pPr>
        <w:pStyle w:val="CommentText"/>
      </w:pPr>
      <w:r>
        <w:t>Question: Provide a citable source and figure quantifying the near-term reachable processing-tomato segment in the target countries (e.g. processing-tomato area in Hungary and Bulgaria), so the scale claim graduates from what the action touches to the wider EU potential.</w:t>
      </w:r>
    </w:p>
    <w:p>
      <w:pPr>
        <w:pStyle w:val="CommentText"/>
      </w:pPr>
    </w:p>
    <w:p>
      <w:pPr>
        <w:pStyle w:val="CommentText"/>
      </w:pPr>
      <w:r>
        <w:t>Fallback: Keep the EU-domain figures and the qualitative Bulgarian vegetable/tomato context without a reachable-segment number.</w:t>
      </w:r>
    </w:p>
    <w:p>
      <w:pPr>
        <w:pStyle w:val="CommentText"/>
      </w:pPr>
    </w:p>
    <w:p>
      <w:pPr>
        <w:pStyle w:val="CommentText"/>
      </w:pPr>
      <w:r>
        <w:t>Owner of the answer: fellow (source) + operator</w:t>
      </w:r>
    </w:p>
  </w:comment>
  <w:comment w:id="8" w:author="Stage-1 annotator" w:initials="S1" w:date="2026-09-03T00:00:00Z">
    <w:p>
      <w:pPr>
        <w:pStyle w:val="CommentText"/>
      </w:pPr>
      <w:r>
        <w:rPr>
          <w:rStyle w:val="CommentReference"/>
        </w:rPr>
        <w:annotationRef/>
      </w:r>
      <w:r>
        <w:t>A-6 (needs_input): Reassign WP3 scientific leadership to the fellow/beneficiary with the farmer site as a hosting environment, and cite the T3.1 access agreement and contingency ladder as the mitigating controls.</w:t>
      </w:r>
    </w:p>
    <w:p>
      <w:pPr>
        <w:pStyle w:val="CommentText"/>
      </w:pPr>
    </w:p>
    <w:p>
      <w:pPr>
        <w:pStyle w:val="CommentText"/>
      </w:pPr>
      <w:r>
        <w:t>Question: Approve reassigning WP3 scientific leadership to the fellow/beneficiary, with the farmer site as a hosting environment, citing the T3.1 access agreement and the contingency ladder as the mitigating controls? This changes a recorded WP-lead fact: it requires the paired Tier 3 edit (roles.json / workpackage_seed.json, reusing existing ids per the id-stability rule) before the prose changes.</w:t>
      </w:r>
    </w:p>
    <w:p>
      <w:pPr>
        <w:pStyle w:val="CommentText"/>
      </w:pPr>
    </w:p>
    <w:p>
      <w:pPr>
        <w:pStyle w:val="CommentText"/>
      </w:pPr>
      <w:r>
        <w:t>Fallback: The WP3 lead attribution remains as recorded in Tier 3/4 (the independent commercial-farmer validation site), unchanged.</w:t>
      </w:r>
    </w:p>
    <w:p>
      <w:pPr>
        <w:pStyle w:val="CommentText"/>
      </w:pPr>
    </w:p>
    <w:p>
      <w:pPr>
        <w:pStyle w:val="CommentText"/>
      </w:pPr>
      <w:r>
        <w:t>Owner of the answer: operator + fellow</w:t>
      </w:r>
    </w:p>
  </w:comment>
  <w:comment w:id="9" w:author="Stage-1 annotator" w:initials="S1" w:date="2026-09-03T00:00:00Z">
    <w:p>
      <w:pPr>
        <w:pStyle w:val="CommentText"/>
      </w:pPr>
      <w:r>
        <w:rPr>
          <w:rStyle w:val="CommentReference"/>
        </w:rPr>
        <w:annotationRef/>
      </w:r>
      <w:r>
        <w:t>A-11 (resolved_in_draft): Renumber the work packages consecutively or add a one-line note that the former WP2 was merged into WP1, so the numbering gap is not read as an omission.</w:t>
      </w:r>
    </w:p>
    <w:p>
      <w:pPr>
        <w:pStyle w:val="CommentText"/>
      </w:pPr>
    </w:p>
    <w:p>
      <w:pPr>
        <w:pStyle w:val="CommentText"/>
      </w:pPr>
      <w:r>
        <w:t>Resolution note: Resolved in draft: a one-line numbering-gap note is inserted after the WP list, grounded in the OD-1 merge recorded in the assembled draft's consistency log (CC-02: 'no WP2; merged into WP1 per OD-1') and the id-stability rule of the run-03 instantiation record. Verify wording, then veto or accept.</w:t>
      </w:r>
    </w:p>
  </w:comment>
  <w:comment w:id="10" w:author="Stage-1 annotator" w:initials="S1" w:date="2026-09-03T00:00:00Z">
    <w:p>
      <w:pPr>
        <w:pStyle w:val="CommentText"/>
      </w:pPr>
      <w:r>
        <w:rPr>
          <w:rStyle w:val="CommentReference"/>
        </w:rPr>
        <w:annotationRef/>
      </w:r>
      <w:r>
        <w:t>A-5 (split): Provide a month-by-month effort-loading view at the WP1/WP3/WP4 overlap and show how partner in-kind support offloads the fellow, to demonstrate the single-researcher concurrency is feasible.</w:t>
      </w:r>
    </w:p>
    <w:p>
      <w:pPr>
        <w:pStyle w:val="CommentText"/>
      </w:pPr>
    </w:p>
    <w:p>
      <w:pPr>
        <w:pStyle w:val="CommentText"/>
      </w:pPr>
      <w:r>
        <w:t>Resolution note: Resolved in draft (table half): a month-by-month task-loading table at the WP1/WP3/WP4 overlap is inserted after this paragraph, derived strictly from phase4 gantt.json task month-assignments — derived from Tier 4, no new fact. No per-month person-month split is asserted: gantt.json carries no per-task effort, so a per-month PM allocation would be an invented fact (§13.3); the table shows concurrent task activity, cross-referenced to the aggregate per-WP person-months already stated in 3.1.</w:t>
      </w:r>
    </w:p>
    <w:p>
      <w:pPr>
        <w:pStyle w:val="CommentText"/>
      </w:pPr>
    </w:p>
    <w:p>
      <w:pPr>
        <w:pStyle w:val="CommentText"/>
      </w:pPr>
      <w:r>
        <w:t>Question: Confirm the in-kind offload framing at the M4–M14 peak: do the partners' stated in-kind contributions (host supervisor 2.5 PM, ELTE co-supervisor 2.0 PM, AgroVIR 3.0 PM, MATE 2.4 PM, КРУМАТИК ЕООД 1.5 PM — all operator-declared pending written confirmation) offload the fellow at the WP1/WP3/WP4 overlap, and may the prose say so?</w:t>
      </w:r>
    </w:p>
    <w:p>
      <w:pPr>
        <w:pStyle w:val="CommentText"/>
      </w:pPr>
    </w:p>
    <w:p>
      <w:pPr>
        <w:pStyle w:val="CommentText"/>
      </w:pPr>
      <w:r>
        <w:t>Fallback: The task-loading table stands as a Tier 4 derivation; the offload framing stays an operator-declared commitment pending each partner's written confirmation, exactly as 3.1 already states.</w:t>
      </w:r>
    </w:p>
    <w:p>
      <w:pPr>
        <w:pStyle w:val="CommentText"/>
      </w:pPr>
    </w:p>
    <w:p>
      <w:pPr>
        <w:pStyle w:val="CommentText"/>
      </w:pPr>
      <w:r>
        <w:t>Owner of the answer: draft + partners confirm</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