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before="120" w:line="240"/>
      </w:pPr>
      <w:r>
        <w:rPr>
          <w:rFonts w:ascii="Times New Roman" w:cs="Times New Roman" w:eastAsia="Times New Roman" w:hAnsi="Times New Roman"/>
          <w:b/>
          <w:bCs/>
          <w:sz w:val="24"/>
          <w:szCs w:val="24"/>
        </w:rPr>
        <w:t xml:space="preserve">3. Quality and Efficiency of the Implementation</w:t>
      </w:r>
    </w:p>
    <w:p>
      <w:pPr>
        <w:keepNext/>
        <w:spacing w:after="60" w:before="120" w:line="240"/>
      </w:pPr>
      <w:r>
        <w:rPr>
          <w:rFonts w:ascii="Times New Roman" w:cs="Times New Roman" w:eastAsia="Times New Roman" w:hAnsi="Times New Roman"/>
          <w:b/>
          <w:bCs/>
          <w:sz w:val="22"/>
          <w:szCs w:val="22"/>
        </w:rPr>
        <w:t xml:space="preserve">3.1 Quality and effectiveness of the work plan, assessment of risks and appropriateness of the effort assigned to work packages</w:t>
      </w:r>
    </w:p>
    <w:p>
      <w:pPr>
        <w:spacing w:after="60" w:before="0" w:line="240"/>
        <w:jc w:val="both"/>
      </w:pPr>
      <w:r>
        <w:rPr>
          <w:rFonts w:ascii="Times New Roman" w:cs="Times New Roman" w:eastAsia="Times New Roman" w:hAnsi="Times New Roman"/>
          <w:sz w:val="22"/>
          <w:szCs w:val="22"/>
        </w:rPr>
        <w:t xml:space="preserve">The fellow leads the scientific work at the sole beneficiary, HUN-REN ATK (ATK), over 24 months, followed by the AgroVIR placement (M25–M30). Five WPs connect a frozen historical-data model, two prospective processing-tomato seasons, evidence-limited software translation and career development. ELTE secondment blocks are M1–M3, M10–M12 and M16–M21 (12 months) and are locations of work within the allocated effort. Tasks are units of work that produce evidence, deliverables record that evidence and milestones make decisions, so one task may feed several deliverables. Table 1 assigns each task its months, lead, named deliverable and completion indicator (K); Table 2 gives the decision milestones and Table 3 the main risks. Effort is fellow person-months (PM): WP1 5.0, WP2 9.0, WP3 6.0, WP4 5.4, WP5 4.6 (30.0 in total: 24.0 in M1–M24 and 6.0 in M25–M30). Training embedded in scientific tasks is counted once; supervisor, partner and contracted engineering contributions are additional.</w:t>
      </w:r>
    </w:p>
    <w:p>
      <w:pPr>
        <w:keepNext/>
        <w:spacing w:after="40" w:before="60"/>
        <w:jc w:val="left"/>
      </w:pPr>
      <w:r>
        <w:rPr>
          <w:rFonts w:ascii="Times New Roman" w:cs="Times New Roman" w:eastAsia="Times New Roman" w:hAnsi="Times New Roman"/>
          <w:b/>
          <w:bCs/>
          <w:i w:val="false"/>
          <w:iCs w:val="false"/>
          <w:sz w:val="22"/>
          <w:szCs w:val="22"/>
        </w:rPr>
        <w:t xml:space="preserve">Table 1. Work packages, tasks, deliverables and leads.</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704"/>
        <w:gridCol w:w="3000"/>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WP</w:t>
            </w:r>
          </w:p>
        </w:tc>
        <w:tc>
          <w:tcPr>
            <w:tcW w:type="dxa" w:w="5704"/>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Task (months). Lead</w:t>
            </w:r>
          </w:p>
        </w:tc>
        <w:tc>
          <w:tcPr>
            <w:tcW w:type="dxa" w:w="3000"/>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Deliverable (due); indicator</w:t>
            </w:r>
          </w:p>
        </w:tc>
      </w:tr>
      <w:tr>
        <w:trPr>
          <w:cantSplit/>
          <w:tblHeader w:val="false"/>
        </w:trPr>
        <w:tc>
          <w:tcPr>
            <w:tcW w:type="dxa" w:w="1500"/>
            <w:vMerge w:val="restart"/>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WP1 Data, stress reference and frozen model</w:t>
            </w:r>
          </w:p>
          <w:p>
            <w:pPr>
              <w:spacing w:after="0" w:before="0" w:line="240"/>
              <w:jc w:val="left"/>
            </w:pPr>
            <w:r>
              <w:rPr>
                <w:rFonts w:ascii="Times New Roman" w:cs="Times New Roman" w:eastAsia="Times New Roman" w:hAnsi="Times New Roman"/>
                <w:sz w:val="22"/>
                <w:szCs w:val="22"/>
              </w:rPr>
              <w:t xml:space="preserve">M1–M21</w:t>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T1.1 – </w:t>
            </w:r>
            <w:r>
              <w:rPr>
                <w:rFonts w:ascii="Times New Roman" w:cs="Times New Roman" w:eastAsia="Times New Roman" w:hAnsi="Times New Roman"/>
                <w:sz w:val="22"/>
                <w:szCs w:val="22"/>
              </w:rPr>
              <w:t xml:space="preserve">Audit and harmonise the 2022–2026 MATE archive (units, provenance, biological identifiers, missingness, coverage); document permitted reuse (M1–M2).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MATE.</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D1.1</w:t>
            </w:r>
            <w:r>
              <w:rPr>
                <w:rFonts w:ascii="Times New Roman" w:cs="Times New Roman" w:eastAsia="Times New Roman" w:hAnsi="Times New Roman"/>
                <w:sz w:val="22"/>
                <w:szCs w:val="22"/>
              </w:rPr>
              <w:t xml:space="preserve"> Harmonised archive, QC record and predictor-availability map (M2; K1)</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T1.2 – </w:t>
            </w:r>
            <w:r>
              <w:rPr>
                <w:rFonts w:ascii="Times New Roman" w:cs="Times New Roman" w:eastAsia="Times New Roman" w:hAnsi="Times New Roman"/>
                <w:sz w:val="22"/>
                <w:szCs w:val="22"/>
              </w:rPr>
              <w:t xml:space="preserve">Define the physiological reference, Sentinel-compatible predictors and spectral conversion; lock sampling units, blocked folds, metrics, thresholds and recalibration rules before fitting (M1–M3).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Janda, ELTE.</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D1.2</w:t>
            </w:r>
            <w:r>
              <w:rPr>
                <w:rFonts w:ascii="Times New Roman" w:cs="Times New Roman" w:eastAsia="Times New Roman" w:hAnsi="Times New Roman"/>
                <w:sz w:val="22"/>
                <w:szCs w:val="22"/>
              </w:rPr>
              <w:t xml:space="preserve"> Locked stress-reference, predictor and validation protocol (M3; K2)</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T1.3 – </w:t>
            </w:r>
            <w:r>
              <w:rPr>
                <w:rFonts w:ascii="Times New Roman" w:cs="Times New Roman" w:eastAsia="Times New Roman" w:hAnsi="Times New Roman"/>
                <w:sz w:val="22"/>
                <w:szCs w:val="22"/>
              </w:rPr>
              <w:t xml:space="preserve">Build the pipeline; after the T1.2 lock, fit and benchmark the parsimonious probabilistic model (preprocessing inside training folds); freeze code, parameters and model card (M2–M3).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Hollós.</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D1.4</w:t>
            </w:r>
            <w:r>
              <w:rPr>
                <w:rFonts w:ascii="Times New Roman" w:cs="Times New Roman" w:eastAsia="Times New Roman" w:hAnsi="Times New Roman"/>
                <w:sz w:val="22"/>
                <w:szCs w:val="22"/>
              </w:rPr>
              <w:t xml:space="preserve"> Frozen model, benchmark, reproducible pipeline and model card (M3; K3)</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T1.4 – </w:t>
            </w:r>
            <w:r>
              <w:rPr>
                <w:rFonts w:ascii="Times New Roman" w:cs="Times New Roman" w:eastAsia="Times New Roman" w:hAnsi="Times New Roman"/>
                <w:sz w:val="22"/>
                <w:szCs w:val="22"/>
              </w:rPr>
              <w:t xml:space="preserve">Use WP2 diagnostics to explain sensing-scale and environmental transfer loss and define crop-specific recalibration gates, separate from the unchanged primary model (M10–M12; M16–M21).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ELTE (Jung).</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D1.5</w:t>
            </w:r>
            <w:r>
              <w:rPr>
                <w:rFonts w:ascii="Times New Roman" w:cs="Times New Roman" w:eastAsia="Times New Roman" w:hAnsi="Times New Roman"/>
                <w:sz w:val="22"/>
                <w:szCs w:val="22"/>
              </w:rPr>
              <w:t xml:space="preserve"> Sensing-scale and crop-transfer specification (M21; K4)</w:t>
            </w:r>
          </w:p>
        </w:tc>
      </w:tr>
      <w:tr>
        <w:trPr>
          <w:cantSplit/>
          <w:tblHeader w:val="false"/>
        </w:trPr>
        <w:tc>
          <w:tcPr>
            <w:tcW w:type="dxa" w:w="1500"/>
            <w:vMerge w:val="restart"/>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WP2 Two-season prospective field validation</w:t>
            </w:r>
          </w:p>
          <w:p>
            <w:pPr>
              <w:spacing w:after="0" w:before="0" w:line="240"/>
              <w:jc w:val="left"/>
            </w:pPr>
            <w:r>
              <w:rPr>
                <w:rFonts w:ascii="Times New Roman" w:cs="Times New Roman" w:eastAsia="Times New Roman" w:hAnsi="Times New Roman"/>
                <w:sz w:val="22"/>
                <w:szCs w:val="22"/>
              </w:rPr>
              <w:t xml:space="preserve">M1–M21</w:t>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T2.1 – </w:t>
            </w:r>
            <w:r>
              <w:rPr>
                <w:rFonts w:ascii="Times New Roman" w:cs="Times New Roman" w:eastAsia="Times New Roman" w:hAnsi="Times New Roman"/>
                <w:sz w:val="22"/>
                <w:szCs w:val="22"/>
              </w:rPr>
              <w:t xml:space="preserve">Agree primary/backup field access, irrigation contrasts, replication and valid interior-pixel geometry; align the start with two seasons; install and test soil-water and weather sensors (M1–M4).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producer, MATE, ELTE.</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
            </w:r>
            <w:r>
              <w:rPr>
                <w:rFonts w:ascii="Times New Roman" w:cs="Times New Roman" w:eastAsia="Times New Roman" w:hAnsi="Times New Roman"/>
                <w:sz w:val="22"/>
                <w:szCs w:val="22"/>
              </w:rPr>
              <w:t xml:space="preserve">Field design and launch record feeding D1.2 and D2.1; MS1 evidence (M3).</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T2.2 – </w:t>
            </w:r>
            <w:r>
              <w:rPr>
                <w:rFonts w:ascii="Times New Roman" w:cs="Times New Roman" w:eastAsia="Times New Roman" w:hAnsi="Times New Roman"/>
                <w:sz w:val="22"/>
                <w:szCs w:val="22"/>
              </w:rPr>
              <w:t xml:space="preserve">Season 1: time-align Sentinel-2, soil, weather and independent physiology; archive dated frozen-model predictions, irrigation, yield and quality records; QC and exclusion log (M4–M12).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producer, ELTE.</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D2.1</w:t>
            </w:r>
            <w:r>
              <w:rPr>
                <w:rFonts w:ascii="Times New Roman" w:cs="Times New Roman" w:eastAsia="Times New Roman" w:hAnsi="Times New Roman"/>
                <w:sz w:val="22"/>
                <w:szCs w:val="22"/>
              </w:rPr>
              <w:t xml:space="preserve"> interim season-1 dataset and QC log (M12); MS2 evidence.</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T2.3 – </w:t>
            </w:r>
            <w:r>
              <w:rPr>
                <w:rFonts w:ascii="Times New Roman" w:cs="Times New Roman" w:eastAsia="Times New Roman" w:hAnsi="Times New Roman"/>
                <w:sz w:val="22"/>
                <w:szCs w:val="22"/>
              </w:rPr>
              <w:t xml:space="preserve">Season 2 with the same model and protocol; document weather, acquisition gaps and deviations; lock the combined dataset. UAV/proximal data are supplementary (M13–M20).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producer, ELTE.</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D2.1</w:t>
            </w:r>
            <w:r>
              <w:rPr>
                <w:rFonts w:ascii="Times New Roman" w:cs="Times New Roman" w:eastAsia="Times New Roman" w:hAnsi="Times New Roman"/>
                <w:sz w:val="22"/>
                <w:szCs w:val="22"/>
              </w:rPr>
              <w:t xml:space="preserve"> Two-season prospective dataset, prediction log and QC/metadata record (M20; K5)</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T2.4 – </w:t>
            </w:r>
            <w:r>
              <w:rPr>
                <w:rFonts w:ascii="Times New Roman" w:cs="Times New Roman" w:eastAsia="Times New Roman" w:hAnsi="Times New Roman"/>
                <w:sz w:val="22"/>
                <w:szCs w:val="22"/>
              </w:rPr>
              <w:t xml:space="preserve">Report unadjusted performance and transfer gap first, with uncertainty and season-level results; then evaluate labelled, prespecified recalibration on independent data (M20–M21).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Hollós, Jung.</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D2.2</w:t>
            </w:r>
            <w:r>
              <w:rPr>
                <w:rFonts w:ascii="Times New Roman" w:cs="Times New Roman" w:eastAsia="Times New Roman" w:hAnsi="Times New Roman"/>
                <w:sz w:val="22"/>
                <w:szCs w:val="22"/>
              </w:rPr>
              <w:t xml:space="preserve"> Transferability, calibration, uncertainty and operational-performance report (M21; K6)</w:t>
            </w:r>
          </w:p>
        </w:tc>
      </w:tr>
      <w:tr>
        <w:trPr>
          <w:cantSplit/>
          <w:tblHeader w:val="false"/>
        </w:trPr>
        <w:tc>
          <w:tcPr>
            <w:tcW w:type="dxa" w:w="1500"/>
            <w:vMerge w:val="restart"/>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WP3 DrR web MVP and placement readiness</w:t>
            </w:r>
          </w:p>
          <w:p>
            <w:pPr>
              <w:spacing w:after="0" w:before="0" w:line="240"/>
              <w:jc w:val="left"/>
            </w:pPr>
            <w:r>
              <w:rPr>
                <w:rFonts w:ascii="Times New Roman" w:cs="Times New Roman" w:eastAsia="Times New Roman" w:hAnsi="Times New Roman"/>
                <w:sz w:val="22"/>
                <w:szCs w:val="22"/>
              </w:rPr>
              <w:t xml:space="preserve">M1–M24</w:t>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T3.1 – </w:t>
            </w:r>
            <w:r>
              <w:rPr>
                <w:rFonts w:ascii="Times New Roman" w:cs="Times New Roman" w:eastAsia="Times New Roman" w:hAnsi="Times New Roman"/>
                <w:sz w:val="22"/>
                <w:szCs w:val="22"/>
              </w:rPr>
              <w:t xml:space="preserve">Inventory DrR background and data/code rights; agree workflows, interfaces, source-code delivery, acceptance tests and engineering scope (M1–M3).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Krumatic, AgroVIR.</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
            </w:r>
            <w:r>
              <w:rPr>
                <w:rFonts w:ascii="Times New Roman" w:cs="Times New Roman" w:eastAsia="Times New Roman" w:hAnsi="Times New Roman"/>
                <w:sz w:val="22"/>
                <w:szCs w:val="22"/>
              </w:rPr>
              <w:t xml:space="preserve">Rights inventory and acceptance-test specification (M3), input to D3.2.</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T3.2 – </w:t>
            </w:r>
            <w:r>
              <w:rPr>
                <w:rFonts w:ascii="Times New Roman" w:cs="Times New Roman" w:eastAsia="Times New Roman" w:hAnsi="Times New Roman"/>
                <w:sz w:val="22"/>
                <w:szCs w:val="22"/>
              </w:rPr>
              <w:t xml:space="preserve">Implement web shell, ingestion, provenance and uncertainty display from the fixed predictor specification; test data and research-only functions only (M4–M20).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Krumatic; fellow.</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
            </w:r>
            <w:r>
              <w:rPr>
                <w:rFonts w:ascii="Times New Roman" w:cs="Times New Roman" w:eastAsia="Times New Roman" w:hAnsi="Times New Roman"/>
                <w:sz w:val="22"/>
                <w:szCs w:val="22"/>
              </w:rPr>
              <w:t xml:space="preserve">Development builds of D3.1, reviewed monthly against the agreed scope.</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T3.3 – </w:t>
            </w:r>
            <w:r>
              <w:rPr>
                <w:rFonts w:ascii="Times New Roman" w:cs="Times New Roman" w:eastAsia="Times New Roman" w:hAnsi="Times New Roman"/>
                <w:sz w:val="22"/>
                <w:szCs w:val="22"/>
              </w:rPr>
              <w:t xml:space="preserve">Integrate only MS3-supported functions; test numerical agreement with the frozen pipeline, invalid/stale/out-of-domain inputs and traceability; suppress unsupported advice (M21–M24).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Krumatic.</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D3.1</w:t>
            </w:r>
            <w:r>
              <w:rPr>
                <w:rFonts w:ascii="Times New Roman" w:cs="Times New Roman" w:eastAsia="Times New Roman" w:hAnsi="Times New Roman"/>
                <w:sz w:val="22"/>
                <w:szCs w:val="22"/>
              </w:rPr>
              <w:t xml:space="preserve"> Versioned DrR web MVP with documented use limits (M24; K7)</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T3.4 – </w:t>
            </w:r>
            <w:r>
              <w:rPr>
                <w:rFonts w:ascii="Times New Roman" w:cs="Times New Roman" w:eastAsia="Times New Roman" w:hAnsi="Times New Roman"/>
                <w:sz w:val="22"/>
                <w:szCs w:val="22"/>
              </w:rPr>
              <w:t xml:space="preserve">Package release, source access, user guidance, evidence limits, test record and placement evaluation protocol; joint readiness review (M22–M24).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AgroVIR.</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D3.2</w:t>
            </w:r>
            <w:r>
              <w:rPr>
                <w:rFonts w:ascii="Times New Roman" w:cs="Times New Roman" w:eastAsia="Times New Roman" w:hAnsi="Times New Roman"/>
                <w:sz w:val="22"/>
                <w:szCs w:val="22"/>
              </w:rPr>
              <w:t xml:space="preserve"> Pre-placement readiness dossier and acceptance-test evidence (M24; K8)</w:t>
            </w:r>
          </w:p>
        </w:tc>
      </w:tr>
      <w:tr>
        <w:trPr>
          <w:cantSplit/>
          <w:tblHeader w:val="false"/>
        </w:trPr>
        <w:tc>
          <w:tcPr>
            <w:tcW w:type="dxa" w:w="1500"/>
            <w:vMerge w:val="restart"/>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WP4 AgroVIR non-academic placement</w:t>
            </w:r>
          </w:p>
          <w:p>
            <w:pPr>
              <w:spacing w:after="0" w:before="0" w:line="240"/>
              <w:jc w:val="left"/>
            </w:pPr>
            <w:r>
              <w:rPr>
                <w:rFonts w:ascii="Times New Roman" w:cs="Times New Roman" w:eastAsia="Times New Roman" w:hAnsi="Times New Roman"/>
                <w:sz w:val="22"/>
                <w:szCs w:val="22"/>
              </w:rPr>
              <w:t xml:space="preserve">M25–M30</w:t>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T4.1 – </w:t>
            </w:r>
            <w:r>
              <w:rPr>
                <w:rFonts w:ascii="Times New Roman" w:cs="Times New Roman" w:eastAsia="Times New Roman" w:hAnsi="Times New Roman"/>
                <w:sz w:val="22"/>
                <w:szCs w:val="22"/>
              </w:rPr>
              <w:t xml:space="preserve">Evaluate input-data requirements, output consistency, missing/out-of-domain behaviour, usability, interoperability and decision relevance using approved test/coded data and consented feedback (M25–M27).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AgroVIR.</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
            </w:r>
            <w:r>
              <w:rPr>
                <w:rFonts w:ascii="Times New Roman" w:cs="Times New Roman" w:eastAsia="Times New Roman" w:hAnsi="Times New Roman"/>
                <w:sz w:val="22"/>
                <w:szCs w:val="22"/>
              </w:rPr>
              <w:t xml:space="preserve">Midpoint assessment record (M27); MS5 evidence; first part of D4.1.</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T4.2 – </w:t>
            </w:r>
            <w:r>
              <w:rPr>
                <w:rFonts w:ascii="Times New Roman" w:cs="Times New Roman" w:eastAsia="Times New Roman" w:hAnsi="Times New Roman"/>
                <w:sz w:val="22"/>
                <w:szCs w:val="22"/>
              </w:rPr>
              <w:t xml:space="preserve">Retest prioritised issues, document residual limitations and compile AgroVIR’s external assessment; gate-failed functions stay outside operational use (M28–M30).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AgroVIR.</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D4.1</w:t>
            </w:r>
            <w:r>
              <w:rPr>
                <w:rFonts w:ascii="Times New Roman" w:cs="Times New Roman" w:eastAsia="Times New Roman" w:hAnsi="Times New Roman"/>
                <w:sz w:val="22"/>
                <w:szCs w:val="22"/>
              </w:rPr>
              <w:t xml:space="preserve"> AgroVIR operational and interoperability assessment (M30; K9)</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T4.3 – </w:t>
            </w:r>
            <w:r>
              <w:rPr>
                <w:rFonts w:ascii="Times New Roman" w:cs="Times New Roman" w:eastAsia="Times New Roman" w:hAnsi="Times New Roman"/>
                <w:sz w:val="22"/>
                <w:szCs w:val="22"/>
              </w:rPr>
              <w:t xml:space="preserve">Define post-MSCA integration, licensing/venture and replication steps with owners, permissions, dependencies, resources and gates; MVCRI crop extension is post-project (M27–M30).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AgroVIR, ATK.</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D4.2</w:t>
            </w:r>
            <w:r>
              <w:rPr>
                <w:rFonts w:ascii="Times New Roman" w:cs="Times New Roman" w:eastAsia="Times New Roman" w:hAnsi="Times New Roman"/>
                <w:sz w:val="22"/>
                <w:szCs w:val="22"/>
              </w:rPr>
              <w:t xml:space="preserve"> Post-MSCA FMIS-integration and exploitation roadmap (M30; K10)</w:t>
            </w:r>
          </w:p>
        </w:tc>
      </w:tr>
      <w:tr>
        <w:trPr>
          <w:cantSplit/>
          <w:tblHeader w:val="false"/>
        </w:trPr>
        <w:tc>
          <w:tcPr>
            <w:tcW w:type="dxa" w:w="1500"/>
            <w:vMerge w:val="restart"/>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WP5 Training, open science, dissemination, management</w:t>
            </w:r>
          </w:p>
          <w:p>
            <w:pPr>
              <w:spacing w:after="0" w:before="0" w:line="240"/>
              <w:jc w:val="left"/>
            </w:pPr>
            <w:r>
              <w:rPr>
                <w:rFonts w:ascii="Times New Roman" w:cs="Times New Roman" w:eastAsia="Times New Roman" w:hAnsi="Times New Roman"/>
                <w:sz w:val="22"/>
                <w:szCs w:val="22"/>
              </w:rPr>
              <w:t xml:space="preserve">M1–M30</w:t>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T5.1 – </w:t>
            </w:r>
            <w:r>
              <w:rPr>
                <w:rFonts w:ascii="Times New Roman" w:cs="Times New Roman" w:eastAsia="Times New Roman" w:hAnsi="Times New Roman"/>
                <w:sz w:val="22"/>
                <w:szCs w:val="22"/>
              </w:rPr>
              <w:t xml:space="preserve">Agree the CDP by M3; evidence physiology, modelling, EO-transfer and research-to-software competences plus transferable skills and teaching; quarterly reviews; record the 12 ELTE secondment months (M1–M30).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Janda, ELTE supervisor.</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D5.1</w:t>
            </w:r>
            <w:r>
              <w:rPr>
                <w:rFonts w:ascii="Times New Roman" w:cs="Times New Roman" w:eastAsia="Times New Roman" w:hAnsi="Times New Roman"/>
                <w:sz w:val="22"/>
                <w:szCs w:val="22"/>
              </w:rPr>
              <w:t xml:space="preserve"> Career Development Plan (M3; K11), reviewed quarterly</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T5.2 – </w:t>
            </w:r>
            <w:r>
              <w:rPr>
                <w:rFonts w:ascii="Times New Roman" w:cs="Times New Roman" w:eastAsia="Times New Roman" w:hAnsi="Times New Roman"/>
                <w:sz w:val="22"/>
                <w:szCs w:val="22"/>
              </w:rPr>
              <w:t xml:space="preserve">Apply access, metadata, storage, consent and retention rules from M1; DMP by M6, updated after validation and at closure; release permissible assets with persistent identifiers (M1–M30).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ATK research management.</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D5.2</w:t>
            </w:r>
            <w:r>
              <w:rPr>
                <w:rFonts w:ascii="Times New Roman" w:cs="Times New Roman" w:eastAsia="Times New Roman" w:hAnsi="Times New Roman"/>
                <w:sz w:val="22"/>
                <w:szCs w:val="22"/>
              </w:rPr>
              <w:t xml:space="preserve"> Data Management Plan (M6; updates M21, M30; K12)</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T5.3 – </w:t>
            </w:r>
            <w:r>
              <w:rPr>
                <w:rFonts w:ascii="Times New Roman" w:cs="Times New Roman" w:eastAsia="Times New Roman" w:hAnsi="Times New Roman"/>
                <w:sz w:val="22"/>
                <w:szCs w:val="22"/>
              </w:rPr>
              <w:t xml:space="preserve">Dissemination, communication and exploitation strategy from M1 (documented M3, updated M24); manuscripts, conferences, practitioner engagement; result/IP inventory (M1–M30).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ATK technology transfer.</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D5.3</w:t>
            </w:r>
            <w:r>
              <w:rPr>
                <w:rFonts w:ascii="Times New Roman" w:cs="Times New Roman" w:eastAsia="Times New Roman" w:hAnsi="Times New Roman"/>
                <w:sz w:val="22"/>
                <w:szCs w:val="22"/>
              </w:rPr>
              <w:t xml:space="preserve"> Final dissemination/exploitation plan (M30; K13, K14)</w:t>
            </w:r>
          </w:p>
        </w:tc>
      </w:tr>
      <w:tr>
        <w:trPr>
          <w:cantSplit/>
          <w:tblHeader w:val="false"/>
        </w:trPr>
        <w:tc>
          <w:tcPr>
            <w:tcW w:type="dxa" w:w="1500"/>
            <w:vMerge w:val="continue"/>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
            </w:r>
          </w:p>
        </w:tc>
        <w:tc>
          <w:tcPr>
            <w:tcW w:type="dxa" w:w="57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T5.4 – </w:t>
            </w:r>
            <w:r>
              <w:rPr>
                <w:rFonts w:ascii="Times New Roman" w:cs="Times New Roman" w:eastAsia="Times New Roman" w:hAnsi="Times New Roman"/>
                <w:sz w:val="22"/>
                <w:szCs w:val="22"/>
              </w:rPr>
              <w:t xml:space="preserve">Monthly progress/risk records, gate reviews, agreements and reporting; mobility declaration within 20 days of start; end-of-training questionnaire and two-year follow-up (M1–M30). </w:t>
            </w:r>
            <w:r>
              <w:rPr>
                <w:rFonts w:ascii="Times New Roman" w:cs="Times New Roman" w:eastAsia="Times New Roman" w:hAnsi="Times New Roman"/>
                <w:b/>
                <w:bCs/>
                <w:i w:val="false"/>
                <w:iCs w:val="false"/>
                <w:sz w:val="22"/>
                <w:szCs w:val="22"/>
              </w:rPr>
              <w:t xml:space="preserve">Lead: </w:t>
            </w:r>
            <w:r>
              <w:rPr>
                <w:rFonts w:ascii="Times New Roman" w:cs="Times New Roman" w:eastAsia="Times New Roman" w:hAnsi="Times New Roman"/>
                <w:sz w:val="22"/>
                <w:szCs w:val="22"/>
              </w:rPr>
              <w:t xml:space="preserve">Fellow; ATK administration.</w:t>
            </w:r>
          </w:p>
        </w:tc>
        <w:tc>
          <w:tcPr>
            <w:tcW w:type="dxa" w:w="3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
            </w:r>
            <w:r>
              <w:rPr>
                <w:rFonts w:ascii="Times New Roman" w:cs="Times New Roman" w:eastAsia="Times New Roman" w:hAnsi="Times New Roman"/>
                <w:sz w:val="22"/>
                <w:szCs w:val="22"/>
              </w:rPr>
              <w:t xml:space="preserve">Management records and required administrative submissions.</w:t>
            </w:r>
          </w:p>
        </w:tc>
      </w:tr>
    </w:tbl>
    <w:p>
      <w:pPr>
        <w:spacing w:after="60" w:before="60"/>
        <w:jc w:val="both"/>
      </w:pPr>
      <w:r>
        <w:rPr>
          <w:rFonts w:ascii="Times New Roman" w:cs="Times New Roman" w:eastAsia="Times New Roman" w:hAnsi="Times New Roman"/>
          <w:b/>
          <w:bCs/>
          <w:i w:val="false"/>
          <w:iCs w:val="false"/>
          <w:sz w:val="22"/>
          <w:szCs w:val="22"/>
        </w:rPr>
        <w:t xml:space="preserve">Completion indicators. </w:t>
      </w:r>
      <w:r>
        <w:rPr>
          <w:rFonts w:ascii="Times New Roman" w:cs="Times New Roman" w:eastAsia="Times New Roman" w:hAnsi="Times New Roman"/>
          <w:sz w:val="22"/>
          <w:szCs w:val="22"/>
        </w:rPr>
        <w:t xml:space="preserve">K1 (M2): five seasons audited; every retained variable has provenance, units, availability and a QC disposition. K2 (M3): one timestamped protocol locked before fitting and before prospective outcome access. K3 (M3): one versioned primary model and one benchmark; leakage-free held-out years; a clean rerun reproduces the archived outputs. K4 (M21): reusable, scale-specific and crop-specific components and revalidation gates distinguished; no additional crop presented as validated. K5 (M20): 100% of scheduled observation opportunities accounted for as valid, missing or excluded; valid coverage and effective biological sample size reported. K6 (M21): balanced accuracy, F1, ROC-AUC, reliability, Brier score, false-alarm rate and lead time by season and pooled, with uncertainty; transfer gap quantified before recalibration. K7 (M24): 100% of agreed critical consistency and input-failure tests pass; zero unresolved critical defects. K8 (M24): dossier covers source access, rights, tests, guidance and use limits; AgroVIR confirms scope. K9 (M30): six dimensions evaluated; every prioritised issue has a disposition and residual risk. K10 (M30): roadmap states owners, IP/access, dependencies, resources and decision gates; no uptake promised. K11: CDP reviewed quarterly; four technical strands and transferable skills evidenced; 12 secondment months recorded. K12: 100% of released assets have metadata, an access decision and a persistent reference. K13 (M30): ≥2 manuscripts submitted, ≥2 conference presentations, ≥1 end-user workshop. K14 (M30): each result family has audience, route, owner, timing and indicators.</w:t>
      </w:r>
    </w:p>
    <w:p>
      <w:pPr>
        <w:keepNext/>
        <w:spacing w:after="40" w:before="100"/>
        <w:jc w:val="left"/>
      </w:pPr>
      <w:r>
        <w:rPr>
          <w:rFonts w:ascii="Times New Roman" w:cs="Times New Roman" w:eastAsia="Times New Roman" w:hAnsi="Times New Roman"/>
          <w:b/>
          <w:bCs/>
          <w:i w:val="false"/>
          <w:iCs w:val="false"/>
          <w:sz w:val="22"/>
          <w:szCs w:val="22"/>
        </w:rPr>
        <w:t xml:space="preserve">Table 2. Decision milestones.</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6700"/>
        <w:gridCol w:w="2404"/>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 (month)</w:t>
            </w:r>
          </w:p>
        </w:tc>
        <w:tc>
          <w:tcPr>
            <w:tcW w:type="dxa" w:w="6700"/>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Decision and acceptance evidence</w:t>
            </w:r>
          </w:p>
        </w:tc>
        <w:tc>
          <w:tcPr>
            <w:tcW w:type="dxa" w:w="2404"/>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Approvers</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MS1 (M3)</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Protocol locked before fitting; primary pipeline and model frozen before any prospective outcome access; field launch plan and CDP agreed (D1.2, D1.4, D5.1).</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ATK; ELTE/MATE input</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MS2 (M12)</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Season-1 observations and exclusions QC-reviewed; acquisition and field logistics adjusted if needed without changing the primary model or estimand.</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ATK; ELTE/MATE input</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MS3 (M21)</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Two-season primary performance and transfer gap reported; D1.5, D2.1 and D2.2 accepted; permitted MVP functions and limitations decided.</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ATK; ELTE input</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MS4 (M24)</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MVP and readiness dossier pass agreed critical tests within the permitted scope (D3.1, D3.2); placement evaluation scope confirmed.</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ATK; AgroVIR; Krumatic tests</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MS5 (M27)</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Six-dimension midpoint assessment completed; correction priorities and remaining evidence needs agreed.</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AgroVIR</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MS6 (M30)</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External assessment, integration roadmap and final dissemination/exploitation plan completed (D4.1, D4.2, D5.3); remaining limitations and owners recorded.</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ATK + AgroVIR</w:t>
            </w:r>
          </w:p>
        </w:tc>
      </w:tr>
    </w:tbl>
    <w:p>
      <w:pPr>
        <w:spacing w:after="60" w:before="100"/>
        <w:jc w:val="both"/>
      </w:pPr>
      <w:r>
        <w:rPr>
          <w:rFonts w:ascii="Times New Roman" w:cs="Times New Roman" w:eastAsia="Times New Roman" w:hAnsi="Times New Roman"/>
          <w:b/>
          <w:bCs/>
          <w:i w:val="false"/>
          <w:iCs w:val="false"/>
          <w:sz w:val="22"/>
          <w:szCs w:val="22"/>
        </w:rPr>
        <w:t xml:space="preserve">Dependencies and critical path. </w:t>
      </w:r>
      <w:r>
        <w:rPr>
          <w:rFonts w:ascii="Times New Roman" w:cs="Times New Roman" w:eastAsia="Times New Roman" w:hAnsi="Times New Roman"/>
          <w:sz w:val="22"/>
          <w:szCs w:val="22"/>
        </w:rPr>
        <w:t xml:space="preserve">T1.1 feeds T1.2; the protocol lock precedes fitting in T1.3. The frozen model plus T2.1 readiness permit T2.2–T2.3, whose evidence supports T2.4 and T1.4; MS3 constrains T3.3 and MS4 permits WP4. T2.1 and T3.1 start in parallel with WP1; T5.1–T5.4 run across the action. Critical path: MS1 model freeze → WP2 prospective evidence → MS3 permitted functions → MS4 release → WP4 evaluation. The crop calendar must place MS1 before season 1 and the second harvest by M20; MS2 permits logistical corrections only. WP1 carries 1.8 PM before its M3 freeze, so archive readiness and a focused scope are essential.</w:t>
      </w:r>
    </w:p>
    <w:p>
      <w:pPr>
        <w:spacing w:after="60" w:before="0" w:line="240"/>
        <w:jc w:val="both"/>
      </w:pPr>
      <w:r>
        <w:rPr>
          <w:rFonts w:ascii="Times New Roman" w:cs="Times New Roman" w:eastAsia="Times New Roman" w:hAnsi="Times New Roman"/>
          <w:b/>
          <w:bCs/>
          <w:i w:val="false"/>
          <w:iCs w:val="false"/>
          <w:sz w:val="22"/>
          <w:szCs w:val="22"/>
        </w:rPr>
        <w:t xml:space="preserve">Risk control. </w:t>
      </w:r>
      <w:r>
        <w:rPr>
          <w:rFonts w:ascii="Times New Roman" w:cs="Times New Roman" w:eastAsia="Times New Roman" w:hAnsi="Times New Roman"/>
          <w:sz w:val="22"/>
          <w:szCs w:val="22"/>
        </w:rPr>
        <w:t xml:space="preserve">Monthly monitoring and gate reviews (T5.4) record triggers, owners and corrective decisions. Poor transfer is a reportable scientific result; it does not authorise unsupported advice.</w:t>
      </w:r>
    </w:p>
    <w:p>
      <w:pPr>
        <w:keepNext/>
        <w:spacing w:after="40" w:before="40"/>
        <w:jc w:val="left"/>
      </w:pPr>
      <w:r>
        <w:rPr>
          <w:rFonts w:ascii="Times New Roman" w:cs="Times New Roman" w:eastAsia="Times New Roman" w:hAnsi="Times New Roman"/>
          <w:b/>
          <w:bCs/>
          <w:i w:val="false"/>
          <w:iCs w:val="false"/>
          <w:sz w:val="22"/>
          <w:szCs w:val="22"/>
        </w:rPr>
        <w:t xml:space="preserve">Table 3. Risks, mitigation and owners (L/I: likelihood/impact).</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8754"/>
      </w:tblGrid>
      <w:tr>
        <w:trPr>
          <w:cantSplit/>
          <w:tblHeader/>
        </w:trPr>
        <w:tc>
          <w:tcPr>
            <w:tcW w:type="dxa" w:w="1450"/>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Risk | WP | L/I</w:t>
            </w:r>
          </w:p>
        </w:tc>
        <w:tc>
          <w:tcPr>
            <w:tcW w:type="dxa" w:w="8754"/>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Trigger response and responsible actors</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R1 | WP1 | M/H</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Archive/sample-size or M3-freeze failure: audit at M1–M2; narrow common predictors/reference before deployment; never use prospective outcomes to repair training. Owner: fellow/ATK.</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R2 | WP2 | M/H</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Field/calendar failure: agree access, replication, valid pixels and backup by M3; test sensors before observations; switch to a comparable site before the crop window; downgrade claims if two seasons fail. Owner: fellow/ATK/producer.</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R3 | WP2 | M/H</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Sensor failure or weak stress contrast: continuous QC, spares and manual checks; physiology verifies stress; report weak contrasts and missing metrics. Owner: fellow/ATK/producer.</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R4 | WP1–2 | H/H</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Clouds, mixed pixels or EO access: agree ELTE access and pixel rules; log gaps; UAV is supplementary; inadequate Sentinel coverage restricts satellite-transfer claims. Owner: fellow/ELTE.</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R5 | WP2–3 | M/H</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Poor transfer: report unchanged-model performance first; evaluate recalibration separately; limit MVP and placement to supported functions. Owner: fellow/ATK/AgroVIR.</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R6 | WP3–5 | M/M</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Engineering, IP or workload delay: agree scope and source rights before development; review releases monthly; protect campaigns and narrow non-critical features. Owner: fellow/ATK; Krumatic/AgroVIR.</w:t>
            </w:r>
          </w:p>
        </w:tc>
      </w:tr>
    </w:tbl>
    <w:p>
      <w:pPr>
        <w:spacing w:after="0" w:before="60"/>
        <w:jc w:val="center"/>
      </w:pPr>
      <w:r>
        <w:drawing>
          <wp:inline distT="0" distB="0" distL="0" distR="0">
            <wp:extent cx="5143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362200"/>
                    </a:xfrm>
                    <a:prstGeom prst="rect">
                      <a:avLst/>
                    </a:prstGeom>
                  </pic:spPr>
                </pic:pic>
              </a:graphicData>
            </a:graphic>
          </wp:inline>
        </w:drawing>
      </w:r>
    </w:p>
    <w:p>
      <w:pPr>
        <w:spacing w:after="0" w:before="40"/>
        <w:jc w:val="both"/>
      </w:pPr>
      <w:r>
        <w:rPr>
          <w:rFonts w:ascii="Times New Roman" w:cs="Times New Roman" w:eastAsia="Times New Roman" w:hAnsi="Times New Roman"/>
          <w:sz w:val="22"/>
          <w:szCs w:val="22"/>
        </w:rPr>
        <w:t xml:space="preserve">Gantt: bars show activity windows; diamonds numbered 1–6 denote MS1–MS6. Deliverable labels omit “D”; “3.1/2” means D3.1/D3.2, “4.1/2” means D4.1/D4.2 and “1.2/4” means D1.2/D1.4. T1.4 is post-freeze synthesis. Secondment and placement are shown explicitly; only elapsed months are used.</w:t>
      </w:r>
    </w:p>
    <w:sectPr>
      <w:pgSz w:w="11906" w:h="16838" w:orient="portrait"/>
      <w:pgMar w:top="851" w:right="851" w:bottom="851" w:left="851"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714bc213235c30159c68bb5d384d0c0c3ed7b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2026-09-06T19:57:25.868Z</dcterms:created>
  <dcterms:modified xsi:type="dcterms:W3CDTF">2026-09-06T19:57:25.868Z</dcterms:modified>
</cp:coreProperties>
</file>

<file path=docProps/custom.xml><?xml version="1.0" encoding="utf-8"?>
<Properties xmlns="http://schemas.openxmlformats.org/officeDocument/2006/custom-properties" xmlns:vt="http://schemas.openxmlformats.org/officeDocument/2006/docPropsVTypes"/>
</file>