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val="0"/>
          <w:caps/>
          <w:color w:val="5C6455"/>
          <w:sz w:val="15"/>
        </w:rPr>
        <w:t>HORIZON-MSCA-2026-PF-01 · MSCA Postdoctoral Fellowships 2026 · Part B — internal review copy</w:t>
      </w:r>
    </w:p>
    <w:p>
      <w:pPr>
        <w:spacing w:after="80"/>
      </w:pPr>
      <w:r>
        <w:rPr>
          <w:b w:val="0"/>
          <w:caps w:val="0"/>
          <w:sz w:val="68"/>
        </w:rPr>
        <w:t>FIELDWISE</w:t>
      </w:r>
    </w:p>
    <w:p>
      <w:pPr>
        <w:spacing w:after="280"/>
      </w:pPr>
      <w:r>
        <w:rPr>
          <w:b w:val="0"/>
          <w:caps w:val="0"/>
          <w:color w:val="5C6455"/>
          <w:sz w:val="23"/>
        </w:rPr>
        <w:t>Forecasting physiologically grounded crop water stress for irrigation decisions — from research fields in Hungary to commercial farms, and from Hungary to Bulgaria.</w:t>
      </w:r>
    </w:p>
    <w:tbl>
      <w:tblPr>
        <w:tblW w:type="auto" w:w="0"/>
        <w:tblLook w:firstColumn="1" w:firstRow="1" w:lastColumn="0" w:lastRow="0" w:noHBand="0" w:noVBand="1" w:val="04A0"/>
      </w:tblPr>
      <w:tblGrid>
        <w:gridCol w:w="4479"/>
        <w:gridCol w:w="4479"/>
      </w:tblGrid>
      <w:tr>
        <w:tc>
          <w:tcPr>
            <w:tcW w:type="dxa" w:w="2381"/>
          </w:tcPr>
          <w:p>
            <w:r/>
            <w:r>
              <w:rPr>
                <w:rFonts w:ascii="Segoe UI" w:hAnsi="Segoe UI"/>
                <w:b/>
                <w:caps/>
                <w:color w:val="5C6455"/>
                <w:sz w:val="15"/>
              </w:rPr>
              <w:t>Fellow</w:t>
            </w:r>
          </w:p>
        </w:tc>
        <w:tc>
          <w:tcPr>
            <w:tcW w:type="dxa" w:w="6576"/>
          </w:tcPr>
          <w:p>
            <w:r/>
            <w:r>
              <w:rPr>
                <w:sz w:val="19"/>
              </w:rPr>
              <w:t>Dr. Rositsa Cholakova</w:t>
            </w:r>
          </w:p>
        </w:tc>
      </w:tr>
      <w:tr>
        <w:tc>
          <w:tcPr>
            <w:tcW w:type="dxa" w:w="2381"/>
          </w:tcPr>
          <w:p>
            <w:r/>
            <w:r>
              <w:rPr>
                <w:rFonts w:ascii="Segoe UI" w:hAnsi="Segoe UI"/>
                <w:b/>
                <w:caps/>
                <w:color w:val="5C6455"/>
                <w:sz w:val="15"/>
              </w:rPr>
              <w:t>Host institution</w:t>
            </w:r>
          </w:p>
        </w:tc>
        <w:tc>
          <w:tcPr>
            <w:tcW w:type="dxa" w:w="6576"/>
          </w:tcPr>
          <w:p>
            <w:r/>
            <w:r>
              <w:rPr>
                <w:sz w:val="19"/>
              </w:rPr>
              <w:t>Eötvös Loránd University (ELTE)</w:t>
            </w:r>
          </w:p>
        </w:tc>
      </w:tr>
      <w:tr>
        <w:tc>
          <w:tcPr>
            <w:tcW w:type="dxa" w:w="2381"/>
          </w:tcPr>
          <w:p>
            <w:r/>
            <w:r>
              <w:rPr>
                <w:rFonts w:ascii="Segoe UI" w:hAnsi="Segoe UI"/>
                <w:b/>
                <w:caps/>
                <w:color w:val="5C6455"/>
                <w:sz w:val="15"/>
              </w:rPr>
              <w:t>Supervision</w:t>
            </w:r>
          </w:p>
        </w:tc>
        <w:tc>
          <w:tcPr>
            <w:tcW w:type="dxa" w:w="6576"/>
          </w:tcPr>
          <w:p>
            <w:r/>
            <w:r>
              <w:rPr>
                <w:sz w:val="19"/>
              </w:rPr>
              <w:t>Prof. András Jung · Dr. Roland Hollós</w:t>
            </w:r>
          </w:p>
        </w:tc>
      </w:tr>
      <w:tr>
        <w:tc>
          <w:tcPr>
            <w:tcW w:type="dxa" w:w="2381"/>
          </w:tcPr>
          <w:p>
            <w:r/>
            <w:r>
              <w:rPr>
                <w:rFonts w:ascii="Segoe UI" w:hAnsi="Segoe UI"/>
                <w:b/>
                <w:caps/>
                <w:color w:val="5C6455"/>
                <w:sz w:val="15"/>
              </w:rPr>
              <w:t>Duration</w:t>
            </w:r>
          </w:p>
        </w:tc>
        <w:tc>
          <w:tcPr>
            <w:tcW w:type="dxa" w:w="6576"/>
          </w:tcPr>
          <w:p>
            <w:r/>
            <w:r>
              <w:rPr>
                <w:sz w:val="19"/>
              </w:rPr>
              <w:t>30 months — 24 at ELTE, 6-month placement at AgroVIR</w:t>
            </w:r>
          </w:p>
        </w:tc>
      </w:tr>
      <w:tr>
        <w:tc>
          <w:tcPr>
            <w:tcW w:type="dxa" w:w="2381"/>
          </w:tcPr>
          <w:p>
            <w:r/>
            <w:r>
              <w:rPr>
                <w:rFonts w:ascii="Segoe UI" w:hAnsi="Segoe UI"/>
                <w:b/>
                <w:caps/>
                <w:color w:val="5C6455"/>
                <w:sz w:val="15"/>
              </w:rPr>
              <w:t>Topic</w:t>
            </w:r>
          </w:p>
        </w:tc>
        <w:tc>
          <w:tcPr>
            <w:tcW w:type="dxa" w:w="6576"/>
          </w:tcPr>
          <w:p>
            <w:r/>
            <w:r>
              <w:rPr>
                <w:sz w:val="19"/>
              </w:rPr>
              <w:t>HORIZON-MSCA-2026-PF-01-01</w:t>
            </w:r>
          </w:p>
        </w:tc>
      </w:tr>
      <w:tr>
        <w:tc>
          <w:tcPr>
            <w:tcW w:type="dxa" w:w="2381"/>
          </w:tcPr>
          <w:p>
            <w:r/>
            <w:r>
              <w:rPr>
                <w:rFonts w:ascii="Segoe UI" w:hAnsi="Segoe UI"/>
                <w:b/>
                <w:caps/>
                <w:color w:val="5C6455"/>
                <w:sz w:val="15"/>
              </w:rPr>
              <w:t>Draft length</w:t>
            </w:r>
          </w:p>
        </w:tc>
        <w:tc>
          <w:tcPr>
            <w:tcW w:type="dxa" w:w="6576"/>
          </w:tcPr>
          <w:p>
            <w:r/>
            <w:r>
              <w:rPr>
                <w:sz w:val="19"/>
              </w:rPr>
              <w:t>15,741 words across 9 sub-sections</w:t>
            </w:r>
          </w:p>
        </w:tc>
      </w:tr>
    </w:tbl>
    <w:p/>
    <w:tbl>
      <w:tblPr>
        <w:tblW w:type="auto" w:w="0"/>
        <w:jc w:val="center"/>
        <w:tblLayout w:type="autofit"/>
        <w:tblLook w:firstColumn="1" w:firstRow="1" w:lastColumn="0" w:lastRow="0" w:noHBand="0" w:noVBand="1" w:val="04A0"/>
      </w:tblPr>
      <w:tblGrid>
        <w:gridCol w:w="8958"/>
      </w:tblGrid>
      <w:tr>
        <w:tc>
          <w:tcPr>
            <w:tcW w:type="dxa" w:w="8958"/>
            <w:shd w:val="clear" w:fill="F5EEDC"/>
            <w:tcMar>
              <w:top w:w="170" w:type="dxa"/>
              <w:start w:w="170" w:type="dxa"/>
              <w:bottom w:w="170" w:type="dxa"/>
              <w:end w:w="170" w:type="dxa"/>
            </w:tcMar>
          </w:tcPr>
          <w:p>
            <w:pPr>
              <w:spacing w:after="80"/>
            </w:pPr>
            <w:r>
              <w:rPr>
                <w:rFonts w:ascii="Segoe UI" w:hAnsi="Segoe UI"/>
                <w:b w:val="0"/>
                <w:caps/>
                <w:color w:val="8A5B14"/>
                <w:sz w:val="15"/>
              </w:rPr>
              <w:t>Pre-final draft — not for submission</w:t>
            </w:r>
          </w:p>
          <w:p>
            <w:pPr>
              <w:spacing w:after="0"/>
            </w:pPr>
            <w:r>
              <w:rPr>
                <w:b w:val="0"/>
                <w:caps w:val="0"/>
                <w:sz w:val="19"/>
              </w:rPr>
              <w:t xml:space="preserve">This handout compiles the current Part B section drafts verbatim for colleague review. A structured internal review of this draft has already produced 8 findings and revision actions; several passages rest on </w:t>
            </w:r>
            <w:r>
              <w:rPr>
                <w:b/>
                <w:caps w:val="0"/>
                <w:sz w:val="19"/>
              </w:rPr>
              <w:t>declared working assumptions</w:t>
            </w:r>
            <w:r>
              <w:rPr>
                <w:b w:val="0"/>
                <w:caps w:val="0"/>
                <w:sz w:val="19"/>
              </w:rPr>
              <w:t xml:space="preserve"> (placement-host arrangements at AgroVIR, partner in-kind person-months, partner contacts and track-record statements) that must be confirmed before submission. The full list is in the appendix.</w:t>
            </w:r>
          </w:p>
        </w:tc>
      </w:tr>
    </w:tbl>
    <w:p/>
    <w:p>
      <w:pPr>
        <w:spacing w:after="40"/>
      </w:pPr>
      <w:r>
        <w:rPr>
          <w:rFonts w:ascii="Segoe UI" w:hAnsi="Segoe UI"/>
          <w:b w:val="0"/>
          <w:caps/>
          <w:color w:val="5C6455"/>
          <w:sz w:val="15"/>
        </w:rPr>
        <w:t>Contents</w:t>
      </w:r>
    </w:p>
    <w:p>
      <w:r>
        <w:fldChar w:fldCharType="begin"/>
        <w:instrText xml:space="preserve"> TOC \o "1-2" \h \z \u </w:instrText>
        <w:fldChar w:fldCharType="separate"/>
        <w:t>Table of contents — right-click and choose “Update Field”.</w:t>
        <w:fldChar w:fldCharType="end"/>
      </w:r>
    </w:p>
    <w:p>
      <w:pPr>
        <w:pStyle w:val="Heading1"/>
        <w:pageBreakBefore/>
      </w:pPr>
      <w:r>
        <w:t>1 — Excellence</w:t>
      </w:r>
    </w:p>
    <w:p>
      <w:pPr>
        <w:pStyle w:val="Heading2"/>
      </w:pPr>
      <w:r>
        <w:t>1.1  Quality and pertinence of the project's research and innovation objectives (and the extent to which they are ambitious, and go beyond the state of the art)</w:t>
      </w:r>
    </w:p>
    <w:p>
      <w:r>
        <w:rPr>
          <w:b/>
          <w:caps w:val="0"/>
        </w:rPr>
        <w:t>Overall objective and pertinence.</w:t>
      </w:r>
      <w:r>
        <w:rPr>
          <w:b w:val="0"/>
          <w:caps w:val="0"/>
        </w:rPr>
        <w:t xml:space="preserve"> FIELDWISE is a European Postdoctoral Fellowship carried out by Dr. Rositsa Cholakova and hosted by Eötvös Loránd University (ELTE), under the supervision of Prof. András Jung and the co-supervision of Dr. Roland Hollós. The action runs for 30 months, comprising a 24-month research fellowship at ELTE (M1-M24) and a 6-month non-academic placement at AGROVIR Üzletviteli Tanácsadó Korlátolt Felelősségű Társaság (M25-M30). It targets a sharply defined and highly pertinent European problem. European agriculture is entering an increasingly water-constrained production environment: approximately 30% of EU territory is affected by seasonal water scarcity in an average year, and climate change is expected to intensify drought frequency and severity while increasing both the irrigated area and irrigation demand. For high-value horticultural field crops, inappropriate irrigation timing degrades productivity, fruit quality, water-use efficiency and economic return. The fellowship uses processing tomato as its model crop precisely because it is a demanding predictive-irrigation system, in which productivity depends strongly on the temporal interaction of water availability, atmospheric demand, developmental stage and irrigation management.</w:t>
      </w:r>
    </w:p>
    <w:p>
      <w:r>
        <w:rPr>
          <w:b w:val="0"/>
          <w:caps w:val="0"/>
        </w:rPr>
        <w:t>The scientific problem the objectives attack is a genuine gap in the state of practice rather than a restatement of it. The rapid expansion of Earth Observation, proximal sensing, IoT and machine learning has produced increasingly sophisticated crop-monitoring systems, yet agricultural machine learning is still evaluated predominantly through retrospective metrics (R², RMSE, F1-score, classification accuracy). A model can post excellent retrospective performance and remain unsuitable for irrigation management: related seasons, plots or fields may leak between training and test data, producing optimistically biased estimates; a model may learn environment-specific relationships tied to a particular soil, cultivar, management regime or year rather than transferable crop-water relationships; accurate identification of an already established stress condition may come too late to change the irrigation decision; and a model that transfers between research experiments may still fail on the heterogeneity and incomplete data of commercial farming. FIELDWISE therefore reframes the object of study from retrospective accuracy to prospective prediction, then to transferability, and finally to field-level decision value. This reframing is the source of the sub-section's pertinence: the objectives are constructed to interrogate exactly the failure modes that separate a publishable model from an operationally useful one.</w:t>
      </w:r>
    </w:p>
    <w:p>
      <w:r>
        <w:rPr>
          <w:b/>
          <w:caps w:val="0"/>
        </w:rPr>
        <w:t>Central research question.</w:t>
      </w:r>
      <w:r>
        <w:rPr>
          <w:b w:val="0"/>
          <w:caps w:val="0"/>
        </w:rPr>
        <w:t xml:space="preserve"> The objectives are organised around a single, testable central question: can physiologically grounded crop water stress in high-value processing tomato be forecast early enough to support irrigation decisions, while maintaining reliable predictive performance as the model moves from historical experimental observations to unseen seasons, from Hungary to Bulgaria, and ultimately from research fields to commercial farming conditions? This question decomposes into seven research questions (RQ1-RQ7) and six falsifiable hypotheses (H1-H6), which give every objective an explicit, checkable expectation rather than an open-ended aspiration.</w:t>
      </w:r>
    </w:p>
    <w:p>
      <w:r>
        <w:rPr>
          <w:b/>
          <w:caps w:val="0"/>
        </w:rPr>
        <w:t>The six research and innovation objectives.</w:t>
      </w:r>
      <w:r>
        <w:rPr>
          <w:b w:val="0"/>
          <w:caps w:val="0"/>
        </w:rPr>
        <w:t xml:space="preserve"> The fellowship pursues six objectives, each bound to a work package, a stated measurable output, and named deliverables that render it verifiable:</w:t>
      </w:r>
    </w:p>
    <w:p>
      <w:pPr>
        <w:pStyle w:val="ListBullet"/>
      </w:pPr>
      <w:r>
        <w:rPr>
          <w:b/>
          <w:caps w:val="0"/>
        </w:rPr>
        <w:t>O1 - Construct a harmonised five-year MATE soil-plant-atmosphere dataset.</w:t>
      </w:r>
      <w:r>
        <w:rPr>
          <w:b w:val="0"/>
          <w:caps w:val="0"/>
        </w:rPr>
        <w:t xml:space="preserve"> Measurable output: a QC-controlled historical database and documented metadata. Delivered and verified through WP1 Historical Data and Target Design as D1.1 Harmonised historical database (M6) and D1.2 Data/target/validation protocol (M6).</w:t>
      </w:r>
    </w:p>
    <w:p>
      <w:pPr>
        <w:pStyle w:val="ListBullet"/>
      </w:pPr>
      <w:r>
        <w:rPr>
          <w:b/>
          <w:caps w:val="0"/>
        </w:rPr>
        <w:t>O2 - Identify physiologically meaningful hyperspectral early-warning signatures and establish their Sentinel-2 transferability.</w:t>
      </w:r>
      <w:r>
        <w:rPr>
          <w:b w:val="0"/>
          <w:caps w:val="0"/>
        </w:rPr>
        <w:t xml:space="preserve"> Measurable output: a validated hyperspectral/Sentinel-compatible feature library. Delivered through WP2 Physiological Early Warning and Hyperspectral-to-Sentinel Transfer as D2.1 Physiological validation dataset (M14) and D2.2 Hyperspectral-to-Sentinel transfer library (M14).</w:t>
      </w:r>
    </w:p>
    <w:p>
      <w:pPr>
        <w:pStyle w:val="ListBullet"/>
      </w:pPr>
      <w:r>
        <w:rPr>
          <w:b/>
          <w:caps w:val="0"/>
        </w:rPr>
        <w:t>O3 - Develop prospective uncertainty-aware crop water-stress forecasts.</w:t>
      </w:r>
      <w:r>
        <w:rPr>
          <w:b w:val="0"/>
          <w:caps w:val="0"/>
        </w:rPr>
        <w:t xml:space="preserve"> Measurable output: calibrated forecasts at actionable horizons. Delivered through WP3 Prospective and Uncertainty-Aware Prediction as D3.1 Comparative modelling benchmark (M18) and D3.2 FIELDWISE predictive engine/model card (M18).</w:t>
      </w:r>
    </w:p>
    <w:p>
      <w:pPr>
        <w:pStyle w:val="ListBullet"/>
      </w:pPr>
      <w:r>
        <w:rPr>
          <w:b/>
          <w:caps w:val="0"/>
        </w:rPr>
        <w:t>O4 - Quantify temporal and Hungary→Bulgaria geographic transferability and evaluate adaptation.</w:t>
      </w:r>
      <w:r>
        <w:rPr>
          <w:b w:val="0"/>
          <w:caps w:val="0"/>
        </w:rPr>
        <w:t xml:space="preserve"> Measurable output: an independent transferability benchmark. Delivered through WP4 Temporal and Cross-Country Transferability as D4.1 Temporal transferability benchmark (M21), D4.2 Hungary→Bulgaria transferability report (M21) and D4.3 Adaptation protocol (M21).</w:t>
      </w:r>
    </w:p>
    <w:p>
      <w:pPr>
        <w:pStyle w:val="ListBullet"/>
      </w:pPr>
      <w:r>
        <w:rPr>
          <w:b/>
          <w:caps w:val="0"/>
        </w:rPr>
        <w:t>O5 - Quantify research→commercial-field operational transferability.</w:t>
      </w:r>
      <w:r>
        <w:rPr>
          <w:b w:val="0"/>
          <w:caps w:val="0"/>
        </w:rPr>
        <w:t xml:space="preserve"> Measurable output: an AgroVIR farmer-field evaluation. Delivered through WP5 Operational Transfer, Decision Value and Web MVP, evidenced by D5.2 Commercial-field transferability assessment (M30) and D5.4 AgroVIR functional/technical evaluation (M30).</w:t>
      </w:r>
    </w:p>
    <w:p>
      <w:pPr>
        <w:pStyle w:val="ListBullet"/>
      </w:pPr>
      <w:r>
        <w:rPr>
          <w:b/>
          <w:caps w:val="0"/>
        </w:rPr>
        <w:t>O6 - Translate validated predictions into irrigation priority and a functional web MVP.</w:t>
      </w:r>
      <w:r>
        <w:rPr>
          <w:b w:val="0"/>
          <w:caps w:val="0"/>
        </w:rPr>
        <w:t xml:space="preserve"> Measurable output: a DrR web MVP plus Field Decision Value plus an AgroVIR requirements assessment. Delivered through WP5 as D5.1 DrR web MVP (M24), D5.3 Field Decision Value report (M30) and D5.5 FMIS integration roadmap (M30).</w:t>
      </w:r>
    </w:p>
    <w:p>
      <w:r>
        <w:rPr>
          <w:b/>
          <w:caps w:val="0"/>
        </w:rPr>
        <w:t>Are the objectives measurable and verifiable?</w:t>
      </w:r>
      <w:r>
        <w:rPr>
          <w:b w:val="0"/>
          <w:caps w:val="0"/>
        </w:rPr>
        <w:t xml:space="preserve"> Yes, on three complementary levels. First, each objective carries an explicit measurable output (a QC-controlled database, a validated feature library, calibrated forecasts, an independent transferability benchmark, a farmer-field evaluation, a web MVP with a decision-value assessment), so completion is judged against a concrete artefact rather than a subjective claim. Second, each objective terminates in one or more dated, typed deliverables (datasets, software, reports) that an evaluator and a reviewer can inspect at fixed points in the timeline, spanning D1.3 Career Development Plan (M3) through the WP5 outputs at M30. Third, and most distinctively, the objectives are stated as falsifiable propositions: H3 predicts that performance on an unseen season will be lower than that obtained by conventional random validation, thereby quantifying temporal generalisation; H4 predicts a measurable performance drop when the model is transferred from MATE in Hungary to Институт по зеленчукови култури „Марица“ – Пловдив in Bulgaria, part of which limited local calibration and/or hierarchical modelling should recover; H5 predicts further degradation when moving from controlled research environments to farmer-managed commercial fields; and H6 predicts that the model with the highest retrospective accuracy will not necessarily deliver the greatest irrigation decision value. Because each hypothesis specifies a direction of effect that project evidence can confirm or refute, the objectives are verifiable in the strict sense: they can be shown to have failed. The methodological safeguards reinforce this - a leakage-safe validation design fixed in WP1, leave-one-year-out validation and an explicit zero-shot Hungary→Bulgaria transfer test in WP4 - so measured performance reflects genuine generalisation rather than optimistic in-sample scoring.</w:t>
      </w:r>
    </w:p>
    <w:p>
      <w:r>
        <w:rPr>
          <w:b/>
          <w:caps w:val="0"/>
        </w:rPr>
        <w:t>Are they realistically achievable?</w:t>
      </w:r>
      <w:r>
        <w:rPr>
          <w:b w:val="0"/>
          <w:caps w:val="0"/>
        </w:rPr>
        <w:t xml:space="preserve"> Yes. The programme does not start from a conceptual base. The researcher has already initiated DrR - Digital Agronomist, a desktop research prototype operating on data from a scientific experimental field, which already demonstrates the technical feasibility of integrating soil-sensor information, field meteorological-station observations and Sentinel-2A data in a common digital environment; FIELDWISE supplies the missing scientific validation and transferability framework rather than a build from zero. The data foundation exists: an approximately five-year historical hyperspectral archive is available from MATE (Magyar Agrár- és Élettudományi Egyetem), so the source-domain dataset does not depend on a speculative new measurement campaign. The consortium is configured to service each objective end to end - ELTE contributes geoinformatics, EO time-series, Bayesian/hierarchical modelling and research-software deployment; MATE provides the experimental environment and primary scientific validation; MVCRI provides an independent contrasting-country processing-tomato environment for the cross-country test in O4; and AgroVIR provides the commercial farmer-field bridge for O5/O6. The scope is that of a single-researcher action executed by the fellow across all five work packages, sequenced through explicit inter-WP data dependencies (WP1 feeds WP2 and WP3; WP3 feeds WP4 and WP5; WP4 feeds WP5), which keeps the objectives proportionate to a 30-month fellowship. Ambition is thus paired with feasibility: each objective builds on a demonstrated capability, a real dataset and a partner able to supply the environment it needs.</w:t>
      </w:r>
    </w:p>
    <w:p>
      <w:r>
        <w:rPr>
          <w:b/>
          <w:caps w:val="0"/>
        </w:rPr>
        <w:t>Ambition and going beyond the state of the art.</w:t>
      </w:r>
      <w:r>
        <w:rPr>
          <w:b w:val="0"/>
          <w:caps w:val="0"/>
        </w:rPr>
        <w:t xml:space="preserve"> FIELDWISE is ambitious because it does not seek a single incremental gain but a sequenced advance that reframes how agricultural AI is judged. Its ambition is expressed as six explicit transitions beyond current practice: (1) spectral proxy → physiological target; (2) hyperspectral discovery → satellite scaling; (3) static detection → prospective prediction; (4) internal validation → temporal transferability; (5) single-country modelling → geographic transferability; and (6) research accuracy → commercial-field decision value. Each transition answers a specific scientific gap identified in the concept: the physiological-target gap (G1), where stress is defined through physiologically meaningful plant responses rather than vegetation-index thresholds; the sensor-domain gap (G2), where proximal hyperspectral stress signatures are explicitly investigated for transfer to Sentinel-2; the temporal gap (G3), modelling stress trajectories and forecasting future stress rather than mapping current condition; the geographic-transferability gap (G4), tested by transferring the model to Bulgaria as an independent cross-country experiment; the operational-transferability gap (G5), bridged by the AgroVIR research-to-farmer-field step; and the decision-value gap (G6), addressed by introducing Field Decision Value (FDV) as a final evaluation layer.</w:t>
      </w:r>
    </w:p>
    <w:p>
      <w:r>
        <w:rPr>
          <w:b/>
          <w:caps w:val="0"/>
        </w:rPr>
        <w:t>Two elements make the advance qualitatively rather than incrementally ambitious.</w:t>
      </w:r>
      <w:r>
        <w:rPr>
          <w:b w:val="0"/>
          <w:caps w:val="0"/>
        </w:rPr>
        <w:t xml:space="preserve"> First, FIELDWISE establishes a methodological bridge between high-information proximal hyperspectral observation and scalable Sentinel-based prediction - resolving the tension between physiological richness and satellite scalability that has kept the two literatures apart - through spectral resampling, concurrent proximal/satellite observation and scale-aware calibration (H2). Second, it proposes a framework in which agricultural models are evaluated according to temporal, geographic and operational transferability, and ultimately field-level decision value, rather than retrospective accuracy alone. This ambition is disciplined by a four-step validation ladder that each stage could genuinely fail at, and whose design measures the failure rather than concealing it: MATE (scientific development and validation) → MVCRI (cross-country transferability) → AgroVIR farmer field (operational transferability) → DrR Web MVP (research-to-operation delivery). Embedding the operational step inside a company that runs commercial farms, via the six-month non-academic placement, converts the operational-transfer claim from an assertion into structural evidence, which is the strongest available demonstration that the project takes its own hardest gap seriously. The objectives are therefore both pertinent - they map directly onto a documented European water-scarcity challenge and onto the specific weaknesses of accuracy-centred agricultural AI - and ambitious in a controlled, verifiable way, advancing the state of the art along a chain of transitions whose end point is transferable, operationally useful agricultural intelligence rather than a model confined to the field in which it was trained.</w:t>
      </w:r>
    </w:p>
    <w:p>
      <w:pPr>
        <w:pStyle w:val="Heading2"/>
      </w:pPr>
      <w:r>
        <w:t>1.2  Soundness of the proposed methodology (including interdisciplinary approaches, consideration of the gender dimension and other diversity aspects if relevant for the research project, and the quality of open science practices)</w:t>
      </w:r>
    </w:p>
    <w:p>
      <w:r>
        <w:rPr>
          <w:b/>
          <w:caps w:val="0"/>
        </w:rPr>
        <w:t>Overall methodology: concepts, models and assumptions.</w:t>
      </w:r>
      <w:r>
        <w:rPr>
          <w:b w:val="0"/>
          <w:caps w:val="0"/>
        </w:rPr>
        <w:t xml:space="preserve"> FIELDWISE is built on a single organising idea that governs every methodological choice: an agricultural prediction model is only as good as its demonstrated usefulness under the conditions in which it must operate, so the methodology is designed to measure — rather than to assume — timeliness, calibration, transferability and field-level decision value. Concretely, the work reframes the object of study in four deliberate steps: from retrospective accuracy to prospective prediction, then to transferability, and finally to field-level decision value. This reframing is operationalised as a four-stage validation ladder that structures the whole action — Magyar Agrár- és Élettudományi Egyetem for scientific development and validation, then Институт по зеленчукови култури „Марица“ – Пловдив for cross-country transferability, then the AgroVIR farmer field for operational transferability, and finally the DrR Web MVP for research-to-operation delivery. Each rung is a genuine test that the model can fail, and the design is arranged so that a failure is quantified rather than concealed.</w:t>
      </w:r>
    </w:p>
    <w:p>
      <w:r>
        <w:rPr>
          <w:b w:val="0"/>
          <w:caps w:val="0"/>
        </w:rPr>
        <w:t>The methodology rests on a small number of explicit concepts, models and assumptions, each tied to a falsifiable hypothesis so that the underpinning assumptions are checkable rather than implicit. First, water stress is defined physiologically rather than through vegetation-index proxies (the assumption behind H1: soil-water availability and atmospheric demand combined with hyperspectral crop-response information will flag developing stress before substantial canopy greenness deterioration). Second, high-information proximal hyperspectral signatures are assumed to be partially reconstructable at Sentinel-2 resolution (H2), and the model that realises this is a concrete transfer pipeline: spectral-response-function resampling, concurrent proximal/satellite observation, and scale-aware calibration, producing a Sentinel-compatible feature library. Third, prediction is treated as a prospective, uncertainty-aware forecasting problem: the modelling programme spans transparent baseline models, Random Forest/XGBoost models and Bayesian/hierarchical models, with multi-horizon forecasting and explicit probability calibration and uncertainty quantification, so that forecasts are issued at actionable horizons with stated confidence rather than as point estimates. Fourth, generalisation is assumed to be the true measure of quality, so a leakage-safe validation design is fixed at the outset (WP1 Historical Data and Target Design), enforced by leave-one-year-out validation and an explicit zero-shot Hungary-to-Bulgaria transfer test (WP4 Temporal and Cross-Country Transferability). Fifth, usefulness is assumed to be distinct from accuracy, so Field Decision Value (FDV) is introduced as a final evaluation layer, and warning lead time is made a primary model-selection criterion (H6). The data foundation is not speculative: the source domain is an approximately five-year historical soil-plant-atmosphere archive from Magyar Agrár- és Élettudományi Egyetem, and the model crop is processing tomato, a demanding predictive-irrigation system in which productivity depends strongly on the temporal interaction of water availability, atmospheric demand, developmental stage and irrigation management.</w:t>
      </w:r>
    </w:p>
    <w:p>
      <w:r>
        <w:rPr>
          <w:b/>
          <w:caps w:val="0"/>
        </w:rPr>
        <w:t>How the methodology delivers the objectives.</w:t>
      </w:r>
      <w:r>
        <w:rPr>
          <w:b w:val="0"/>
          <w:caps w:val="0"/>
        </w:rPr>
        <w:t xml:space="preserve"> The design maps each objective onto a work package whose method produces the objective's measurable output. WP1 Historical Data and Target Design harmonises the archive and fixes the physiological target and the leakage-safe split, delivering the harmonised database (D1.1 Harmonised historical database, month 6) and the protocol that binds all later validation (D1.2 Data/target/validation protocol, month 6), serving O1. WP2 Physiological Early Warning and Hyperspectral-to-Sentinel Transfer executes the discovery-and-scaling pipeline for O2. WP3 Prospective and Uncertainty-Aware Prediction builds and benchmarks the forecasting models for O3, culminating in the FIELDWISE predictive engine/model card (D3.2). WP4 Temporal and Cross-Country Transferability runs the temporal and geographic transfer experiments and the adaptation study for O4. WP5 Operational Transfer, Decision Value and Web MVP carries the model to commercial fields, quantifies operational transferability and decision value, and delivers the web MVP, serving O5 and O6. The inter-work-package data dependencies (WP1 feeds WP2 and WP3; WP2 feeds WP3; WP3 feeds WP4 and WP5; WP4 feeds WP5) make the sequence a single evidential chain rather than a set of parallel studies, so each objective is reached on validated inputs from the one before it.</w:t>
      </w:r>
    </w:p>
    <w:p>
      <w:r>
        <w:rPr>
          <w:b/>
          <w:caps w:val="0"/>
        </w:rPr>
        <w:t>Challenges in the chosen methodology and how they are overcome.</w:t>
      </w:r>
      <w:r>
        <w:rPr>
          <w:b w:val="0"/>
          <w:caps w:val="0"/>
        </w:rPr>
        <w:t xml:space="preserve"> The methodology's principal risks are identified explicitly and each carries a matched mitigation, and — distinctively — the design treats several of the hardest outcomes as scientific findings rather than as failures. Where the historical MATE information may be incomplete, the approach uses a common-data subset, quality flags and prospective augmentation. Where a hyperspectral index has no Sentinel equivalent, or a spectral-domain or proximal/satellite spatial mismatch arises, the mitigations are to retain such indices for physiological discovery while excluding them from the operational Sentinel model, to apply spectral-response-function resampling with concurrent-sensor comparison, and to aggregate to representative plots/zones. Where too few physiological stress events occur, targeted temporal sampling across stress gradients is used; where cloud gaps threaten optical coverage, temporal windows and Sentinel-1 are used where scientifically useful. The generalisation risks are the ones the project is built to measure: an unseen-year performance drop is an expected scientific outcome to be quantified and adapted to; a Hungary-to-Bulgaria drop is countered with limited local and Bayesian adaptation; a farmer-field drop is quantified as the operational gap, with inputs and model simplified where necessary. If the Bayesian approach does not outperform simpler machine learning, the simpler model is retained where it is superior in calibration or FDV; if a prediction is accurate but too late, lead time governs model selection; and if full AgroVIR integration proves infeasible, the MVP assessment plus an integration roadmap remain a successful endpoint. The explicit risk philosophy is that failure of zero-shot transfer is not project failure — establishing that a MATE-trained model cannot reliably transfer to Bulgaria without a defined amount of local calibration is itself a significant scientific finding. This converts methodological risk into methodological information.</w:t>
      </w:r>
    </w:p>
    <w:p>
      <w:r>
        <w:rPr>
          <w:b/>
          <w:caps w:val="0"/>
        </w:rPr>
        <w:t>Integration of methods and disciplines to pursue the objectives.</w:t>
      </w:r>
      <w:r>
        <w:rPr>
          <w:b w:val="0"/>
          <w:caps w:val="0"/>
        </w:rPr>
        <w:t xml:space="preserve"> An interdisciplinary approach is not optional here; it is the precondition for the objectives, because the central problem lives precisely at the boundary between plant biology and geospatial data science. The methodology therefore integrates four disciplinary strands and assigns each a concrete role in the evidential chain. Crop physiology, agronomy and plant protection supply the physiologically meaningful stress definition and the field experimentation that make H1 testable; this expertise is carried by the fellow, Dr. Rositsa Cholakova, a plant physiologist. Geoinformatics, Earth-observation time-series analysis and hyperspectral/field spectroscopy supply the sensor-domain transfer methods (H2) and the satellite-scaling design; this is the expertise of the host, Eötvös Loránd University (ELTE), and of the supervisor, Prof. András Jung, whose field is remote sensing, hyperspectral imaging and field spectroscopy. Machine learning and Bayesian/hierarchical meta-modelling supply the prospective, uncertainty-aware prediction and the adaptation methods for cross-country transfer; this is the domain of the co-supervisor, Dr. Roland Hollós, who provides the methodological lead and quality assurance for model development and testing. Research-software engineering and operational evaluation supply the translation from validated model to web MVP and the commercial-field decision-value assessment, with the non-academic placement at AgroVIR embedding the operational strand inside a company that runs commercial farms. The integration is explicitly two-way: the host transfers geoinformatics, EO time-series analysis, hyperspectral-to-multispectral transfer, spatio-temporal and Bayesian hierarchical modelling, uncertainty quantification, transfer learning/domain adaptation and reproducible geospatial computation to the fellow, while the fellow transfers plant physiology, horticultural crop science, water-stress experimentation, physiological phenotyping, hyperspectral field measurement and the biological interpretation of EO to the host. Methodologically, this bidirectional transfer is what allows spectral observations to be anchored to physiological meaning and machine-learned relationships to be interpreted as crop-water processes rather than as black-box correlations — it is the mechanism, not merely a benefit, of the physiological-target and transferability objectives. The consortium is configured so that each discipline owns the environment its methods need: Magyar Agrár- és Élettudományi Egyetem provides the experimental environment and primary scientific validation, Институт по зеленчукови култури „Марица“ – Пловдив provides an independent, contrasting-country processing-tomato environment for the cross-country test, and AGROVIR Üzletviteli Tanácsadó Korlátolt Felelősségű Társaság provides the commercial farmer-field bridge, together forming an academic-research-industry knowledge chain.</w:t>
      </w:r>
    </w:p>
    <w:p>
      <w:r>
        <w:rPr>
          <w:b/>
          <w:caps w:val="0"/>
        </w:rPr>
        <w:t>Gender dimension and other diversity aspects in the research content.</w:t>
      </w:r>
      <w:r>
        <w:rPr>
          <w:b w:val="0"/>
          <w:caps w:val="0"/>
        </w:rPr>
        <w:t xml:space="preserve"> The planned research and innovation content concerns the crop physiology of processing tomato, proximal and satellite spectral sensing, and the statistical and machine-learning modelling of crop water stress; it involves no human or animal biological subjects whose sex or gender is an analytical variable. A biological sex/gender dimension in the research content is therefore not relevant to FIELDWISE, and this is stated as a reasoned justification rather than an omission, in line with the question's scope (which concerns the content of the research, not the gender balance of the team). Diversity is, however, methodologically central to the project in the form that is relevant to it: agro-environmental and operational diversity is the explicit object of study. The validation ladder is deliberately built to span diversity of agro-climate and management — a Hungarian research environment versus a contrasting Bulgarian one, and controlled research fields versus heterogeneous farmer-managed commercial fields — precisely so that the model is tested against, rather than sheltered from, the variability of real production settings; identifying universal versus site-specific predictors is an explicit WP4 task. Where the research does engage people, it does so inclusively and with safeguards: the operational assessment gathers structured feedback from AgroVIR staff and participating commercial growers under informed consent and a right of withdrawal, with no health, biometric or special-category data collected, and commercially sensitive farm data handled under a data-sharing agreement with results published only in aggregated or anonymised form. End-user engagement with a diverse population of commercial growers is thus part of the method by which operational transferability and decision value are assessed.</w:t>
      </w:r>
    </w:p>
    <w:p>
      <w:r>
        <w:rPr>
          <w:b/>
          <w:caps w:val="0"/>
        </w:rPr>
        <w:t>Open science practices as an integral part of the methodology.</w:t>
      </w:r>
      <w:r>
        <w:rPr>
          <w:b w:val="0"/>
          <w:caps w:val="0"/>
        </w:rPr>
        <w:t xml:space="preserve"> Open science is embedded in the methodology rather than appended to it, following the principle "as open as possible, as closed as necessary". Because the scientific contribution of FIELDWISE is a way of validating and transferring agricultural models, its most important open outputs are methodological and reproducibility artefacts: harmonisation protocols, validation split manifests, the hyperspectral-to-Sentinel methodology, analysis and model code where intellectual property permits, model cards (the FIELDWISE predictive engine is delivered with a model card, D3.2), FAIR metadata, selected derived/anonymised datasets, and open-access publications. Publishing the leakage-safe validation design and the validation split manifests is itself a methodological safeguard, because it exposes exactly the train/test separation that guards against the optimistic in-sample scoring the project sets out to overcome, making the transferability claims independently checkable. FAIR data management is applied throughout, and a Data Management Plan will be delivered as a project deliverable by month 6, consistent with the instrument's requirement that training foster an Open Science culture and good scientific conduct; the plan governs which datasets are opened, the anonymisation and aggregation applied to commercially sensitive AgroVIR farm data, and the retention and lawful-basis terms for the personal data held by the web MVP, with ELTE's Data Protection Officer consulted before the first user account is created. Open science and FAIR practice, together with generative-AI literacy and research integrity, are also carried as transferable-skill strands of the Career Development Plan, so the fellow's open-science competence is trained and evidenced, not merely asserted. In sum, the methodology is sound because its concepts and assumptions are made explicit and falsifiable, its models are matched to the prediction task and its uncertainty made visible, its interdisciplinary integration is the mechanism by which the objectives are reached, its diversity is the agro-environmental and operational variability it deliberately tests against, and its open-science and data-management practices are woven into the same reproducibility design that its scientific claims depend on.</w:t>
      </w:r>
    </w:p>
    <w:p>
      <w:pPr>
        <w:pStyle w:val="Heading2"/>
      </w:pPr>
      <w:r>
        <w:t>1.3  Quality of the supervision, training and of the two-way transfer of knowledge between the researcher and the host</w:t>
      </w:r>
    </w:p>
    <w:p>
      <w:r>
        <w:rPr>
          <w:b/>
          <w:caps w:val="0"/>
        </w:rPr>
        <w:t>Supervision architecture and its fit to the science.</w:t>
      </w:r>
      <w:r>
        <w:rPr>
          <w:b w:val="0"/>
          <w:caps w:val="0"/>
        </w:rPr>
        <w:t xml:space="preserve"> FIELDWISE is a European Postdoctoral Fellowship carried out by Dr. Rositsa Cholakova and hosted by Eötvös Loránd University (ELTE). It is supervised at the host by Prof. András Jung, with Dr. Roland Hollós as co-supervisor. The supervision is deliberately two-headed because the project's scientific problem sits precisely on the boundary between plant biology and geospatial data science, and no single supervisor spans both the Earth-observation and the machine-learning methodology the action requires. Prof. András Jung is a Professor at ELTE's Faculty of Informatics, Institute of Cartography and Geoinformatics, whose research field is remote sensing, hyperspectral imaging and field spectroscopy — the exact disciplines that make hypothesis H2 (hyperspectral-to-Sentinel transfer) and the satellite-scaling design testable. Dr. Roland Hollós is based in ELTE's Department of Meteorology and works on machine learning and meta-modelling of crop and grassland multi-model outputs and agro-meteorology; he provides the methodological lead and quality assurance for model development and testing, i.e. for the prospective, uncertainty-aware prediction of WP3 Prospective and Uncertainty-Aware Prediction and the cross-country adaptation methods of WP4 Temporal and Cross-Country Transferability, while the fellow designs, builds and runs the models. The division of supervisory responsibility therefore maps one-to-one onto the two methodological pillars of the proposal rather than being a nominal co-supervision.</w:t>
      </w:r>
    </w:p>
    <w:p>
      <w:r>
        <w:rPr>
          <w:b/>
          <w:caps w:val="0"/>
        </w:rPr>
        <w:t>Qualifications and track record of the supervisors.</w:t>
      </w:r>
      <w:r>
        <w:rPr>
          <w:b w:val="0"/>
          <w:caps w:val="0"/>
        </w:rPr>
        <w:t xml:space="preserve"> The supervisory team's standing is evidenced by an active, recent and directly relevant publication record. Prof. András Jung's recent output includes peer-reviewed articles in remote sensing and agricultural Earth observation — among them work on agricultural lighting and Daily Light Integral mapping (Agronomy, 2025; Applied Sciences, 2025), remote-sensing monitoring of agricultural land-use intensity (Agriculture, 2025) and a methodological contribution on vectorising building structures (IEEE Geoscience and Remote Sensing Letters, 2024) that evidences the breadth of his remote-sensing methods. This body of work substantiates the host-side expertise the fellow will draw on and confirms that the supervisor leads an active EO/hyperspectral research programme at professorial level. Dr. Roland Hollós's methodological standing is evidenced by his machine-learning and meta-modelling work, including a 2026 contribution in Geoscientific Model Development, which is directly pertinent to the Bayesian/hierarchical modelling and uncertainty-quantification methods he will quality-assure. The supervision is anchored in the host's own experimental infrastructure — the Institute's GIS and Remote Sensing Laboratory holds hyperspectral instrumentation (an Ultris S5 and a Cubert CUVIS Lab Lite package), UAV payloads, licensed geospatial and numerical software, and high-performance computing with secure storage — so advanced training is delivered against real equipment and data rather than in the abstract. Prof. András Jung chairs the Project Steering Group and is the standing escalation point for scientific and training matters, which places the most senior supervisory authority at the centre of the governance model.</w:t>
      </w:r>
    </w:p>
    <w:p>
      <w:r>
        <w:rPr>
          <w:b/>
          <w:caps w:val="0"/>
        </w:rPr>
        <w:t>Supervision quality: cadence, governance and decision rights.</w:t>
      </w:r>
      <w:r>
        <w:rPr>
          <w:b w:val="0"/>
          <w:caps w:val="0"/>
        </w:rPr>
        <w:t xml:space="preserve"> Supervision quality is made concrete through an explicit, agreed cadence rather than left to good intention. The fellow and the supervisor hold a weekly one-to-one meeting; a weekly technical session with the co-supervisor runs through the WP3 and WP4 modelling and transferability phase, tapering to monthly outside that window, so intensive methodological support is concentrated where the modelling and cross-country work is most demanding. A monthly written progress record is held by the fellow, and a quarterly review is conducted against the Career Development Plan with both supervisors present. Oversight is exercised by a Project Steering Group chaired by the supervisor, comprising the fellow, the co-supervisor and one named contact each from the three associated organisations (Magyar Agrár- és Élettudományi Egyetem, Институт по зеленчукови култури „Марица“ – Пловдив and AGROVIR Üzletviteli Tanácsadó Korlátolt Felelősségű Társaság), which issues a go/no-go verdict on the project milestones MS1 to MS5. Decision rights are allocated without overlap: scientific method and day-to-day research choices rest with the fellow (escalating to the supervisor); the methodological lead and quality assurance for model development and testing rest with the co-supervisor (escalating to the supervisor); the training plan, resources and milestone go/no-go recommendation rest with the supervisor (escalating to the Steering Group); and contract, finance, IP and open-access policy rest with the host. The committed supervisory effort is planned as an in-kind contribution of the order of 2.5 person-months from the supervisor and 2.0 person-months from the co-supervisor across the action, built bottom-up from this governance. This design directly serves the call's expected outcome of enhanced quality and sustainability of research training and supervision at the participating organisation.</w:t>
      </w:r>
    </w:p>
    <w:p>
      <w:r>
        <w:rPr>
          <w:b/>
          <w:caps w:val="0"/>
        </w:rPr>
        <w:t>The Career Development Plan as the training instrument.</w:t>
      </w:r>
      <w:r>
        <w:rPr>
          <w:b w:val="0"/>
          <w:caps w:val="0"/>
        </w:rPr>
        <w:t xml:space="preserve"> Training is organised through a Career Development Plan, delivered as an early project deliverable, D1.3 Career Development Plan, due in month 3, owned by the fellow and the supervisor and established jointly by the supervisors and the researcher; with a co-supervisor in place, joint establishment means the plan is signed by both supervisors and the fellow. This satisfies the instrument's mandatory requirement that a Career Development Plan covering research objectives, training and career needs, transferable skills, teaching, publications and Open Science be agreed jointly and submitted at the start of the action. The plan is agreed by month 3 and reviewed at five points — at months 6, 12, 16, 20 and 27 — alongside the governance decision points, with the month-27 review falling inside the placement, when non-academic career development is most in play. Its six components are: the research objectives O1 to O6; training and career needs; transferable skills; teaching; publications planning; and Open Science engagement.</w:t>
      </w:r>
    </w:p>
    <w:p>
      <w:r>
        <w:rPr>
          <w:b/>
          <w:caps w:val="0"/>
        </w:rPr>
        <w:t>Planned training activities: scientific, management and transferable skills.</w:t>
      </w:r>
      <w:r>
        <w:rPr>
          <w:b w:val="0"/>
          <w:caps w:val="0"/>
        </w:rPr>
        <w:t xml:space="preserve"> Scientific training is delivered as eleven host-to-fellow competences (below), through supervised research practice combined with named ELTE courses, and structured around the fellow's intended progression from Plant Physiologist/Agronomist to EO/Geospatial Crop Scientist to an independent researcher in transferable agricultural intelligence. It closes the fellow's specific competence gap in Bayesian/probabilistic modelling, spatio-temporal AI, sensor-domain transfer, uncertainty quantification, domain adaptation and decision evaluation. Transferable-skill training is carried as seven explicit strands of the plan: research integrity; open science and FAIR practice; generative-AI literacy; grant writing; IP and exploitation; project management; and science communication — directly meeting the call's requirement that training integrate key transferable and digital skills (including generative AI), foster an Open Science culture and good scientific conduct including research integrity. Management and project-leadership training is embedded in the fellow's ownership of the monthly progress record, her scientific-method decision rights, her responsibility for grant-writing and exploitation strands, and her seat on the Steering Group. Research-integrity and open-science competence are trained and evidenced rather than merely asserted: FIELDWISE follows "as open as possible, as closed as necessary", and the plan commits the fellow to open-access publication, code and model cards where IP permits, FAIR metadata and validation split manifests. Publications planning targets four principal scientific outputs (P1 physiological and hyperspectral early-warning signatures; P2 hyperspectral-to-Sentinel scaling; P3 temporal and cross-country transferability; P4 research-to-commercial transfer and decision-oriented evaluation), with at least two high-quality peer-reviewed submissions during or shortly after the fellowship, plus one public field demonstration with commercial growers and one public-facing article per year for public engagement.</w:t>
      </w:r>
    </w:p>
    <w:p>
      <w:r>
        <w:rPr>
          <w:b/>
          <w:caps w:val="0"/>
        </w:rPr>
        <w:t>Teaching and feedback of research into education.</w:t>
      </w:r>
      <w:r>
        <w:rPr>
          <w:b w:val="0"/>
          <w:caps w:val="0"/>
        </w:rPr>
        <w:t xml:space="preserve"> The teaching component is framed not as a competence to be acquired but as an existing strength transferred to a new discipline, institution and language of instruction: the fellow taught for five years at Agricultural University - Plovdiv (2015-2020), including syllabus design, lecturing and examining in Bulgarian and English and Bachelor's thesis supervision. The developmental content is the move from plant-protection teaching in Bulgarian at an agricultural university to Earth-observation teaching in English at an informatics faculty, and the step up to doctoral-level supervision. Two concrete measures carry it: co-designing and delivering a full module unit within an ELTE MSc course on Earth observation for agriculture (rather than a single guest lecture), and co-supervising the field-experiment component of one PhD student's work. This feeds research results back into teaching at the host, meeting the corresponding expected outcome.</w:t>
      </w:r>
    </w:p>
    <w:p>
      <w:r>
        <w:rPr>
          <w:b/>
          <w:caps w:val="0"/>
        </w:rPr>
        <w:t>Two-way transfer of knowledge between researcher and host (European Fellowship).</w:t>
      </w:r>
      <w:r>
        <w:rPr>
          <w:b w:val="0"/>
          <w:caps w:val="0"/>
        </w:rPr>
        <w:t xml:space="preserve"> Because FIELDWISE is a European Fellowship, the relevant knowledge transfer is the two-way exchange between the researcher and the host; the three-way transfer required only for the outgoing phase of a Global Fellowship does not apply. The exchange is genuinely bidirectional and is specified in both directions. From the host to the fellow: geoinformatics; EO time-series analysis; optical/SAR integration; hyperspectral-to-multispectral transfer; spatio-temporal modelling; Bayesian hierarchical modelling; uncertainty quantification; transfer learning/domain adaptation; reproducible geospatial computation; research-software and web deployment; and IP and research exploitation. From the fellow to the host: plant physiology; horticultural crop science; plant protection and agronomy; water-stress experimentation; physiological phenotyping; hyperspectral field measurement; biological interpretation of EO; the preliminary DrR - Digital Agronomist development; and access to complementary agricultural research collaborations. This transfer is not a side benefit but the mechanism of the science: it is what allows spectral observations to be anchored to physiological meaning and machine-learned relationships to be interpreted as crop-water processes rather than black-box correlations, so the physiological-target and transferability objectives depend on the exchange working in both directions. The exchange is completed into an academic-research-industry knowledge chain by the associated organisations — Magyar Agrár- és Élettudományi Egyetem supplies the long-term experimental knowledge and source-domain dataset for model development and validation, Институт по зеленчукови култури „Марица“ – Пловдив supplies the independent Bulgarian research environment for cross-country scientific transferability (a Hungary-to-Bulgaria test rather than a mere increase in sample size), and AGROVIR Üzletviteli Tanácsadó Korlátolt Felelősségű Társaság supplies the bridge from research field to farmer field and from research prototype to operational requirements.</w:t>
      </w:r>
    </w:p>
    <w:p>
      <w:r>
        <w:rPr>
          <w:b/>
          <w:caps w:val="0"/>
        </w:rPr>
        <w:t>Rationale and added value of the non-academic placement.</w:t>
      </w:r>
      <w:r>
        <w:rPr>
          <w:b w:val="0"/>
          <w:caps w:val="0"/>
        </w:rPr>
        <w:t xml:space="preserve"> AGROVIR Üzletviteli Tanácsadó Korlátolt Felelősségű Társaság is the non-academic placement host, and the fellowship includes a six-month placement at the end of the action (M25-M30, in Budaörs), following the 24-month research fellowship at ELTE (M1-M24); it is an integral, evaluated part of the proposal, not an add-on. Its added value for the project is that it makes the operational-transfer half of FIELDWISE structural rather than asserted: gap G5 and hypothesis H5 both claim that research-to-farm transfer is where models break, and a six-month period embedded inside the company that runs the commercial farms is the strongest available evidence that the project takes its own hardest gap seriously; it also directly answers the prior-evaluation criticism that the economic and technological route to users was insufficiently substantiated. Its added value for the researcher's career is the inter-sectoral half of her progression — operational AI evaluation, research-to-MVP translation and exposure to commercial agricultural-software requirements — none of which the academic host can provide, and which is precisely the segment of profile that makes her employable in precision-agriculture, irrigation-technology and FMIS companies as well as in academia, realising the call's inter-sectoral employability outcome. The placement must sit inside the company and needs its full six months because its work content depends on the company's own operational environment: operational hardening of the prediction pipeline in a production FMIS environment; the nine-dimension operational assessment producing D5.4 AgroVIR functional/technical evaluation (due in month 30); the FMIS integration roadmap written from inside the implementing company, producing D5.5 FMIS integration roadmap (due in month 30); and requirements engineering and user testing with commercial growers. AGROVIR Üzletviteli Tanácsadó Korlátolt Felelősségű Társaság co-leads WP5 Operational Transfer, Decision Value and Web MVP and hosts the fellow for the placement, which is scheduled after the web MVP has already been built so that the placement is validation and transfer rather than first build. On the current record the placement is planned to be supervised on site by a named senior member of staff at senior research grade, working with the company's product-development team responsible for its farm management information system, with access to a desk or office and to the FMIS development/staging and customer-data environments; these placement-host arrangements are operator-provided working assumptions to be confirmed with the company before the placement begins, but the placement's structure, work content and evaluated deliverables are fixed by the design. An in-kind commitment of the order of 3.0 person-months from the placement host is planned, the largest partner figure precisely because it is the only partner hosting the fellow. In sum, the supervision is expert and role-matched, the training is comprehensive and instrument-compliant, the knowledge transfer is demonstrably two-way and load-bearing for the science, and the non-academic placement converts the proposal's most demanding claim into structural evidence while completing the fellow's inter-sectoral profile.</w:t>
      </w:r>
    </w:p>
    <w:p>
      <w:pPr>
        <w:pStyle w:val="Heading2"/>
      </w:pPr>
      <w:r>
        <w:t>1.4  Quality and appropriateness of the researcher's professional experience, competences and skills</w:t>
      </w:r>
    </w:p>
    <w:p>
      <w:r>
        <w:rPr>
          <w:b/>
          <w:caps w:val="0"/>
        </w:rPr>
        <w:t>Why the profile fits the project.</w:t>
      </w:r>
      <w:r>
        <w:rPr>
          <w:b w:val="0"/>
          <w:caps w:val="0"/>
        </w:rPr>
        <w:t xml:space="preserve"> FIELDWISE is a European Postdoctoral Fellowship carried out by Dr. Rositsa Cholakova at Eötvös Loránd University (ELTE), and the appropriateness of her professional experience follows directly from the project's design rather than from a general claim of merit. FIELDWISE lives on the boundary between plant biology and geospatial data science, and its defining move — reframing crop water stress as a physiologically grounded, forecastable target (hypothesis H1) rather than a vegetation-index proxy — can only be posed by a researcher who owns the biological half of that boundary. Dr. Cholakova is a plant physiologist, and it is exactly the physiological, agronomic and horticultural competence that the host, an informatics faculty, does not itself hold and that the science of FIELDWISE requires. Her profile is therefore not merely adequate but structurally matched to the objectives: she supplies the discipline around which the project is organised (the physiological-target work of WP2 Physiological Early Warning and Hyperspectral-to-Sentinel Transfer, and the crop-water experimentation that makes the model interpretable), while the fellowship supplies the geospatial and machine-learning competence she does not yet hold. Appropriateness here is a two-way fit, not a checklist of prior skills.</w:t>
      </w:r>
    </w:p>
    <w:p>
      <w:r>
        <w:rPr>
          <w:b/>
          <w:caps w:val="0"/>
        </w:rPr>
        <w:t>Disciplinary foundation and depth.</w:t>
      </w:r>
      <w:r>
        <w:rPr>
          <w:b w:val="0"/>
          <w:caps w:val="0"/>
        </w:rPr>
        <w:t xml:space="preserve"> Dr. Cholakova holds a doctorate in Plant Physiology (2020) from Agricultural University - Plovdiv, Faculty of Agronomy, Department of Plant Physiology and Biochemistry, under Prof. Dr. Andon Vassilev; her doctoral research concerned the response of maize to low temperatures and the effectiveness of subsequent foliar fertilisation, i.e. abiotic-stress physiology and its agronomic mitigation — the same class of plant-stress question, on a different crop and stressor, that FIELDWISE addresses for water stress in processing tomato. Her early work (for example the 2019 study in Acta Agrobotanica) appears under the name Rositsa Cholakova-Bimbalova, the form used up to and including her 2020 thesis; her recent work appears under Rositsa Cholakova, and both name forms belong to the same researcher. She served as Assistant Professor in Plant Physiology and Plant Stress Physiology at Agricultural University, Plovdiv (2015-2020) and is now Chief Assistant Professor and plant-physiology researcher at Институт по зеленчукови култури „Марица“ – Пловдив, the Bulgarian environment that FIELDWISE uses for its cross-country transferability test. This gives the fellowship a further, incidental strength: the researcher already knows, from the inside, the contrasting-country agronomy against which the Hungary-to-Bulgaria transfer of WP4 Temporal and Cross-Country Transferability is measured.</w:t>
      </w:r>
    </w:p>
    <w:p>
      <w:r>
        <w:rPr>
          <w:b/>
          <w:caps w:val="0"/>
        </w:rPr>
        <w:t>Directly relevant, ongoing research.</w:t>
      </w:r>
      <w:r>
        <w:rPr>
          <w:b w:val="0"/>
          <w:caps w:val="0"/>
        </w:rPr>
        <w:t xml:space="preserve"> Her current research portfolio is unusually well aligned with the project's crop and stress. She works on project ZEMDKT 17 (2024-2026), Task 7 of which addresses resistance to abiotic stress — drought and salinity — in Solanum lycopersicum, which is the FIELDWISE crop and the FIELDWISE stress, already funded and running. She participates in KP-06-COST/2 (2025-ongoing) on satellite and UAV monitoring of vegetable crops in support of precision agriculture, with the Space Research and Technology Institute of the Bulgarian Academy of Sciences, and in the tomato multi-stress SolGenSys action. She is a member of COST Actions CA22136 PANGEOS, CA22149 AI4Insect and CA22141 REcrop. These are not adjacent interests; they place her inside precisely the crop-stress and remote-sensing communities the project draws on.</w:t>
      </w:r>
    </w:p>
    <w:p>
      <w:r>
        <w:rPr>
          <w:b/>
          <w:caps w:val="0"/>
        </w:rPr>
        <w:t>An emerging Earth-observation strand, scoped honestly.</w:t>
      </w:r>
      <w:r>
        <w:rPr>
          <w:b w:val="0"/>
          <w:caps w:val="0"/>
        </w:rPr>
        <w:t xml:space="preserve"> The proposal is candid about where the researcher's Earth-observation competence currently rests. Of nine publications, only three touch remote sensing, all from 2025 or later and all with her as a middle author; the Earth-observation half of her profile is therefore evidenced not primarily by publications but by hands-on and mobility experience — a Short-Term Scientific Mission at Magyar Agrár- és Élettudományi Egyetem under COST Action CA22136 PANGEOS (2025); three Erasmus+ staff mobility grants to Magyar Agrár- és Élettudományi Egyetem and the University of Novi Sad (2025-2026); an Erasmus master's mobility internship at Eötvös Loránd University (ELTE) itself (2026); an Erasmus PhD mobility to the Russian State Agrarian University - Moscow Timiryazev Academy (2018); a UAV pilot licence (A1/A3); and a second master's degree in Environmental Engineering (2025-2026) taken alongside her earlier MSc and BSc in Plant Protection. Most tellingly, she has already built DrR - Digital Agronomist, a desktop research prototype that integrates soil-sensor, field-meteorological and Sentinel-2 data in a common digital environment. This is direct evidence that the researcher can already combine multi-source agro-environmental data in software, which is the practical skill on which the WP5 Operational Transfer, Decision Value and Web MVP work depends. Presenting the EO strand this way is deliberate: it lets an evaluator see exactly which competences are held and which are to be acquired, so the fellowship's training argument is grounded rather than assumed.</w:t>
      </w:r>
    </w:p>
    <w:p>
      <w:r>
        <w:rPr>
          <w:b/>
          <w:caps w:val="0"/>
        </w:rPr>
        <w:t>Cross-sectoral and analytical experience.</w:t>
      </w:r>
      <w:r>
        <w:rPr>
          <w:b w:val="0"/>
          <w:caps w:val="0"/>
        </w:rPr>
        <w:t xml:space="preserve"> Beyond academia, the researcher has worked as a Data Analyst at KPMG Global Hungary (2024) and as an Agricultural Market Analyst at Kleffmann Group Bulgaria (2013). This non-academic, data-analytic experience is directly appropriate to the prospective, uncertainty-aware modelling of WP3 Prospective and Uncertainty-Aware Prediction and to the commercial-facing evaluation of the non-academic placement at AGROVIR Üzletviteli Tanácsadó Korlátolt Felelősségű Társaság, and it signals a researcher already comfortable moving between scientific and applied-analytic registers.</w:t>
      </w:r>
    </w:p>
    <w:p>
      <w:r>
        <w:rPr>
          <w:b/>
          <w:caps w:val="0"/>
        </w:rPr>
        <w:t>The competence gap the fellowship is designed to close.</w:t>
      </w:r>
      <w:r>
        <w:rPr>
          <w:b w:val="0"/>
          <w:caps w:val="0"/>
        </w:rPr>
        <w:t xml:space="preserve"> The researcher's existing profile is appropriate precisely because its gap is well-defined and the fellowship is built to fill it. FIELDWISE will address her remaining competence gap in Bayesian modelling, spatio-temporal AI, sensor-domain transfer, uncertainty quantification, domain adaptation and decision evaluation — the methodological competences carried by the supervisor, Prof. András Jung, and the co-supervisor, Dr. Roland Hollós. The intended progression is explicit and credible: from Plant Physiologist/Agronomist, to EO/Geospatial Crop Scientist, to an independent researcher in transferable agricultural intelligence. The end state is a distinctive profile combining biological understanding, scalable geospatial prediction and operational decision support — a combination that is scarce, that maps onto the fellowship's expected outcome of an increased set of research and transferable skills leading to improved employability, and that positions her for European research institutes and universities, Earth-observation organisations, and precision-agriculture, irrigation-technology and farm-management-information-system providers, as well as for continued academic work. The teaching she brings — five years of syllabus design, lecturing and examining in Bulgarian and English and Bachelor's-thesis supervision at Agricultural University - Plovdiv — is likewise a mature strength to be transferred into a new discipline, institution and language of instruction rather than a competence still to be acquired.</w:t>
      </w:r>
    </w:p>
    <w:p>
      <w:r>
        <w:rPr>
          <w:b/>
          <w:caps w:val="0"/>
        </w:rPr>
        <w:t>A maturing, evidenced trajectory.</w:t>
      </w:r>
      <w:r>
        <w:rPr>
          <w:b w:val="0"/>
          <w:caps w:val="0"/>
        </w:rPr>
        <w:t xml:space="preserve"> The proposal does not present a first attempt. FIELDWISE is a resubmission by the same researcher and host of the earlier PLANTDIGISENSE application (HORIZON-MSCA-2025-PF, proposal 101284764), which was evaluated at ELTE with a total score of 70.40% against a 70.00 threshold; the fellowship therefore builds on a proposal already assessed as above quality threshold and refines it, which is itself evidence of the researcher's readiness and of a settled, workable host relationship. Finally, the researcher's professional record includes a full-time parenting career break (2021-2024, just over 34 months, in Budapest, Hungary); this is declared transparently and does not count against the research-experience eligibility ceiling, so it neither weakens the profile nor is concealed. Taken together, the researcher's experience, competences and skills are of high quality and are appropriate to FIELDWISE in the strict sense the criterion asks for: she already holds the biological and agronomic expertise the project is built around and cannot be delivered by the host, she has demonstrated the applied data-integration capability the operational objectives need, and the specific competences she lacks are exactly those the supervision and training are structured to provide.</w:t>
      </w:r>
    </w:p>
    <w:p>
      <w:pPr>
        <w:pStyle w:val="Heading1"/>
        <w:pageBreakBefore/>
      </w:pPr>
      <w:r>
        <w:t>2 — Impact</w:t>
      </w:r>
    </w:p>
    <w:p>
      <w:pPr>
        <w:pStyle w:val="Heading2"/>
      </w:pPr>
      <w:r>
        <w:t>2.1  Credibility of the measures to enhance the career perspectives and employability of the researcher and contribution to his/her skills development</w:t>
      </w:r>
    </w:p>
    <w:p>
      <w:r>
        <w:rPr>
          <w:b w:val="0"/>
          <w:caps w:val="0"/>
        </w:rPr>
        <w:t>FIELDWISE is designed so that its scientific work programme and its career-development architecture are the same object seen from two sides: every advanced competence the research requires is also a competence the fellow needs in order to move to the next stage of an independent career. The action is a European Fellowship hosted by Eötvös Loránd University (ELTE), with a six-month non-academic placement at AgroVIR, over a total duration of 30 months (24 months at the host, M1-M24, plus the placement, M25-M30). This structure is used deliberately to deliver the MSCA-PF expected outcome of an increased set of research and transferable skills leading to improved employability and career prospects within academia and beyond (EO-01), and to substantiate the corresponding impact of improved researcher employability and career mobility within and outside academia (EI-01).</w:t>
      </w:r>
    </w:p>
    <w:p>
      <w:pPr>
        <w:pStyle w:val="Heading3"/>
      </w:pPr>
      <w:r>
        <w:t>Starting point and target trajectory</w:t>
      </w:r>
    </w:p>
    <w:p>
      <w:r>
        <w:rPr>
          <w:b w:val="0"/>
          <w:caps w:val="0"/>
        </w:rPr>
        <w:t>The fellow, Dr. Rositsa Cholakova, is a plant physiologist whose foundation lies in agronomy, plant protection and plant physiology, combined with developing expertise in Earth observation, GIS and agricultural data science. The fellowship is deliberately positioned to convert this profile into a scarce and distinctive one. The intended career progression is explicit and staged: from Plant Physiologist/Agronomist, through EO/Geospatial Crop Scientist, to an Independent researcher in transferable agricultural intelligence. FIELDWISE addresses the precise competence gap that stands between these stages — Bayesian modelling, spatio-temporal AI, sensor transfer, uncertainty, domain adaptation and decision evaluation — so that the measures below are not generic training but are targeted at named, missing capabilities the fellow can identify in her own record.</w:t>
      </w:r>
    </w:p>
    <w:p>
      <w:pPr>
        <w:pStyle w:val="Heading3"/>
      </w:pPr>
      <w:r>
        <w:t>Specific measures to develop advanced research skills</w:t>
      </w:r>
    </w:p>
    <w:p>
      <w:r>
        <w:rPr>
          <w:b w:val="0"/>
          <w:caps w:val="0"/>
        </w:rPr>
        <w:t>The scientific programme equips the fellow with advanced competence in Bayesian and probabilistic modelling, uncertainty quantification, spatio-temporal validation, sensor-domain transfer, cross-country adaptation, operational AI evaluation, research-to-MVP translation, and IP and exploitation. These are acquired through supervised research practice on the project's own work packages rather than in the abstract: the prospective, uncertainty-aware prediction work develops the probabilistic-modelling and uncertainty competences; the temporal and cross-country transferability work develops the domain-adaptation and validation competences; and the operational-transfer work develops the decision-evaluation and research-to-MVP competences.</w:t>
      </w:r>
    </w:p>
    <w:p>
      <w:r>
        <w:rPr>
          <w:b w:val="0"/>
          <w:caps w:val="0"/>
        </w:rPr>
        <w:t>Skills development is genuinely bidirectional, which is the mechanism that makes it interdisciplinary rather than one-directional up-skilling. ELTE, through its remote-sensing group, transfers to the fellow geoinformatics, EO time-series analysis, optical/SAR integration, hyperspectral-to-multispectral transfer, spatio-temporal modelling, Bayesian hierarchical modelling, uncertainty quantification, transfer learning and domain adaptation, reproducible geospatial computation, research software and web deployment, and IP and research exploitation. The fellow transfers to ELTE plant physiology, horticultural crop science, plant protection and agronomy, water-stress experimentation, physiological phenotyping, hyperspectral field measurement and the biological interpretation of EO. The transfer therefore runs crop physiology and agronomy against geospatial and data science in both directions, which is exactly the international and interdisciplinary mind-set the call seeks to forge.</w:t>
      </w:r>
    </w:p>
    <w:p>
      <w:pPr>
        <w:pStyle w:val="Heading3"/>
      </w:pPr>
      <w:r>
        <w:t>The Career Development Plan as the governing instrument</w:t>
      </w:r>
    </w:p>
    <w:p>
      <w:r>
        <w:rPr>
          <w:b w:val="0"/>
          <w:caps w:val="0"/>
        </w:rPr>
        <w:t>The measures are made operational, auditable and time-bound through a Career Development Plan, submitted as deliverable D1.3 Career Development Plan and established jointly by the supervisors and the researcher, consistent with the call requirement that such a plan be agreed jointly and submitted early in the action. With a co-supervisor in place, joint establishment is taken to mean that the plan is signed by both supervisors and the fellow. The plan comprises six components: research objectives (O1 to O6); training and career needs; transferable skills; teaching; publications planning; and open-science engagement. Its progress is tracked as a measurable indicator — the plan is agreed by M3 and reviewed at all five steering points (M6, M12, M16, M20 and M27) — so that career development is monitored on the same cadence as the science, including a review point inside the placement window when non-academic career development is most in play.</w:t>
      </w:r>
    </w:p>
    <w:p>
      <w:r>
        <w:rPr>
          <w:b w:val="0"/>
          <w:caps w:val="0"/>
        </w:rPr>
        <w:t>The transferable-skills strand is concrete and mapped to the call's training obligations: research integrity; open science and FAIR practice; generative-AI literacy; grant writing; IP and exploitation; project management; and science communication. These directly answer the requirement that fellowship training integrate key transferable and digital skills (including generative AI), Open Science culture, knowledge valorisation and research integrity. Discipline-specific competences are delivered as eleven structured ELTE-to-fellow competences, provided through supervised practice supported by named ELTE courses rather than left to osmosis. The quality and intensity of supervision underpinning this are specified: a weekly one-to-one meeting between the fellow and supervisor Prof. András Jung; a weekly technical session with co-supervisor Dr. Roland Hollós through WP3 and WP4, who provides the methodological lead and quality assurance for model development while the fellow designs, builds and runs the models; a monthly written progress record held by the fellow; and a quarterly review against the Career Development Plan attended by both supervisors.</w:t>
      </w:r>
    </w:p>
    <w:p>
      <w:pPr>
        <w:pStyle w:val="Heading3"/>
      </w:pPr>
      <w:r>
        <w:t>Measures to enhance employability outside academia — the non-academic placement</w:t>
      </w:r>
    </w:p>
    <w:p>
      <w:r>
        <w:rPr>
          <w:b w:val="0"/>
          <w:caps w:val="0"/>
        </w:rPr>
        <w:t>The single strongest employability measure is the six-month non-academic placement at AgroVIR (M25-M30), which supplies the inter-sectoral half of the career progression that the academic host structurally cannot provide: operational AI evaluation, research-to-MVP translation, and direct exposure to commercial agricultural-software requirements. The placement is inside the company that operates the farms and the FMIS, so the fellow acquires these competences in the environment where they are actually exercised — the nine-dimension MVP assessment, farmer-field access and the FMIS integration roadmap all depend on the company's own operational and customer-facing setting. On-site supervision during the placement is provided by Miklós Maróti at senior research grade, and the fellow is embedded in the AgroVIR product development team responsible for the FMIS platform, so that the placement is a supervised research-training period and not an unstructured secondment. This is the segment of the profile that makes the fellow employable in precision-agriculture, irrigation-technology and farm-management-information-system providers as well as in academia, and it lets her demonstrate, on the record, that she has taken a scientific concept through the full chain from experimental evidence to validated model, to cross-country testing, to commercial-field testing, and to a working MVP — an end-to-end delivery experience that few academic-only postdoctoral profiles can claim.</w:t>
      </w:r>
    </w:p>
    <w:p>
      <w:pPr>
        <w:pStyle w:val="Heading3"/>
      </w:pPr>
      <w:r>
        <w:t>Teaching, networking and public-engagement measures</w:t>
      </w:r>
    </w:p>
    <w:p>
      <w:r>
        <w:rPr>
          <w:b w:val="0"/>
          <w:caps w:val="0"/>
        </w:rPr>
        <w:t>The plan builds a teaching and supervision record appropriate to an independent-researcher trajectory: the fellow co-designs and delivers a full module unit within an ELTE MSc course on Earth observation for agriculture, rather than a single guest lecture, and co-supervises the field-experiment component of one PhD student's work. This is framed honestly as an existing strength transferred into a new setting rather than a competence acquired from zero: the fellow taught for five years at Agricultural University Plovdiv (2015-2020), including syllabus design, lecturing and examining in Bulgarian and English and Bachelor's thesis supervision, and the developmental content is the move to Earth-observation teaching in English at a Hungarian informatics faculty and the step up towards doctoral-level supervision. Networking and communication competences are developed through a defined publication programme (scientific outputs P1 to P4, with at least two high-quality peer-reviewed submissions during or shortly after the fellowship) and through public engagement beyond scientific peers, comprising one public field demonstration with AgroVIR farmers and one public-facing article per year, with science communication carried as one of the seven transferable-skill strands.</w:t>
      </w:r>
    </w:p>
    <w:p>
      <w:pPr>
        <w:pStyle w:val="Heading3"/>
      </w:pPr>
      <w:r>
        <w:t>Expected contribution to the future career of the researcher</w:t>
      </w:r>
    </w:p>
    <w:p>
      <w:r>
        <w:rPr>
          <w:b w:val="0"/>
          <w:caps w:val="0"/>
        </w:rPr>
        <w:t>Taken together, these measures create a distinctive scientific profile that combines biological understanding with scalable geospatial prediction and operational agricultural decision support — a combination that is uncommon precisely because it spans the physiology, the remote sensing and the deployment engineering that are usually held by different people. This profile is relevant to, and marketable across, European research institutes, universities, EU agricultural and environmental research, Earth-observation organisations, precision-agriculture companies, irrigation-technology providers and FMIS providers. The intended endpoint is the capacity for independent research in transferable agricultural intelligence, carried by an agreed and reviewed Career Development Plan; this is the researcher-level outcome the project commits to (OC6), and it is the concrete route by which FIELDWISE turns two years of research plus a six-month inter-sectoral placement into durably improved employability and career perspectives inside and outside academia.</w:t>
      </w:r>
    </w:p>
    <w:p>
      <w:pPr>
        <w:pStyle w:val="Heading2"/>
      </w:pPr>
      <w:r>
        <w:t>2.2  Suitability and quality of the measures to maximise expected outcomes and impacts, as set out in the dissemination and exploitation plan, including communication activities</w:t>
      </w:r>
    </w:p>
    <w:p>
      <w:r>
        <w:rPr>
          <w:b w:val="0"/>
          <w:caps w:val="0"/>
        </w:rPr>
        <w:t>FIELDWISE is a single-researcher European Fellowship hosted by Eötvös Loránd University (ELTE) with a six-month non-academic placement at AgroVIR, and its measures to maximise outcomes and impacts are deliberately sized to that scale: they are built on the concrete outputs the work plan already produces rather than on a large stand-alone communication apparatus that one fellow could not credibly staff. The strategy separates three audiences and matches a distinct instrument to each — dissemination to scientific peers, exploitation towards operational users, and communication to the general public and the agricultural sector — while a common Open Science posture and an explicit intellectual-property allocation run underneath all three. Every measure below is tied to a named deliverable or to an operator-decided activity, and the eleven project KPIs give the whole plan measurable, checkable targets, so that the maximisation of impact is auditable rather than asserted. This design also directly answers the criticism recorded against a previous submission that the economic and technological route to users and the IP strategy were insufficiently substantiated.</w:t>
      </w:r>
    </w:p>
    <w:p>
      <w:pPr>
        <w:pStyle w:val="Heading3"/>
      </w:pPr>
      <w:r>
        <w:t>Dissemination to the scientific community</w:t>
      </w:r>
    </w:p>
    <w:p>
      <w:r>
        <w:rPr>
          <w:b w:val="0"/>
          <w:caps w:val="0"/>
        </w:rPr>
        <w:t>The scientific dissemination plan is organised around four principal publication outputs: P1 on the physiological and hyperspectral early-warning signatures of processing-tomato water stress; P2 on hyperspectral-to-Sentinel scaling for water-stress prediction; P3 on the temporal and cross-country transferability of agricultural water-stress models; and P4 on research-to-commercial transfer and the decision-oriented evaluation of agricultural AI. At least two high-quality peer-reviewed submissions are targeted during or shortly after the fellowship, with submissions concentrated from the mid-fellowship steering point onward and aligned to the release of the key research assets. All peer-reviewed publications arising from the fellowship are made available in open access.</w:t>
      </w:r>
    </w:p>
    <w:p>
      <w:r>
        <w:rPr>
          <w:b w:val="0"/>
          <w:caps w:val="0"/>
        </w:rPr>
        <w:t>Beyond publications, dissemination is carried by three reusable research assets released openly for the community. The Hyperspectral-to-Sentinel transfer library (D2.2) is released with a recorded transferability verdict against each candidate feature, so that Earth-observation and agricultural-AI research groups can reuse the feature-transfer methods directly; its completeness is tracked by KPI K2, which requires that every candidate hyperspectral feature carry an explicit transferable or hyperspectral-only verdict. The FIELDWISE predictive engine/model card (D3.2) is released with a published model card, tracked by KPI K4, and the Adaptation protocol (D4.3) is published as a reusable output that states the minimum local-calibration volume needed to re-fit the model to a new agro-environment, tracked by KPI K6. The Hungary→Bulgaria transferability report (D4.2) is delivered to the international collaboration partner MVCRI — reported to Prof. Vinelina Yankova, who is not its author — and reports both zero-shot and locally calibrated performance, tracked by KPI K5. The target groups for this strand are therefore precise rather than generic: agricultural remote-sensing and geoinformatics researchers; plant-physiology and crop-stress modelling scientists working on transferable agricultural AI; Earth-observation and agricultural-AI groups reusing feature-transfer methods; research organisations and modelling teams adapting the engine to new regions, including MATE and MVCRI; and the wider cross-country agricultural-AI transfer community.</w:t>
      </w:r>
    </w:p>
    <w:p>
      <w:r>
        <w:rPr>
          <w:b w:val="0"/>
          <w:caps w:val="0"/>
        </w:rPr>
        <w:t>These dissemination measures maximise the call's expected outcomes for enhanced networking and communication capacities with scientific peers (EO-03) and for stronger R&amp;I capacity, output and knowledge transfer among participating organisations (EO-07), and they substantiate the corresponding scientific expected impact of enriched, more inter-connected European R&amp;I (EI-02) and of increased R&amp;I capacity, output and knowledge transfer across European research organisations (EI-05), which the impact architecture maps to D2.2, D3.2 and D4.3.</w:t>
      </w:r>
    </w:p>
    <w:p>
      <w:pPr>
        <w:pStyle w:val="Heading3"/>
      </w:pPr>
      <w:r>
        <w:t>Open Science</w:t>
      </w:r>
    </w:p>
    <w:p>
      <w:r>
        <w:rPr>
          <w:b/>
          <w:caps w:val="0"/>
        </w:rPr>
        <w:t>The project follows the principle "as open as possible, as closed as necessary".</w:t>
      </w:r>
      <w:r>
        <w:rPr>
          <w:b w:val="0"/>
          <w:caps w:val="0"/>
        </w:rPr>
        <w:t xml:space="preserve"> Expected open outputs include the harmonisation protocols, the validation split manifests, the hyperspectral-to-Sentinel methodology, analysis and model code where IP permits, model cards, FAIR metadata, selected derived or anonymised datasets, and open-access publications. Research data is managed under FAIR curation (Findable, Accessible, Interoperable, Reusable) consistent with MSCA open-science practice, with a data-management plan foreseen early in the action. Open Science and FAIR practice, together with research integrity and generative-AI literacy, are carried explicitly as strands of the Career Development Plan (D1.3), so that open-science engagement is a trained competence and a monitored obligation rather than an afterthought. This directly serves the call requirement that fellowship training foster an Open Science culture, knowledge valorisation and good scientific conduct.</w:t>
      </w:r>
    </w:p>
    <w:p>
      <w:pPr>
        <w:pStyle w:val="Heading3"/>
      </w:pPr>
      <w:r>
        <w:t>Exploitation towards operational uptake</w:t>
      </w:r>
    </w:p>
    <w:p>
      <w:r>
        <w:rPr>
          <w:b w:val="0"/>
          <w:caps w:val="0"/>
        </w:rPr>
        <w:t>The exploitation plan is what makes the operational-transfer half of FIELDWISE structural rather than asserted, and it is concentrated in WP5 Operational Transfer, Decision Value and Web MVP. Its spine is the advancement of the work from a desktop research prototype to a scientifically validated web MVP: the DrR web MVP (D5.1) is a reachable tool serving stress probability, uncertainty, spatial risk, irrigation priority and temporal evolution, tracked by KPI K7. The MVP is then subjected to external functional and technical evaluation by the non-academic partner: the AgroVIR functional/technical evaluation (D5.4) assesses it against real agricultural-software requirements across all nine assessment dimensions, tracked by KPI K9, and supplies independent, end-user evidence on operational fitness and uptake readiness. The route beyond the fellowship is then made explicit by the FMIS integration roadmap (D5.5), written from inside the implementing company, which names the required interfaces and the concrete post-fellowship steps for embedding the engine in farm-management information systems, tracked by KPI K10. Complementing the operational route, the Adaptation protocol (D4.3) provides the exploitation path into new growing regions by stating the minimum local-calibration cost of re-using the trained models elsewhere in Europe. Because the six-month placement is embedded in the company that operates the farms and the FMIS, the exploitation evidence is gathered where the technology would actually be used, which is the strongest available substantiation of the route to users. These measures maximise the call outcome of stronger knowledge transfer (EO-07) and evidence the technological and European expected impacts of the project.</w:t>
      </w:r>
    </w:p>
    <w:p>
      <w:pPr>
        <w:pStyle w:val="Heading3"/>
      </w:pPr>
      <w:r>
        <w:t>Communication to the public and the agricultural sector</w:t>
      </w:r>
    </w:p>
    <w:p>
      <w:r>
        <w:rPr>
          <w:b/>
          <w:caps w:val="0"/>
        </w:rPr>
        <w:t>Communication is aimed beyond scientific peers at two clearly identified public audiences.</w:t>
      </w:r>
      <w:r>
        <w:rPr>
          <w:b w:val="0"/>
          <w:caps w:val="0"/>
        </w:rPr>
        <w:t xml:space="preserve"> One public field demonstration is held with AgroVIR farmers — processing-tomato growers and farm operators in the AgroVIR farmer network, addressed as a public audience rather than as researchers — to show in-field how the tool supports irrigation timing and stress detection and to gather grower feedback. One public-facing article per year, written in accessible language for the interested public and the regional and agricultural-sector press, communicates the aims and results of the fellowship and raises public understanding of transferable agricultural AI for water-efficient farming. Science communication is one of the seven transferable-skill strands of the Career Development Plan, so the fellow is equipped to deliver these activities. These communication measures are the project's response to the call's expected impact of broadened public engagement with research and innovation (EI-03), for which the impact architecture records that the measures are operator-decided activities carrying no deliverable identifier of their own; they are stated here as commitments rather than attached to a fabricated dissemination deliverable.</w:t>
      </w:r>
    </w:p>
    <w:p>
      <w:pPr>
        <w:pStyle w:val="Heading3"/>
      </w:pPr>
      <w:r>
        <w:t>Management of intellectual property and foreseen protection measures</w:t>
      </w:r>
    </w:p>
    <w:p>
      <w:r>
        <w:rPr>
          <w:b w:val="0"/>
          <w:caps w:val="0"/>
        </w:rPr>
        <w:t>The exploitation posture is open by default, which is appropriate to the project's assets: the predictive engine is released with a published model card (D3.2), and the transfer library (D2.2) and adaptation protocol (D4.3) are published as reusable outputs, so exploitation proceeds primarily through open release and non-academic uptake rather than through formal protection. No patent or other formal protection is presently claimed. Should any protectable outcome be identified during the AgroVIR evaluation and the FMIS roadmap work (D5.4 and D5.5), it would be assessed jointly by the host and the partner before any disclosure, so that open dissemination and possible protection are reconciled deliberately rather than by omission. Responsibility for contract, finance, IP and open-access policy rests with the host, ELTE, escalating to the ELTE research office, so there is a single, unambiguous owner of IP decisions across the action.</w:t>
      </w:r>
    </w:p>
    <w:p>
      <w:r>
        <w:rPr>
          <w:b w:val="0"/>
          <w:caps w:val="0"/>
        </w:rPr>
        <w:t>A specific IP question arises from the placement, and it is addressed rather than left implicit: the fellow's own DrR — Digital Agronomist components are recorded as her background IP, and the six-month placement involves work on the prediction pipeline inside a commercial partner. The foreseen allocation is that ownership of placement results follows the grant agreement default, vesting in ELTE as the beneficiary acting through the fellow, and that a written placement agreement between the fellow, ELTE and AgroVIR, concluded before the placement begins, confirms this allocation and the access terms to the fellow's DrR background IP. This allocation is stated as a foreseen arrangement to be confirmed by that agreement, not as a settled fact, because the agreement does not yet exist. This treatment of the route to users and of IP is the direct remedy to the previous evaluation's finding that the economic and technological route to users and the IP strategy were insufficiently substantiated.</w:t>
      </w:r>
    </w:p>
    <w:p>
      <w:pPr>
        <w:pStyle w:val="Heading3"/>
      </w:pPr>
      <w:r>
        <w:t>Proportionality, and concrete actions during and after the project</w:t>
      </w:r>
    </w:p>
    <w:p>
      <w:r>
        <w:rPr>
          <w:b w:val="0"/>
          <w:caps w:val="0"/>
        </w:rPr>
        <w:t>The measures are proportionate to a single-fellow action and are concrete both during and after the fellowship. During the project, each strand is delivered through named deliverables on a defined schedule — the open transfer library and model card, the transferability report to MVCRI, the validated MVP and its external evaluation, the annual public-facing article and the in-field demonstration — and each is anchored to a KPI so that delivery can be verified rather than presumed. After the project, results persist through several durable, project-grounded channels: the released predictive engine with its published model card (D3.2) and the FMIS integration roadmap (D5.5) together provide a maintained, integrable software asset and a concrete, partner-validated uptake path; the open transfer library (D2.2) and adaptation protocol (D4.3) allow other European regions to reuse and re-calibrate the methods at a stated minimum calibration cost; the integration of the research results into ELTE teaching — the co-designed and delivered module unit within an ELTE MSc course on Earth observation for agriculture — carries the knowledge forward into education, serving the call's expected impact on the feedback of research into teaching (EI-06); and the reviewed Career Development Plan (D1.3) sustains the fellow's own capacity to continue the line of work. Responsibility for sustaining these results is distributed across ELTE, AgroVIR, MATE and MVCRI, so no single point of failure determines whether the impact outlives the fellowship. Taken together, the dissemination, exploitation and communication measures are matched in scale and specificity to what one fellow, one host and three associated partners can credibly deliver, and each is traceable to a project mechanism that produces it.</w:t>
      </w:r>
    </w:p>
    <w:p>
      <w:pPr>
        <w:pStyle w:val="Heading2"/>
      </w:pPr>
      <w:r>
        <w:t>2.3  The magnitude and importance of the project's contribution to the expected scientific, societal and economic impacts</w:t>
      </w:r>
    </w:p>
    <w:p>
      <w:r>
        <w:rPr>
          <w:b w:val="0"/>
          <w:caps w:val="0"/>
        </w:rPr>
        <w:t>FIELDWISE is a single-researcher European Fellowship hosted by Eötvös Loránd University (ELTE) with a six-month non-academic placement at AgroVIR, and the importance of its results rests not on the size of the action but on the generality of what a small, tightly-scoped action can demonstrate. Where sub-section 2.1 concerns the fellow's own development and 2.2 concerns the machinery that carries the results to their audiences, this sub-section states how those results make a difference beyond their immediate scope — beyond one crop, one host institution and one growing season — and sizes that difference against the call's expected impacts, with quantified indicators wherever a credible and honest number is available. The project addresses a problem of genuine European magnitude: approximately 30% of EU territory is affected by seasonal water scarcity in an average year, referenced to the European Environment Agency, and climate change is expected both to increase the agricultural area requiring irrigation and to raise irrigation demand where irrigation is already practised, so that the timing of irrigation decisions is a lever on a continent-scale resource problem. FIELDWISE does not claim to solve that problem; it changes the way one class of decision-support technology is built, evaluated and transferred, and the value of that change is what the paragraphs below quantify. Each contribution is anchored to the project's eleven KPIs (K1 to K11), each of which fixes a verifiable target on a named project output, so that magnitude is asserted against measurable commitments rather than rhetorically.</w:t>
      </w:r>
    </w:p>
    <w:p>
      <w:pPr>
        <w:pStyle w:val="Heading3"/>
      </w:pPr>
      <w:r>
        <w:t>Scientific impact and its reach beyond the project</w:t>
      </w:r>
    </w:p>
    <w:p>
      <w:r>
        <w:rPr>
          <w:b w:val="0"/>
          <w:caps w:val="0"/>
        </w:rPr>
        <w:t>The project's primary scientific contribution is a framework for agricultural AI evaluated according to temporal, geographic and operational transferability rather than only retrospective accuracy, and, additionally, a methodological bridge between high-information proximal hyperspectral observations and scalable Sentinel-based prediction. The importance of this is that it is not confined to processing tomato or to the two study regions: the failure mode it corrects — models that score well on retrospective metrics such as R², RMSE or classification accuracy yet transfer poorly to new seasons, new regions and real farms — is generic to accuracy-centred agricultural machine learning, so a demonstrated, reusable alternative evaluation discipline is of interest to the wider agricultural remote-sensing and agricultural-AI community well beyond FIELDWISE's own experiments. The magnitude of this contribution is made concrete and durable by three openly released assets rather than by publications alone: the Hyperspectral-to-Sentinel transfer library (D2.2), released with an explicit transferable or hyperspectral-only verdict recorded against every candidate feature (K2); the FIELDWISE predictive engine/model card (D3.2), released with a published model card (K4) and reporting calibration and prediction-interval coverage at forecast horizons t+1, t+3 and t+5 (K3); and the Adaptation protocol (D4.3), which states the minimum local-calibration volume needed to re-fit the model to a new agro-environment (K6). These map directly to the call's expected impacts of an enriched, more inter-connected European R&amp;I culture and of increased R&amp;I capacity, output and knowledge transfer among European research organisations, and the last of them — a stated minimum calibration cost — is precisely what converts a locally trained model into an asset other European groups can re-use at a known, bounded cost, which is the mechanism by which the scientific contribution propagates beyond the immediate scope.</w:t>
      </w:r>
    </w:p>
    <w:p>
      <w:pPr>
        <w:pStyle w:val="Heading3"/>
      </w:pPr>
      <w:r>
        <w:t>Economic and technological impact</w:t>
      </w:r>
    </w:p>
    <w:p>
      <w:r>
        <w:rPr>
          <w:b w:val="0"/>
          <w:caps w:val="0"/>
        </w:rPr>
        <w:t>The economic and technological importance of FIELDWISE lies in its deliberate advancement of the work from a desktop research prototype to a scientifically validated web MVP, and in the fact that its readiness for real use is judged not by the project itself but by an external, non-academic evaluator. The DrR web MVP (D5.1) is a reachable tool serving stress probability, uncertainty, spatial risk, irrigation priority and temporal evolution (K7); the AgroVIR functional/technical evaluation (D5.4) assesses it against real agricultural-software requirements across all nine assessment dimensions (K9); and the FMIS integration roadmap (D5.5) names the required interfaces and the concrete post-fellowship steps for embedding the engine in farm-management information systems (K10). The importance of this chain is that it makes the route to economic uptake explicit and independently tested rather than asserted, which is the specific remedy to the previous submission's finding that the economic and technological route to users was insufficiently substantiated. The economic relevance of the target problem is itself substantial: water scarcity already produces agricultural yield losses and higher water costs in Europe, irrigation demand is expected to increase under climate change, and processing tomato is a high-value horticultural crop in which improved irrigation timing can therefore carry substantial agronomic and economic relevance. The magnitude of the available exploitation channel is unusually favourable for a single-fellow action because the non-academic partner is not a laboratory but a company whose farm-management information system is reported to be in production use across more than 745,000 hectares in eight countries, including Hungary and Bulgaria — the two countries FIELDWISE works in — so the roadmap it writes from inside the implementing company points at an existing operational footprint rather than a hypothetical market. This substantiates the call's expected impact of strengthened R&amp;I competitiveness and knowledge-transfer capacity of participating organisations; it is presented as the scale of the route to users, not as a promise of adoption within the fellowship, which the project explicitly does not make.</w:t>
      </w:r>
    </w:p>
    <w:p>
      <w:pPr>
        <w:pStyle w:val="Heading3"/>
      </w:pPr>
      <w:r>
        <w:t>Societal and environmental impact</w:t>
      </w:r>
    </w:p>
    <w:p>
      <w:r>
        <w:rPr>
          <w:b w:val="0"/>
          <w:caps w:val="0"/>
        </w:rPr>
        <w:t>The societal and environmental contribution follows from the same mechanism seen from the public side. By improving the timing and spatial prioritisation of irrigation decisions, FIELDWISE contributes to the EU-level opportunity for water savings in irrigated agriculture. Importantly, and as a matter of credibility rather than modesty, the project does not claim in advance that it will achieve a particular percentage reduction in water use; the environmental benefit will be quantified from project evidence rather than pre-declared. This discipline is deliberate: an MSCA-PF action with one fellow and a 30-month horizon cannot honestly commit to a headline water-saving number, and stating one would weaken rather than strengthen the impact case. What the project can commit to, and does, is the field-level measurement that makes any later saving assessable — the Field Decision Value report (D5.3) computes decision value for at least two competing models and reports lead time, false action rate and missed stress rate (K8), so that model choice is driven by operational usefulness rather than retrospective fit. Beyond the environmental route, the societal reach of the action is broadened by two public-facing measures the project commits to as activities: one public field demonstration with AgroVIR farmers and one public-facing article per year, which serve the call's expected impact of broadened public engagement with research and innovation and which, being operator-decided activities, carry no deliverable identifier of their own. The results are also carried into education through the co-design and delivery of a module unit within an ELTE MSc course on Earth observation for agriculture, serving the expected impact on the feedback of research results into teaching; and, at the level of the individual researcher, the fellowship's contribution to improved employability and career mobility within and beyond academia — carried by the Career Development Plan (D1.3) and the inter-sectoral placement, and argued in full in 2.1 — feeds the call's broader societal aim of a more dynamic and flexible European research talent base. Convergence of researcher working conditions with the European Charter for Researchers is evidenced at instrument level by the Career Development Plan (D1.3) and by ELTE's recruitment and researcher-development policies; no HR Excellence in Research accreditation is claimed.</w:t>
      </w:r>
    </w:p>
    <w:p>
      <w:pPr>
        <w:pStyle w:val="Heading3"/>
      </w:pPr>
      <w:r>
        <w:t>The European dimension and replicability</w:t>
      </w:r>
    </w:p>
    <w:p>
      <w:r>
        <w:rPr>
          <w:b w:val="0"/>
          <w:caps w:val="0"/>
        </w:rPr>
        <w:t>The distinctively European importance of FIELDWISE is that its architecture directly investigates whether agricultural AI developed in one European environment can be transferred to another. The MATE-to-MVCRI design tests this concretely — the Hungary→Bulgaria transferability report (D4.2) reports both zero-shot and locally calibrated performance (K5) — but the contribution reaches past these two sites, because the question it answers is the general one of how locally developed agricultural intelligence can become reliably transferable rather than remaining confined to the field in which it was trained. This is why the Adaptation protocol (D4.3), by stating the minimum local calibration required to move the model to a new agro-environment, is as much a European-impact instrument as a scientific one: it turns a Hungary-to-Bulgaria result into a re-usable recipe for adaptation to other European growing regions, so the magnitude of the contribution is bounded below by the two tested regions and, through the protocol, extensible to others at a stated cost. The cross-country, inter-sectoral and interdisciplinary character of the action — international transfer with MVCRI, inter-sectoral evaluation and placement with AgroVIR, and the two-way transfer between plant physiology and geoinformatics between the fellow and ELTE — is exactly the profile the call associates with strengthened European research collaboration.</w:t>
      </w:r>
    </w:p>
    <w:p>
      <w:pPr>
        <w:pStyle w:val="Heading3"/>
      </w:pPr>
      <w:r>
        <w:t>Magnitude, importance and the discipline of the quantified claim</w:t>
      </w:r>
    </w:p>
    <w:p>
      <w:r>
        <w:rPr>
          <w:b w:val="0"/>
          <w:caps w:val="0"/>
        </w:rPr>
        <w:t>Taken together, the project's contribution is proportionate to a single-fellow action yet structured so that its importance is not: the transferability-first evaluation framework, the hyperspectral-to-Sentinel bridge, the reusable transfer library, model card and adaptation protocol, the externally evaluated MVP and the named FMIS integration route are each designed to outlive the fellowship and to be picked up by others. The magnitude of each claim is disciplined by an explicit KPI, so an evaluator can check the commitment rather than take the ambition on trust: five integrated seasons (K1), an explicit transferability verdict on every candidate feature (K2), three evaluated forecast horizons (K3), a published model card (K4), a reported zero-shot and calibrated cross-country gap (K5), a stated adaptation cost (K6), a reachable MVP (K7), decision value computed for at least two models (K8), a nine-dimension external evaluation (K9), a defined integration path (K10), and a career plan agreed and reviewed on a fixed cadence (K11). Where a number would be credible and meaningful — the extent of European water scarcity, the horizons at which forecasts are issued, the dimensions on which the tool is externally assessed, the operational footprint of the exploitation channel — the project states it; where a number could only be guessed — the eventual water saving — it refuses to pre-commit and instead builds the measurement that will supply the number honestly. That combination of demonstrable reach and refusal to over-claim is the substance of FIELDWISE's contribution to the expected scientific, societal and economic impacts.</w:t>
      </w:r>
    </w:p>
    <w:p>
      <w:pPr>
        <w:pStyle w:val="Heading1"/>
        <w:pageBreakBefore/>
      </w:pPr>
      <w:r>
        <w:t>3 — Quality and efficiency of the implementation</w:t>
      </w:r>
    </w:p>
    <w:p>
      <w:pPr>
        <w:pStyle w:val="Heading2"/>
      </w:pPr>
      <w:r>
        <w:t>3.1  Quality and effectiveness of the work plan, assessment of risks and appropriateness of the effort assigned to work packages</w:t>
      </w:r>
    </w:p>
    <w:p>
      <w:pPr>
        <w:pStyle w:val="Heading3"/>
      </w:pPr>
      <w:r>
        <w:t>Overall structure of the work plan</w:t>
      </w:r>
    </w:p>
    <w:p>
      <w:r>
        <w:rPr>
          <w:b w:val="0"/>
          <w:caps w:val="0"/>
        </w:rPr>
        <w:t>FIELDWISE is a single-researcher European Fellowship of 30 months, comprising a 24-month research and training programme at the beneficiary Eötvös Loránd University (ELTE) (M1–M24) and a 6-month non-academic placement at AGROVIR Üzletviteli Tanácsadó Korlátolt Felelősségű Társaság (M25–M30) under constraint CC-07. All research is executed by the experienced researcher, Dr. Rositsa Cholakova, who carries every work package; the partner organisations contribute environment, data, supervision and evaluation in kind. The work plan is organised into five scientific work packages that form a single, deliberately linear evidence chain — from raw data and target definition, through physiological signal discovery and predictive modelling, to transferability testing and operational validation — plus a continuous cross-cutting strand of management, training and dissemination that spans the whole action.</w:t>
      </w:r>
    </w:p>
    <w:p>
      <w:r>
        <w:rPr>
          <w:b w:val="0"/>
          <w:caps w:val="0"/>
        </w:rPr>
        <w:t>The five work packages, with their leads and durations, are:</w:t>
      </w:r>
    </w:p>
    <w:p>
      <w:pPr>
        <w:pStyle w:val="ListBullet"/>
      </w:pPr>
      <w:r>
        <w:rPr>
          <w:b/>
          <w:caps w:val="0"/>
        </w:rPr>
        <w:t>WP1 — Historical Data and Target Design</w:t>
      </w:r>
      <w:r>
        <w:rPr>
          <w:b w:val="0"/>
          <w:caps w:val="0"/>
        </w:rPr>
        <w:t xml:space="preserve"> (M1–M6; lead: Magyar Agrár- és Élettudományi Egyetem, contributing: Eötvös Loránd University (ELTE)). Harmonises the five-year MATE hyperspectral, soil, meteorological and management archive, audits missingness and data quality, and — most importantly for the scientific claim — replaces spectral-proxy stress definitions with a physiologically grounded water-stress target and a leakage-safe validation design. Deliverables: </w:t>
      </w:r>
      <w:r>
        <w:rPr>
          <w:b/>
          <w:caps w:val="0"/>
        </w:rPr>
        <w:t>Harmonised historical database</w:t>
      </w:r>
      <w:r>
        <w:rPr>
          <w:b w:val="0"/>
          <w:caps w:val="0"/>
        </w:rPr>
        <w:t xml:space="preserve"> (D1.1, M6), </w:t>
      </w:r>
      <w:r>
        <w:rPr>
          <w:b/>
          <w:caps w:val="0"/>
        </w:rPr>
        <w:t>Data/target/validation protocol</w:t>
      </w:r>
      <w:r>
        <w:rPr>
          <w:b w:val="0"/>
          <w:caps w:val="0"/>
        </w:rPr>
        <w:t xml:space="preserve"> (D1.2, M6), and the </w:t>
      </w:r>
      <w:r>
        <w:rPr>
          <w:b/>
          <w:caps w:val="0"/>
        </w:rPr>
        <w:t>Career Development Plan</w:t>
      </w:r>
      <w:r>
        <w:rPr>
          <w:b w:val="0"/>
          <w:caps w:val="0"/>
        </w:rPr>
        <w:t xml:space="preserve"> (D1.3, M3).</w:t>
      </w:r>
    </w:p>
    <w:p>
      <w:pPr>
        <w:pStyle w:val="ListBullet"/>
      </w:pPr>
      <w:r>
        <w:rPr>
          <w:b/>
          <w:caps w:val="0"/>
        </w:rPr>
        <w:t>WP2 — Physiological Early Warning and Hyperspectral-to-Sentinel Transfer</w:t>
      </w:r>
      <w:r>
        <w:rPr>
          <w:b w:val="0"/>
          <w:caps w:val="0"/>
        </w:rPr>
        <w:t xml:space="preserve"> (M3–M14; lead: Magyar Agrár- és Élettudományi Egyetem, contributing: Eötvös Loránd University (ELTE)). Discovers physiologically meaningful hyperspectral early-warning signatures and establishes their reproducibility in Sentinel-2-resampled spectral space. Deliverables: </w:t>
      </w:r>
      <w:r>
        <w:rPr>
          <w:b/>
          <w:caps w:val="0"/>
        </w:rPr>
        <w:t>Physiological validation dataset</w:t>
      </w:r>
      <w:r>
        <w:rPr>
          <w:b w:val="0"/>
          <w:caps w:val="0"/>
        </w:rPr>
        <w:t xml:space="preserve"> (D2.1, M14) and </w:t>
      </w:r>
      <w:r>
        <w:rPr>
          <w:b/>
          <w:caps w:val="0"/>
        </w:rPr>
        <w:t>Hyperspectral-to-Sentinel transfer library</w:t>
      </w:r>
      <w:r>
        <w:rPr>
          <w:b w:val="0"/>
          <w:caps w:val="0"/>
        </w:rPr>
        <w:t xml:space="preserve"> (D2.2, M14).</w:t>
      </w:r>
    </w:p>
    <w:p>
      <w:pPr>
        <w:pStyle w:val="ListBullet"/>
      </w:pPr>
      <w:r>
        <w:rPr>
          <w:b/>
          <w:caps w:val="0"/>
        </w:rPr>
        <w:t>WP3 — Prospective and Uncertainty-Aware Prediction</w:t>
      </w:r>
      <w:r>
        <w:rPr>
          <w:b w:val="0"/>
          <w:caps w:val="0"/>
        </w:rPr>
        <w:t xml:space="preserve"> (M6–M18; lead: Eötvös Loránd University (ELTE), contributing: Magyar Agrár- és Élettudományi Egyetem). Develops calibrated, uncertainty-aware, multi-horizon forecasts, benchmarking transparent baselines, tree-ensemble and Bayesian/hierarchical approaches. Deliverables: </w:t>
      </w:r>
      <w:r>
        <w:rPr>
          <w:b/>
          <w:caps w:val="0"/>
        </w:rPr>
        <w:t>Comparative modelling benchmark</w:t>
      </w:r>
      <w:r>
        <w:rPr>
          <w:b w:val="0"/>
          <w:caps w:val="0"/>
        </w:rPr>
        <w:t xml:space="preserve"> (D3.1, M18) and </w:t>
      </w:r>
      <w:r>
        <w:rPr>
          <w:b/>
          <w:caps w:val="0"/>
        </w:rPr>
        <w:t>FIELDWISE predictive engine/model card</w:t>
      </w:r>
      <w:r>
        <w:rPr>
          <w:b w:val="0"/>
          <w:caps w:val="0"/>
        </w:rPr>
        <w:t xml:space="preserve"> (D3.2, M18).</w:t>
      </w:r>
    </w:p>
    <w:p>
      <w:pPr>
        <w:pStyle w:val="ListBullet"/>
      </w:pPr>
      <w:r>
        <w:rPr>
          <w:b/>
          <w:caps w:val="0"/>
        </w:rPr>
        <w:t>WP4 — Temporal and Cross-Country Transferability</w:t>
      </w:r>
      <w:r>
        <w:rPr>
          <w:b w:val="0"/>
          <w:caps w:val="0"/>
        </w:rPr>
        <w:t xml:space="preserve"> (M12–M21; lead: Magyar Agrár- és Élettudományi Egyetem, contributing: Институт по зеленчукови култури „Марица“ – Пловдив). Quantifies temporal (leave-one-year-out) transfer within the MATE data and Hungary-to-Bulgaria transfer to the independent MVCRI domain, and separates universal from site-specific predictors. Deliverables: </w:t>
      </w:r>
      <w:r>
        <w:rPr>
          <w:b/>
          <w:caps w:val="0"/>
        </w:rPr>
        <w:t>Temporal transferability benchmark</w:t>
      </w:r>
      <w:r>
        <w:rPr>
          <w:b w:val="0"/>
          <w:caps w:val="0"/>
        </w:rPr>
        <w:t xml:space="preserve"> (D4.1, M21), </w:t>
      </w:r>
      <w:r>
        <w:rPr>
          <w:b/>
          <w:caps w:val="0"/>
        </w:rPr>
        <w:t>Hungary→Bulgaria transferability report</w:t>
      </w:r>
      <w:r>
        <w:rPr>
          <w:b w:val="0"/>
          <w:caps w:val="0"/>
        </w:rPr>
        <w:t xml:space="preserve"> (D4.2, M21) and </w:t>
      </w:r>
      <w:r>
        <w:rPr>
          <w:b/>
          <w:caps w:val="0"/>
        </w:rPr>
        <w:t>Adaptation protocol</w:t>
      </w:r>
      <w:r>
        <w:rPr>
          <w:b w:val="0"/>
          <w:caps w:val="0"/>
        </w:rPr>
        <w:t xml:space="preserve"> (D4.3, M21).</w:t>
      </w:r>
    </w:p>
    <w:p>
      <w:pPr>
        <w:pStyle w:val="ListBullet"/>
      </w:pPr>
      <w:r>
        <w:rPr>
          <w:b/>
          <w:caps w:val="0"/>
        </w:rPr>
        <w:t>WP5 — Operational Transfer, Decision Value and Web MVP</w:t>
      </w:r>
      <w:r>
        <w:rPr>
          <w:b w:val="0"/>
          <w:caps w:val="0"/>
        </w:rPr>
        <w:t xml:space="preserve"> (M16–M30; lead: Eötvös Loránd University (ELTE), contributing: AGROVIR Üzletviteli Tanácsadó Korlátolt Felelősségű Társaság). Translates validated predictions into irrigation-priority logic and a functional web MVP, evaluates field-level decision value under commercial conditions, and defines a post-MSCA integration route. Deliverables: </w:t>
      </w:r>
      <w:r>
        <w:rPr>
          <w:b/>
          <w:caps w:val="0"/>
        </w:rPr>
        <w:t>DrR web MVP</w:t>
      </w:r>
      <w:r>
        <w:rPr>
          <w:b w:val="0"/>
          <w:caps w:val="0"/>
        </w:rPr>
        <w:t xml:space="preserve"> (D5.1, M24), </w:t>
      </w:r>
      <w:r>
        <w:rPr>
          <w:b/>
          <w:caps w:val="0"/>
        </w:rPr>
        <w:t>Commercial-field transferability assessment</w:t>
      </w:r>
      <w:r>
        <w:rPr>
          <w:b w:val="0"/>
          <w:caps w:val="0"/>
        </w:rPr>
        <w:t xml:space="preserve"> (D5.2, M30), </w:t>
      </w:r>
      <w:r>
        <w:rPr>
          <w:b/>
          <w:caps w:val="0"/>
        </w:rPr>
        <w:t>Field Decision Value report</w:t>
      </w:r>
      <w:r>
        <w:rPr>
          <w:b w:val="0"/>
          <w:caps w:val="0"/>
        </w:rPr>
        <w:t xml:space="preserve"> (D5.3, M30), </w:t>
      </w:r>
      <w:r>
        <w:rPr>
          <w:b/>
          <w:caps w:val="0"/>
        </w:rPr>
        <w:t>AgroVIR functional/technical evaluation</w:t>
      </w:r>
      <w:r>
        <w:rPr>
          <w:b w:val="0"/>
          <w:caps w:val="0"/>
        </w:rPr>
        <w:t xml:space="preserve"> (D5.4, M30) and </w:t>
      </w:r>
      <w:r>
        <w:rPr>
          <w:b/>
          <w:caps w:val="0"/>
        </w:rPr>
        <w:t>FMIS integration roadmap</w:t>
      </w:r>
      <w:r>
        <w:rPr>
          <w:b w:val="0"/>
          <w:caps w:val="0"/>
        </w:rPr>
        <w:t xml:space="preserve"> (D5.5, M30).</w:t>
      </w:r>
    </w:p>
    <w:p>
      <w:r>
        <w:rPr>
          <w:b w:val="0"/>
          <w:caps w:val="0"/>
        </w:rPr>
        <w:t>Six milestones mark the verifiable transitions between phases: MS1 (M6, data and target readiness), MS2 (M12, a Sentinel-observable, physiologically meaningful early-warning signature established), MS3 (M16, the predictor ready for independent transferability testing), MS4 (M20, independent cross-country transferability quantified), MS5 (M23, the web MVP externally evaluated under farmer/operational conditions) and MS6 (M30, the non-academic placement completed from inside the host company). Each milestone attaches to a named deliverable and to a Steering Group go/no-go decision, so that no phase advances on the strength of an unverified predecessor.</w:t>
      </w:r>
    </w:p>
    <w:p>
      <w:pPr>
        <w:pStyle w:val="Heading3"/>
      </w:pPr>
      <w:r>
        <w:t>Timing of the work packages and their components</w:t>
      </w:r>
    </w:p>
    <w:p>
      <w:r>
        <w:rPr>
          <w:b w:val="0"/>
          <w:caps w:val="0"/>
        </w:rPr>
        <w:t>The schedule is designed so that dependencies are respected while overlap is exploited to keep the fellowship productive throughout. WP1 front-loads the data foundation in the first six months. WP2 begins at M3 and overlaps WP1, because signature discovery can start on the parts of the archive already harmonised; the WP1→WP2 relationship is a data dependency, not strict sequencing. WP3 opens at M6 (the month WP1 closes), consuming both the leakage-safe validation design fixed by task T1.5 and the Sentinel-compatible feature basis emerging from WP2. WP4 starts at M12: its early temporal-validation tasks run on interim models, while the hard dependency — zero-shot MATE→MVCRI transfer (T4.3) — is scheduled after the WP3 engine (D3.2) is available. WP5 begins at M16 and is the longest work package; the predictive engine is transferred into the MVP only after scientific validation, and the operational-transfer conclusions depend on the WP4 cross-country findings.</w:t>
      </w:r>
    </w:p>
    <w:p>
      <w:r>
        <w:rPr>
          <w:b w:val="0"/>
          <w:caps w:val="0"/>
        </w:rPr>
        <w:t xml:space="preserve">Deliverable due months follow this logic: D5.1 (the </w:t>
      </w:r>
      <w:r>
        <w:rPr>
          <w:b/>
          <w:caps w:val="0"/>
        </w:rPr>
        <w:t>DrR web MVP</w:t>
      </w:r>
      <w:r>
        <w:rPr>
          <w:b w:val="0"/>
          <w:caps w:val="0"/>
        </w:rPr>
        <w:t xml:space="preserve">) is deliberately dated M24, before the placement window opens, so that the M25–M30 placement is validation and transfer rather than first build. The one non-trivial sequencing question in the seed — D5.4 being claimed both by MS5 at M23 and by the placement window — is resolved in the finalised timeline by dating the </w:t>
      </w:r>
      <w:r>
        <w:rPr>
          <w:b/>
          <w:caps w:val="0"/>
        </w:rPr>
        <w:t>AgroVIR functional/technical evaluation</w:t>
      </w:r>
      <w:r>
        <w:rPr>
          <w:b w:val="0"/>
          <w:caps w:val="0"/>
        </w:rPr>
        <w:t xml:space="preserve"> (D5.4) at M30 inside the placement and evidencing MS5 at M23 through the completed Field Decision Value assessment instead; the operational and interoperability assessment therefore belongs unambiguously to the placement and, together with the </w:t>
      </w:r>
      <w:r>
        <w:rPr>
          <w:b/>
          <w:caps w:val="0"/>
        </w:rPr>
        <w:t>FMIS integration roadmap</w:t>
      </w:r>
      <w:r>
        <w:rPr>
          <w:b w:val="0"/>
          <w:caps w:val="0"/>
        </w:rPr>
        <w:t xml:space="preserve"> (D5.5), carries the MS6 verification.</w:t>
      </w:r>
    </w:p>
    <w:p>
      <w:r>
        <w:rPr>
          <w:b w:val="0"/>
          <w:caps w:val="0"/>
        </w:rPr>
        <w:t>Because this is a single-researcher action, the timeline is constrained so that concurrent work packages never demand more than one full-time equivalent of the fellow in any month; the finalised schedule closes with no unresolved scheduling constraints and no unresolved critical-path dependency. The critical path runs through the data foundation (T1.1, T1.4, MS1), the physiological-signal and modelling core (T2.2, T2.6, T3.4, T3.6, T3.7, MS3), the transferability adaptation (T4.6, MS4) and the operational transfer and placement (T5.4, T5.5, T5.6, MS6).</w:t>
      </w:r>
    </w:p>
    <w:p>
      <w:pPr>
        <w:pStyle w:val="Heading3"/>
      </w:pPr>
      <w:r>
        <w:t>Gantt chart (months elapsed)</w:t>
      </w:r>
    </w:p>
    <w:p>
      <w:r>
        <w:rPr>
          <w:b w:val="0"/>
          <w:caps w:val="0"/>
        </w:rPr>
        <w:t>The chart below shows work packages, the placement, the continuous management/training/dissemination strand, and the elapsed-month position of each major deliverable, milestone and Steering Group decision point. Columns are months 1–30 (months elapsed, not calendar dates); each cell is one month.</w:t>
      </w:r>
    </w:p>
    <w:tbl>
      <w:tblPr>
        <w:tblW w:type="auto" w:w="0"/>
        <w:jc w:val="center"/>
        <w:tblLayout w:type="autofit"/>
        <w:tblLook w:firstColumn="1" w:firstRow="1" w:lastColumn="0" w:lastRow="0" w:noHBand="0" w:noVBand="1" w:val="04A0"/>
      </w:tblPr>
      <w:tblGrid>
        <w:gridCol w:w="8958"/>
      </w:tblGrid>
      <w:tr>
        <w:tc>
          <w:tcPr>
            <w:tcW w:type="dxa" w:w="8958"/>
            <w:shd w:val="clear" w:fill="EFF1E7"/>
            <w:tcMar>
              <w:top w:w="170" w:type="dxa"/>
              <w:start w:w="170" w:type="dxa"/>
              <w:bottom w:w="170" w:type="dxa"/>
              <w:end w:w="170" w:type="dxa"/>
            </w:tcMar>
          </w:tcPr>
          <w:p>
            <w:pPr>
              <w:spacing w:after="0" w:line="240" w:lineRule="auto"/>
            </w:pPr>
            <w:r>
              <w:rPr>
                <w:rFonts w:ascii="Consolas" w:hAnsi="Consolas"/>
                <w:b w:val="0"/>
                <w:caps w:val="0"/>
                <w:sz w:val="13"/>
              </w:rPr>
              <w:t>Month:                 1    5    10   15   20   25   30</w:t>
            </w:r>
          </w:p>
          <w:p>
            <w:pPr>
              <w:spacing w:after="0" w:line="240" w:lineRule="auto"/>
            </w:pPr>
            <w:r>
              <w:rPr>
                <w:rFonts w:ascii="Consolas" w:hAnsi="Consolas"/>
                <w:b w:val="0"/>
                <w:caps w:val="0"/>
                <w:sz w:val="13"/>
              </w:rPr>
              <w:t xml:space="preserve">                       |    |    |    |    |    |    |</w:t>
            </w:r>
          </w:p>
          <w:p>
            <w:pPr>
              <w:spacing w:after="0" w:line="240" w:lineRule="auto"/>
            </w:pPr>
            <w:r>
              <w:rPr>
                <w:rFonts w:ascii="Consolas" w:hAnsi="Consolas"/>
                <w:b w:val="0"/>
                <w:caps w:val="0"/>
                <w:sz w:val="13"/>
              </w:rPr>
              <w:t>WP1 Hist. Data/Target  ######........................</w:t>
            </w:r>
          </w:p>
          <w:p>
            <w:pPr>
              <w:spacing w:after="0" w:line="240" w:lineRule="auto"/>
            </w:pPr>
            <w:r>
              <w:rPr>
                <w:rFonts w:ascii="Consolas" w:hAnsi="Consolas"/>
                <w:b w:val="0"/>
                <w:caps w:val="0"/>
                <w:sz w:val="13"/>
              </w:rPr>
              <w:t>WP2 Phys. EW / H2S     ..############................</w:t>
            </w:r>
          </w:p>
          <w:p>
            <w:pPr>
              <w:spacing w:after="0" w:line="240" w:lineRule="auto"/>
            </w:pPr>
            <w:r>
              <w:rPr>
                <w:rFonts w:ascii="Consolas" w:hAnsi="Consolas"/>
                <w:b w:val="0"/>
                <w:caps w:val="0"/>
                <w:sz w:val="13"/>
              </w:rPr>
              <w:t>WP3 Prospective Pred.  .....#############............</w:t>
            </w:r>
          </w:p>
          <w:p>
            <w:pPr>
              <w:spacing w:after="0" w:line="240" w:lineRule="auto"/>
            </w:pPr>
            <w:r>
              <w:rPr>
                <w:rFonts w:ascii="Consolas" w:hAnsi="Consolas"/>
                <w:b w:val="0"/>
                <w:caps w:val="0"/>
                <w:sz w:val="13"/>
              </w:rPr>
              <w:t>WP4 Transferability    ...........##########.........</w:t>
            </w:r>
          </w:p>
          <w:p>
            <w:pPr>
              <w:spacing w:after="0" w:line="240" w:lineRule="auto"/>
            </w:pPr>
            <w:r>
              <w:rPr>
                <w:rFonts w:ascii="Consolas" w:hAnsi="Consolas"/>
                <w:b w:val="0"/>
                <w:caps w:val="0"/>
                <w:sz w:val="13"/>
              </w:rPr>
              <w:t>WP5 Oper./DrR MVP      ...............###############</w:t>
            </w:r>
          </w:p>
          <w:p>
            <w:pPr>
              <w:spacing w:after="0" w:line="240" w:lineRule="auto"/>
            </w:pPr>
            <w:r>
              <w:rPr>
                <w:rFonts w:ascii="Consolas" w:hAnsi="Consolas"/>
                <w:b w:val="0"/>
                <w:caps w:val="0"/>
                <w:sz w:val="13"/>
              </w:rPr>
              <w:t>Placement @ AgroVIR    ........................######</w:t>
            </w:r>
          </w:p>
          <w:p>
            <w:pPr>
              <w:spacing w:after="0" w:line="240" w:lineRule="auto"/>
            </w:pPr>
            <w:r>
              <w:rPr>
                <w:rFonts w:ascii="Consolas" w:hAnsi="Consolas"/>
                <w:b w:val="0"/>
                <w:caps w:val="0"/>
                <w:sz w:val="13"/>
              </w:rPr>
              <w:t>Mgmt/Training/Dissem.  ##############################</w:t>
            </w:r>
          </w:p>
          <w:p>
            <w:pPr>
              <w:spacing w:after="0" w:line="240" w:lineRule="auto"/>
            </w:pPr>
            <w:r>
              <w:rPr>
                <w:rFonts w:ascii="Consolas" w:hAnsi="Consolas"/>
                <w:b w:val="0"/>
                <w:caps w:val="0"/>
                <w:sz w:val="13"/>
              </w:rPr>
              <w:t xml:space="preserve"> </w:t>
            </w:r>
          </w:p>
          <w:p>
            <w:pPr>
              <w:spacing w:after="0" w:line="240" w:lineRule="auto"/>
            </w:pPr>
            <w:r>
              <w:rPr>
                <w:rFonts w:ascii="Consolas" w:hAnsi="Consolas"/>
                <w:b w:val="0"/>
                <w:caps w:val="0"/>
                <w:sz w:val="13"/>
              </w:rPr>
              <w:t>Milestones:   MS1(M6)  MS2(M12)  MS3(M16)  MS4(M20)  MS5(M23)  MS6(M30)</w:t>
            </w:r>
          </w:p>
          <w:p>
            <w:pPr>
              <w:spacing w:after="0" w:line="240" w:lineRule="auto"/>
            </w:pPr>
            <w:r>
              <w:rPr>
                <w:rFonts w:ascii="Consolas" w:hAnsi="Consolas"/>
                <w:b w:val="0"/>
                <w:caps w:val="0"/>
                <w:sz w:val="13"/>
              </w:rPr>
              <w:t>Deliverables: D1.3(M3); D1.1,D1.2(M6); D2.1,D2.2(M14); D3.1,D3.2(M18);</w:t>
            </w:r>
          </w:p>
          <w:p>
            <w:pPr>
              <w:spacing w:after="0" w:line="240" w:lineRule="auto"/>
            </w:pPr>
            <w:r>
              <w:rPr>
                <w:rFonts w:ascii="Consolas" w:hAnsi="Consolas"/>
                <w:b w:val="0"/>
                <w:caps w:val="0"/>
                <w:sz w:val="13"/>
              </w:rPr>
              <w:t xml:space="preserve">              D4.1,D4.2,D4.3(M21); D5.1(M24); D5.2,D5.3,D5.4,D5.5(M30)</w:t>
            </w:r>
          </w:p>
          <w:p>
            <w:pPr>
              <w:spacing w:after="0" w:line="240" w:lineRule="auto"/>
            </w:pPr>
            <w:r>
              <w:rPr>
                <w:rFonts w:ascii="Consolas" w:hAnsi="Consolas"/>
                <w:b w:val="0"/>
                <w:caps w:val="0"/>
                <w:sz w:val="13"/>
              </w:rPr>
              <w:t>Steering Group decision points: M6, M12, M16, M20, M27</w:t>
            </w:r>
          </w:p>
          <w:p>
            <w:pPr>
              <w:spacing w:after="0" w:line="240" w:lineRule="auto"/>
            </w:pPr>
            <w:r>
              <w:rPr>
                <w:rFonts w:ascii="Consolas" w:hAnsi="Consolas"/>
                <w:b w:val="0"/>
                <w:caps w:val="0"/>
                <w:sz w:val="13"/>
              </w:rPr>
              <w:t>Non-academic placement (secondment-equivalent): AgroVIR, M25-M30</w:t>
            </w:r>
          </w:p>
        </w:tc>
      </w:tr>
    </w:tbl>
    <w:p>
      <w:r>
        <w:rPr>
          <w:b w:val="0"/>
          <w:caps w:val="0"/>
        </w:rPr>
        <w:t>The action contains one mobility event beyond the intersectoral placement: the fellow's incoming European-Fellowship move from Bulgaria to Hungary at the start of the action; there are no additional academic secondments in this single-beneficiary plan.</w:t>
      </w:r>
    </w:p>
    <w:p>
      <w:pPr>
        <w:pStyle w:val="Heading3"/>
      </w:pPr>
      <w:r>
        <w:t>Appropriateness of the effort assigned to the work packages</w:t>
      </w:r>
    </w:p>
    <w:p>
      <w:r>
        <w:rPr>
          <w:b w:val="0"/>
          <w:caps w:val="0"/>
        </w:rPr>
        <w:t>The fellow's effort totals 30.0 person-months, equal to the action duration, since the fellow is the only MSCA-funded effort. It is distributed as: WP1 3.0 PM (10.0%), WP2 5.5 PM (18.3%), WP3 5.5 PM (18.3%), WP4 4.0 PM (13.3%), WP5 9.0 PM (30.0%), and the cross-cutting management/training/dissemination strand 3.0 PM (10.0%). This profile is proportionate to scientific weight and risk: the two knowledge-generating work packages (WP2, WP3) together take 36.6% of effort, while WP5 is the single largest allocation because it carries the operational MVP, the commercial-field decision-value evidence, and the six-month evaluated placement. WP1 is intentionally lean but front-loaded, because a robust target definition and leakage-safe split are prerequisites for every downstream claim. The tightest month band is M16–M21, where WP4 and WP5 run concurrently; the timeline keeps this within one FTE.</w:t>
      </w:r>
    </w:p>
    <w:p>
      <w:r>
        <w:rPr>
          <w:b w:val="0"/>
          <w:caps w:val="0"/>
        </w:rPr>
        <w:t>Partner organisations contribute in-kind effort that is not funded or costed by MSCA-PF and therefore does not appear in the budget, but which substantiates the implementation narrative. The indicative in-kind estimates are: Magyar Agrár- és Élettudományi Egyetem 2.4 PM (supervision, data preparation and experiment access); Институт по зеленчукови култури „Марица“ – Пловдив 1.5 PM (WP4 trial hosting, ground and physiological measurement, and co-authorship of transfer-test outputs); AGROVIR Üzletviteli Tanácsadó Korlátolt Felelősségű Társaság 3.0 PM (WP5 co-lead and placement host); and ELTE supervision of 2.5 PM (supervisor) and 2.0 PM (co-supervisor), giving an indicative partner in-kind total of 11.4 PM. These five figures are operator estimates to be confirmed with the partners; they are presented as indicative rather than committed, and the largest is deliberately AgroVIR's, as the only partner hosting the fellow. The co-supervisor, Dr. Roland Hollós, provides the methodological lead and quality assurance for model development and testing, concentrated in the modelling-intensive window (WP3–WP4).</w:t>
      </w:r>
    </w:p>
    <w:p>
      <w:pPr>
        <w:pStyle w:val="Heading3"/>
      </w:pPr>
      <w:r>
        <w:t>Mechanisms to assess and mitigate risks</w:t>
      </w:r>
    </w:p>
    <w:p>
      <w:r>
        <w:rPr>
          <w:b/>
          <w:caps w:val="0"/>
        </w:rPr>
        <w:t>Risk is managed through a standing governance cadence and an explicit, itemised risk register.</w:t>
      </w:r>
      <w:r>
        <w:rPr>
          <w:b w:val="0"/>
          <w:caps w:val="0"/>
        </w:rPr>
        <w:t xml:space="preserve"> Oversight rests with a Project Steering Group chaired by the supervisor, Prof. András Jung, which meets at five corrective decision points — M6, M12, M16, M20 and M27 — and issues a go/no-go verdict at each milestone gate. The first four points align with MS1–MS4 and were introduced specifically to answer a prior evaluation criticism by embedding structured corrective moments; the fifth, at M27, is a mid-placement review that ensures the evaluated M25–M30 placement is not left unmonitored. During the placement the fellow works on site under a named AgroVIR on-site supervisor, indicatively Miklós Maróti at senior-research-officer grade; these placement-supervision details are working assumptions pending confirmation by the host company. A monthly written progress record and quarterly review against the Career Development Plan (D1.3) provide continuous, documented tracking between decision points.</w:t>
      </w:r>
    </w:p>
    <w:p>
      <w:r>
        <w:rPr>
          <w:b w:val="0"/>
          <w:caps w:val="0"/>
        </w:rPr>
        <w:t>The project maintains a 13-entry risk register (R01–R13) covering both research and administrative/technical risks, each with a likelihood, an impact and a concrete mitigation. Representative research risks include: incomplete historical MATE information (R01, medium/high — mitigated by a common-data subset, quality flags and prospective augmentation); a hyperspectral index with no Sentinel equivalent (R02 — retain for physiological discovery, exclude from the operational model); spectral and spatial mismatch between proximal and satellite sensing (R03, R04 — spectral-response-function resampling with concurrent sensor comparison, and representative plot/zone aggregation); too few physiological stress events (R05 — targeted temporal sampling across stress gradients); cloud gaps (R06 — temporal windows and Sentinel-1 where scientifically useful); and the transferability risks that unseen-year, Hungary-to-Bulgaria and farmer-field performance may drop (R07, R08, R09 — expected, quantified, and addressed by limited local/Bayesian adaptation and input/model simplification where necessary). A distinctive design risk, that a prediction may be accurate but arrive too late to act on (R11, medium/high), is mitigated by making lead time a primary model-selection criterion rather than an afterthought. Administrative and technical risks include web development delay (R12, low/medium — modular development building on the existing DrR prototype) and the possibility that full AgroVIR integration proves infeasible (R13, medium/medium — in which case the MVP assessment plus the integration roadmap remain a successful endpoint).</w:t>
      </w:r>
    </w:p>
    <w:p>
      <w:r>
        <w:rPr>
          <w:b w:val="0"/>
          <w:caps w:val="0"/>
        </w:rPr>
        <w:t>Underpinning the register is an explicit risk philosophy that de-risks the science itself: the failure of zero-shot transfer is not project failure. If FIELDWISE establishes that a model trained at MATE cannot reliably transfer to Bulgaria without a defined amount of local calibration, that quantified transferability gap is itself a significant scientific finding. This framing means the transferability work packages produce publishable, decision-relevant knowledge regardless of the sign of the result, and it is reinforced by the fallback endpoints written into R09, R10, R12 and R13, so that no single technical outcome can leave the fellowship without demonstrable results.</w:t>
      </w:r>
    </w:p>
    <w:p>
      <w:pPr>
        <w:pStyle w:val="Heading2"/>
      </w:pPr>
      <w:r>
        <w:t>3.2  Quality and capacity of the host institutions and participating organisations, including hosting arrangements</w:t>
      </w:r>
    </w:p>
    <w:p>
      <w:pPr>
        <w:pStyle w:val="Heading3"/>
      </w:pPr>
      <w:r>
        <w:t>Structure of the action and applicability of the Global Fellowship provisions</w:t>
      </w:r>
    </w:p>
    <w:p>
      <w:r>
        <w:rPr>
          <w:b/>
          <w:caps w:val="0"/>
        </w:rPr>
        <w:t>FIELDWISE is a single-beneficiary MSCA Postdoctoral Fellowship.</w:t>
      </w:r>
      <w:r>
        <w:rPr>
          <w:b w:val="0"/>
          <w:caps w:val="0"/>
        </w:rPr>
        <w:t xml:space="preserve"> The sole beneficiary and host organisation is Eötvös Loránd University (ELTE), which carries the beneficiary obligations for the full 30 months of the action. FIELDWISE is a European Fellowship, built on the experienced researcher's intra-EU move from Bulgaria to Hungary; it therefore has no outgoing phase and no non-associated Third Country host, and the Global Fellowship requirement to outline both an outgoing Third Country host and a European return host does not apply to this proposal. Around the beneficiary, three participating organisations contribute environment, data, supervision and evaluation in kind: Magyar Agrár- és Élettudományi Egyetem and Институт по зеленчукови култури „Марица“ – Пловдив take part as associated partners, and AGROVIR Üzletviteli Tanácsadó Korlátolt Felelősségű Társaság takes part as the non-academic placement host for the M25–M30 window under constraint CC-07. The placement is an optional non-academic sector placement of the kind the call foresees and is presented here as an integral, evaluable element of the action, with its added value for the researcher's career development set out below and in §1.3. None of the participating organisations is a beneficiary; each is an entity the single-researcher work plan assigns activity to, and their infrastructure, logistics and facilities are detailed further in Part B-2 Section 5.</w:t>
      </w:r>
    </w:p>
    <w:p>
      <w:pPr>
        <w:pStyle w:val="Heading3"/>
      </w:pPr>
      <w:r>
        <w:t>Quality and capacity of the host institution — Eötvös Loránd University (ELTE)</w:t>
      </w:r>
    </w:p>
    <w:p>
      <w:r>
        <w:rPr>
          <w:b w:val="0"/>
          <w:caps w:val="0"/>
        </w:rPr>
        <w:t>The fellow is hosted in the Faculty of Informatics, Institute of Cartography and Geoinformatics of Eötvös Loránd University (ELTE), at H-1117 Budapest, Pázmány Péter sétány 1/C, and specifically within the institute's remote-sensing group, which is the interdisciplinary team the fellow joins. Supervision is deliberately interdisciplinary within the beneficiary itself: the co-supervisor sits in the ELTE Department of Meteorology, a different department from the hosting institute, so the beneficiary supplies both the geoinformatics/Earth-observation environment and the machine-learning and modelling expertise the work plan needs, without recourse to an external partner for either.</w:t>
      </w:r>
    </w:p>
    <w:p>
      <w:r>
        <w:rPr>
          <w:b w:val="0"/>
          <w:caps w:val="0"/>
        </w:rPr>
        <w:t>ELTE is the primary methodological and training environment of the action, covering geoinformatics, Earth observation, advanced and uncertainty-aware modelling, transferability analysis and research integration. Its GIS and Remote Sensing Laboratory provides the physical capability on which the physiological-signal and hyperspectral-to-Sentinel work depends: a DJI Matrice 350 RTK industrial drone with RTK GPS; DJI Zenmuse L1 (LiDAR and RGB), DJI Zenmuse P1 (45 MP photogrammetry) and DJI Zenmuse H20T (thermal, zoom, wide) payloads; an Ultris S5 hyperspectral camera covering the VIS–NIR narrow bands; and a Cubert CUVIS Lab Lite hyperspectral-imaging package with calibration tools. The Ultris S5 and the Cubert CUVIS are the institute's own hyperspectral capability and are the instruments the hyperspectral-to-Sentinel resampling in WP2 relies on. On the software and computation side the laboratory offers licensed ArcGIS, ENVI and MATLAB alongside Google Earth Engine, QGIS, SNAP, Python and R, high-performance computing clusters for AI and large-scale geospatial analysis, and secure storage and backup for large remote-sensing datasets, complemented by ELTE library, IT services and open-science repositories. This inventory is a current snapshot maintained by the institute and covers every computational and sensing resource the work plan calls on.</w:t>
      </w:r>
    </w:p>
    <w:p>
      <w:r>
        <w:rPr>
          <w:b w:val="0"/>
          <w:caps w:val="0"/>
        </w:rPr>
        <w:t>The scientific standing of the hosting group is evidenced by its recent output, taken from the publication record of the supervisor, Prof. András Jung: Szabó, Jung, Varga, Hajdú, Revoly, Lausch, Vohland and Sipos (2025), Agronomy 15(12), 2860; Kundathil, Varga, Szalay, Sipos and Jung (2025), Applied Sciences 15(22), 12254; Lausch, Bumberger, Jung, Pause, Selsam, Zhou and Herzog (2025), Agriculture 15(21), 2233; and Lin, Jing, Li and Jung (2024), IEEE Geoscience and Remote Sensing Letters 21. The three 2025 items are Earth-observation and agricultural-monitoring work that is directly adjacent to the crop-monitoring methods FIELDWISE uses; the 2024 letter evidences deep-learning method breadth. FIELDWISE claims this record as adjacency and demonstrated capability in EO for agriculture rather than as identical prior work on crop-stress prediction.</w:t>
      </w:r>
    </w:p>
    <w:p>
      <w:r>
        <w:rPr>
          <w:b/>
          <w:caps w:val="0"/>
        </w:rPr>
        <w:t>Supervision is provided by two named ELTE staff and no others.</w:t>
      </w:r>
      <w:r>
        <w:rPr>
          <w:b w:val="0"/>
          <w:caps w:val="0"/>
        </w:rPr>
        <w:t xml:space="preserve"> The supervisor, Prof. András Jung, is a Professor at the Institute of Cartography and Geoinformatics working in remote sensing, hyperspectral imaging and field spectroscopy, geospatial technologies and environmental monitoring; he chairs the Project Steering Group and is the escalation point in the supervision structure. The co-supervisor, Dr. Roland Hollós, of the ELTE Department of Meteorology, works on machine learning and meta-modelling of crop and grassland multi-model outputs and on agro-meteorology, and provides the methodological lead and quality assurance for model development and testing across WP3 and WP4; the fellow designs, builds and runs the models, while the co-supervisor quality-assures them. The mentoring cadence that binds this structure — weekly one-to-ones with the supervisor, weekly technical sessions with the co-supervisor through the modelling-intensive window and quarterly review against the Career Development Plan — is set out in §3.1 and is not repeated here.</w:t>
      </w:r>
    </w:p>
    <w:p>
      <w:r>
        <w:rPr>
          <w:b/>
          <w:caps w:val="0"/>
        </w:rPr>
        <w:t>Honesty about hosting history is material to the evaluation.</w:t>
      </w:r>
      <w:r>
        <w:rPr>
          <w:b w:val="0"/>
          <w:caps w:val="0"/>
        </w:rPr>
        <w:t xml:space="preserve"> ELTE has not previously hosted a funded MSCA fellow. It has, however, hosted an MSCA Postdoctoral Fellowship application with the same fellow and the same supervisor — PLANTDIGISENSE (HORIZON-MSCA-2025-PF, proposal 101284764), which scored 70.40% against a 70.00 threshold — so the institution has demonstrably prepared to host this researcher and this project before, and FIELDWISE is a considered resubmission rather than a first, untested pairing. This is stated as an application record and an established supervisory relationship, not as prior funded-hosting experience the institution does not have.</w:t>
      </w:r>
    </w:p>
    <w:p>
      <w:pPr>
        <w:pStyle w:val="Heading3"/>
      </w:pPr>
      <w:r>
        <w:t>Hosting arrangements, integration and support services</w:t>
      </w:r>
    </w:p>
    <w:p>
      <w:r>
        <w:rPr>
          <w:b w:val="0"/>
          <w:caps w:val="0"/>
        </w:rPr>
        <w:t>The hosting arrangements ELTE provides for the fellow are: a dedicated office and laboratory space at ELTE; full integration into the institute's research groups, with weekly meetings and interdisciplinary workshops; administrative and technical support for relocation, project management, procurement and dissemination; access to short-term training courses; and participation in international networks (COST Actions, and FAO and EU webinars). These arrangements were established for the same applicant, host, institute and supervisor and are institutional facts about how ELTE integrates and supports an incoming fellow. Integration is reinforced by a genuinely bidirectional knowledge exchange, described in §1.3: ELTE transfers geoinformatics, EO time-series analysis, hyperspectral-to-multispectral transfer, spatio-temporal and Bayesian hierarchical modelling, uncertainty quantification, transfer learning and reproducible geospatial computation to the fellow, while the fellow brings plant physiology, horticultural crop science, water-stress experimentation, physiological phenotyping and the biological interpretation of Earth observation into the hosting group. ELTE remains the beneficiary and the fellow's home institution across the whole 30-month action, including during the M25–M30 non-academic placement, which is an intersectoral extension of the European Fellowship rather than a change of host.</w:t>
      </w:r>
    </w:p>
    <w:p>
      <w:pPr>
        <w:pStyle w:val="Heading3"/>
      </w:pPr>
      <w:r>
        <w:t>Quality and capacity of the participating organisations</w:t>
      </w:r>
    </w:p>
    <w:p>
      <w:r>
        <w:rPr>
          <w:b/>
          <w:caps w:val="0"/>
        </w:rPr>
        <w:t>Magyar Agrár- és Élettudományi Egyetem — primary experimental and data environment (associated partner).</w:t>
      </w:r>
      <w:r>
        <w:rPr>
          <w:b w:val="0"/>
          <w:caps w:val="0"/>
        </w:rPr>
        <w:t xml:space="preserve"> Through its Institute of Horticultural Sciences, Magyar Agrár- és Élettudományi Egyetem supplies the five-year source-domain dataset, the processing-tomato experimental environment, the hyperspectral, soil and weather information and the primary scientific validation on which model development rests; it is the source domain for the WP4 transfer test. Its scientific capacity is the best-evidenced of the three participating organisations: it coordinates the AGRIGEP project (grant 101094158, verified on CORDIS), and the Institute of Horticultural Sciences has recent, directly relevant publications, including Takács, Helyes, Ilahy, Daood and Pék (2026, Smart Agricultural Technology 15) on predicting water-stress-related traits in open-field tomato — the same crop and stress as FIELDWISE — together with Silva e Souza et al. (2026, Horticulturae 12(7), 896) and Kuchár et al. (2026, Agronomy 16(8), 844). The organisational contact and the partner's representative on the Steering Group is Dr. Sándor Takács of the Institute of Horticultural Sciences, who is an author on all three of those publications, so the source-domain claim is anchored on evidence rather than on assertion. In addition, Prof. Gábor Milics — a full professor at Magyar Agrár- és Élettudományi Egyetem in Gödöllő, Hungary's country representative to the International Society of Precision Agriculture and a specialist in remote sensing for precision agriculture — advises the fellow personally, adding a second scientific-advisory strand outside the formal governance structure.</w:t>
      </w:r>
    </w:p>
    <w:p>
      <w:r>
        <w:rPr>
          <w:b/>
          <w:caps w:val="0"/>
        </w:rPr>
        <w:t>Институт по зеленчукови култури „Марица“ – Пловдив — cross-country transferability environment (associated partner).</w:t>
      </w:r>
      <w:r>
        <w:rPr>
          <w:b w:val="0"/>
          <w:caps w:val="0"/>
        </w:rPr>
        <w:t xml:space="preserve"> Институт по зеленчукови култури „Марица“ – Пловдив (MVCRI) is a public research institute of the Bulgarian Agricultural Academy and provides the independent Bulgarian processing-tomato environment required for cross-country scientific transferability; its role is specifically the Hungary→Bulgaria transfer test rather than a simple increase in sample size. The relevant department is Technologies in Vegetable Crops Production, headed by Prof. Vinelina Yankova (entomology, vegetable production and breeding), whose remit is precisely the one the WP4 Bulgarian transfer test sits within; a second department, Breeding, Variety Maintenance and Introduction, is headed by Assoc. Prof. Stanislava Grozeva. Prof. Vinelina Yankova is the partner's contact and its seat on the Steering Group. The institute's recent record includes coordination of FP7 grant 205941 in its own name (verified on CORDIS), a current Agricultural Academy task (ZEMDKT 17, 2024–2026) on resistance to abiotic stress — drought and salinity — in Solanum lycopersicum, the same crop and stress as FIELDWISE, and a National Science Fund project (KP-06-COST/2, 2025-ongoing) on satellite and UAV monitoring of vegetable crops with the Space Research and Technology Institute of the Bulgarian Academy of Sciences under COST Action PANGEOS. Институт по зеленчукови култури „Марица“ – Пловдив is also the fellow's current employer of record; the transfer test is deliberately not answerable to the fellow whose model it tests, and its contact and steering seat are held by a department head rather than by the fellow, so the cross-country evaluation remains independent.</w:t>
      </w:r>
    </w:p>
    <w:p>
      <w:r>
        <w:rPr>
          <w:b/>
          <w:caps w:val="0"/>
        </w:rPr>
        <w:t>AGROVIR Üzletviteli Tanácsadó Korlátolt Felelősségű Társaság — operational and farmer-field evaluator, and non-academic placement host.</w:t>
      </w:r>
      <w:r>
        <w:rPr>
          <w:b w:val="0"/>
          <w:caps w:val="0"/>
        </w:rPr>
        <w:t xml:space="preserve"> AGROVIR Üzletviteli Tanácsadó Korlátolt Felelősségű Társaság (AgroVIR) is a Hungarian SME founded in 2007 and seated in Budaörs; it develops and operates a cloud-based farm management information system (FMIS) built on twenty years of practice in Hungarian commercial agriculture, in production use across more than 745,000 hectares in eight countries — Hungary, Romania, Azerbaijan, Slovakia, Bulgaria, Serbia, Ukraine and Argentina — with the Hungarian and Bulgarian footprints matching the two countries FIELDWISE works in. This commercial-scale operating environment is what WP5 uses to test research-to-farm transferability. The company is registered under NACE 7020 (business and management consulting), reflecting its founding activity, while its current business is agricultural software; its company registration number is 13-09-200433. AgroVIR provides network access to the AgroVIR platform and its commercial farm base and validation of the prediction pipeline through the AgroVIR software. Its relevant track record is commercial rather than scientific: AgroVIR has not participated in EU-funded research projects, and FIELDWISE relies on its production-scale commercial deployment, not on a research-collaboration history it does not have. The partner's project contact and its Steering Group seat are held by Zsuzsanna Balázs. Consistent with the 2026 Guide for Applicants, no letter of commitment is included for the non-academic placement host, and its absence is not a weakness; the placement is nonetheless fully evaluated on the argument below.</w:t>
      </w:r>
    </w:p>
    <w:p>
      <w:pPr>
        <w:pStyle w:val="Heading3"/>
      </w:pPr>
      <w:r>
        <w:t>Hosting arrangements for the non-academic placement (AgroVIR, M25–M30)</w:t>
      </w:r>
    </w:p>
    <w:p>
      <w:r>
        <w:rPr>
          <w:b w:val="0"/>
          <w:caps w:val="0"/>
        </w:rPr>
        <w:t>The six-month non-academic placement at AGROVIR Üzletviteli Tanácsadó Korlátolt Felelősségű Társaság is designed to give the fellow an experience the beneficiary cannot provide, and the proposal is explicit about who supervises her, where she works, what she does and what she gains. On site she is supervised by Miklós Maróti; his grade is that of a senior research officer, i.e. a research-side supervisor rather than a purely commercial engineering post, which is the register the placement's training rationale needs. She is provided with desk or office space at AgroVIR for the M25–M30 window, access to the FMIS development and staging environment, and access to the customer-data environment; on the basis of that access and the work content she is embedded in the AgroVIR product development team responsible for the FMIS platform, reporting to the on-site placement supervisor. Her six-month work programme comprises four items that deepen existing WP5 content rather than open a new strand: operational hardening of the prediction pipeline in a production FMIS environment; the nine-dimension operational assessment that produces the AgroVIR functional/technical evaluation (D5.4, M30); the FMIS integration roadmap written from inside the implementing company, which produces the FMIS integration roadmap (D5.5, M30); and requirements engineering and user testing with commercial growers. What the placement offers that ELTE cannot is a production FMIS environment, a commercial engineering practice and direct contact with paying growers — none of which the beneficiary, as a methodological and training environment with research infrastructure, can supply. Separately from the placement, AgroVIR also provides field trials with farmers via its network from M16 in its capacity as the operational evaluator; that field access exists independently of the placement and is not counted as placement workspace.</w:t>
      </w:r>
    </w:p>
    <w:p>
      <w:pPr>
        <w:pStyle w:val="Heading3"/>
      </w:pPr>
      <w:r>
        <w:t>Involvement of participating organisations and associated-partner arrangements</w:t>
      </w:r>
    </w:p>
    <w:p>
      <w:r>
        <w:rPr>
          <w:b w:val="0"/>
          <w:caps w:val="0"/>
        </w:rPr>
        <w:t>Each participating organisation contributes in kind and holds a named seat on the Project Steering Group described in §3.1: Magyar Agrár- és Élettudományi Egyetem through Dr. Sándor Takács, Институт по зеленчукови култури „Марица“ – Пловдив through Prof. Vinelina Yankova, and AGROVIR Üzletviteli Tanácsadó Korlátolt Felelősségű Társaság through Zsuzsanna Balázs. Magyar Agrár- és Élettudományi Egyetem and Институт по зеленчукови култури „Марица“ – Пловдив participate as associated partners, and AGROVIR Üzletviteli Tanácsadó Korlátolt Felelősségű Társaság participates as the non-academic placement host; together they form a coherent academic-research-to-industry chain — source scientific environment, independent cross-country environment and operational commercial environment — that mirrors the validation ladder of the action, with the sole beneficiary ELTE providing the methodological and training core. Several placement-host descriptors (the on-site supervisor and his grade, the workspace and system access, the identity of the team the fellow joins, and the AgroVIR contact's role) rest on descriptions supplied for, but not yet formally confirmed by, the participating organisations, and will be confirmed with the partners before submission.</w:t>
      </w:r>
    </w:p>
    <w:p>
      <w:pPr>
        <w:pStyle w:val="Heading1"/>
        <w:pageBreakBefore/>
      </w:pPr>
      <w:r>
        <w:t>Appendix — declared working assumptions</w:t>
      </w:r>
    </w:p>
    <w:p>
      <w:r>
        <w:rPr>
          <w:b w:val="0"/>
          <w:caps w:val="0"/>
          <w:color w:val="5C6455"/>
          <w:sz w:val="19"/>
        </w:rPr>
        <w:t>The following 14 facts are carried in the draft as declared working assumptions. Each must be confirmed with the named partner (or corrected, with the affected sections re-drafted) before the proposal is finalised. Feedback on any of these is especially welcome.</w:t>
      </w:r>
    </w:p>
    <w:tbl>
      <w:tblPr>
        <w:tblStyle w:val="TableGrid"/>
        <w:tblW w:type="auto" w:w="0"/>
        <w:tblLook w:firstColumn="1" w:firstRow="1" w:lastColumn="0" w:lastRow="0" w:noHBand="0" w:noVBand="1" w:val="04A0"/>
      </w:tblPr>
      <w:tblGrid>
        <w:gridCol w:w="2986"/>
        <w:gridCol w:w="2986"/>
        <w:gridCol w:w="2986"/>
      </w:tblGrid>
      <w:tr>
        <w:tc>
          <w:tcPr>
            <w:tcW w:type="dxa" w:w="2438"/>
            <w:shd w:val="clear" w:fill="F3F4EC"/>
          </w:tcPr>
          <w:p>
            <w:r/>
            <w:r>
              <w:rPr>
                <w:rFonts w:ascii="Segoe UI" w:hAnsi="Segoe UI"/>
                <w:b/>
                <w:caps/>
                <w:color w:val="5C6455"/>
                <w:sz w:val="15"/>
              </w:rPr>
              <w:t>Assumption</w:t>
            </w:r>
          </w:p>
        </w:tc>
        <w:tc>
          <w:tcPr>
            <w:tcW w:type="dxa" w:w="4932"/>
            <w:shd w:val="clear" w:fill="F3F4EC"/>
          </w:tcPr>
          <w:p>
            <w:r/>
            <w:r>
              <w:rPr>
                <w:rFonts w:ascii="Segoe UI" w:hAnsi="Segoe UI"/>
                <w:b/>
                <w:caps/>
                <w:color w:val="5C6455"/>
                <w:sz w:val="15"/>
              </w:rPr>
              <w:t>Working value used in the draft</w:t>
            </w:r>
          </w:p>
        </w:tc>
        <w:tc>
          <w:tcPr>
            <w:tcW w:type="dxa" w:w="1587"/>
            <w:shd w:val="clear" w:fill="F3F4EC"/>
          </w:tcPr>
          <w:p>
            <w:r/>
            <w:r>
              <w:rPr>
                <w:rFonts w:ascii="Segoe UI" w:hAnsi="Segoe UI"/>
                <w:b/>
                <w:caps/>
                <w:color w:val="5C6455"/>
                <w:sz w:val="15"/>
              </w:rPr>
              <w:t>Appears in</w:t>
            </w:r>
          </w:p>
        </w:tc>
      </w:tr>
      <w:tr>
        <w:tc>
          <w:tcPr>
            <w:tcW w:type="dxa" w:w="2438"/>
          </w:tcPr>
          <w:p>
            <w:r/>
            <w:r>
              <w:rPr>
                <w:sz w:val="18"/>
              </w:rPr>
              <w:t>agrovir_relevant_track_record</w:t>
            </w:r>
          </w:p>
        </w:tc>
        <w:tc>
          <w:tcPr>
            <w:tcW w:type="dxa" w:w="4932"/>
          </w:tcPr>
          <w:p>
            <w:r/>
            <w:r>
              <w:rPr>
                <w:sz w:val="18"/>
              </w:rPr>
              <w:t>No participation in EU-funded research projects. AgroVIR's relevant track record is commercial rather than scientific: twenty years of practice in Hungarian commercial agriculture, and a farm management information system in production use across more than 745,000 hectares in eight countries, including Hungary and Bulgaria — the two countries FIELDWISE works in.</w:t>
            </w:r>
          </w:p>
        </w:tc>
        <w:tc>
          <w:tcPr>
            <w:tcW w:type="dxa" w:w="1587"/>
          </w:tcPr>
          <w:p>
            <w:r/>
            <w:r>
              <w:rPr>
                <w:sz w:val="18"/>
              </w:rPr>
              <w:t>Impact, Quality and efficiency of the implementation</w:t>
            </w:r>
          </w:p>
        </w:tc>
      </w:tr>
      <w:tr>
        <w:tc>
          <w:tcPr>
            <w:tcW w:type="dxa" w:w="2438"/>
          </w:tcPr>
          <w:p>
            <w:r/>
            <w:r>
              <w:rPr>
                <w:sz w:val="18"/>
              </w:rPr>
              <w:t>contact_person_AgroVIR</w:t>
            </w:r>
          </w:p>
        </w:tc>
        <w:tc>
          <w:tcPr>
            <w:tcW w:type="dxa" w:w="4932"/>
          </w:tcPr>
          <w:p>
            <w:r/>
            <w:r>
              <w:rPr>
                <w:sz w:val="18"/>
              </w:rPr>
              <w:t>Zsuzsanna Balázs</w:t>
            </w:r>
          </w:p>
        </w:tc>
        <w:tc>
          <w:tcPr>
            <w:tcW w:type="dxa" w:w="1587"/>
          </w:tcPr>
          <w:p>
            <w:r/>
            <w:r>
              <w:rPr>
                <w:sz w:val="18"/>
              </w:rPr>
              <w:t>Quality and efficiency of the implementation</w:t>
            </w:r>
          </w:p>
        </w:tc>
      </w:tr>
      <w:tr>
        <w:tc>
          <w:tcPr>
            <w:tcW w:type="dxa" w:w="2438"/>
          </w:tcPr>
          <w:p>
            <w:r/>
            <w:r>
              <w:rPr>
                <w:sz w:val="18"/>
              </w:rPr>
              <w:t>contact_person_MATE</w:t>
            </w:r>
          </w:p>
        </w:tc>
        <w:tc>
          <w:tcPr>
            <w:tcW w:type="dxa" w:w="4932"/>
          </w:tcPr>
          <w:p>
            <w:r/>
            <w:r>
              <w:rPr>
                <w:sz w:val="18"/>
              </w:rPr>
              <w:t>Dr. Sándor Takács</w:t>
            </w:r>
          </w:p>
        </w:tc>
        <w:tc>
          <w:tcPr>
            <w:tcW w:type="dxa" w:w="1587"/>
          </w:tcPr>
          <w:p>
            <w:r/>
            <w:r>
              <w:rPr>
                <w:sz w:val="18"/>
              </w:rPr>
              <w:t>Quality and efficiency of the implementation</w:t>
            </w:r>
          </w:p>
        </w:tc>
      </w:tr>
      <w:tr>
        <w:tc>
          <w:tcPr>
            <w:tcW w:type="dxa" w:w="2438"/>
          </w:tcPr>
          <w:p>
            <w:r/>
            <w:r>
              <w:rPr>
                <w:sz w:val="18"/>
              </w:rPr>
              <w:t>elte_previous_msca_hosting</w:t>
            </w:r>
          </w:p>
        </w:tc>
        <w:tc>
          <w:tcPr>
            <w:tcW w:type="dxa" w:w="4932"/>
          </w:tcPr>
          <w:p>
            <w:r/>
            <w:r>
              <w:rPr>
                <w:sz w:val="18"/>
              </w:rPr>
              <w:t>None. ELTE has not previously hosted a funded MSCA fellow.</w:t>
            </w:r>
          </w:p>
        </w:tc>
        <w:tc>
          <w:tcPr>
            <w:tcW w:type="dxa" w:w="1587"/>
          </w:tcPr>
          <w:p>
            <w:r/>
            <w:r>
              <w:rPr>
                <w:sz w:val="18"/>
              </w:rPr>
              <w:t>Quality and efficiency of the implementation</w:t>
            </w:r>
          </w:p>
        </w:tc>
      </w:tr>
      <w:tr>
        <w:tc>
          <w:tcPr>
            <w:tcW w:type="dxa" w:w="2438"/>
          </w:tcPr>
          <w:p>
            <w:r/>
            <w:r>
              <w:rPr>
                <w:sz w:val="18"/>
              </w:rPr>
              <w:t>person_months_AgroVIR</w:t>
            </w:r>
          </w:p>
        </w:tc>
        <w:tc>
          <w:tcPr>
            <w:tcW w:type="dxa" w:w="4932"/>
          </w:tcPr>
          <w:p>
            <w:r/>
            <w:r>
              <w:rPr>
                <w:sz w:val="18"/>
              </w:rPr>
              <w:t>3.0</w:t>
            </w:r>
          </w:p>
        </w:tc>
        <w:tc>
          <w:tcPr>
            <w:tcW w:type="dxa" w:w="1587"/>
          </w:tcPr>
          <w:p>
            <w:r/>
            <w:r>
              <w:rPr>
                <w:sz w:val="18"/>
              </w:rPr>
              <w:t>Excellence, Quality and efficiency of the implementation</w:t>
            </w:r>
          </w:p>
        </w:tc>
      </w:tr>
      <w:tr>
        <w:tc>
          <w:tcPr>
            <w:tcW w:type="dxa" w:w="2438"/>
          </w:tcPr>
          <w:p>
            <w:r/>
            <w:r>
              <w:rPr>
                <w:sz w:val="18"/>
              </w:rPr>
              <w:t>person_months_ELTE_co_supervisor</w:t>
            </w:r>
          </w:p>
        </w:tc>
        <w:tc>
          <w:tcPr>
            <w:tcW w:type="dxa" w:w="4932"/>
          </w:tcPr>
          <w:p>
            <w:r/>
            <w:r>
              <w:rPr>
                <w:sz w:val="18"/>
              </w:rPr>
              <w:t>2.0</w:t>
            </w:r>
          </w:p>
        </w:tc>
        <w:tc>
          <w:tcPr>
            <w:tcW w:type="dxa" w:w="1587"/>
          </w:tcPr>
          <w:p>
            <w:r/>
            <w:r>
              <w:rPr>
                <w:sz w:val="18"/>
              </w:rPr>
              <w:t>Excellence, Quality and efficiency of the implementation</w:t>
            </w:r>
          </w:p>
        </w:tc>
      </w:tr>
      <w:tr>
        <w:tc>
          <w:tcPr>
            <w:tcW w:type="dxa" w:w="2438"/>
          </w:tcPr>
          <w:p>
            <w:r/>
            <w:r>
              <w:rPr>
                <w:sz w:val="18"/>
              </w:rPr>
              <w:t>person_months_ELTE_supervisor</w:t>
            </w:r>
          </w:p>
        </w:tc>
        <w:tc>
          <w:tcPr>
            <w:tcW w:type="dxa" w:w="4932"/>
          </w:tcPr>
          <w:p>
            <w:r/>
            <w:r>
              <w:rPr>
                <w:sz w:val="18"/>
              </w:rPr>
              <w:t>2.5</w:t>
            </w:r>
          </w:p>
        </w:tc>
        <w:tc>
          <w:tcPr>
            <w:tcW w:type="dxa" w:w="1587"/>
          </w:tcPr>
          <w:p>
            <w:r/>
            <w:r>
              <w:rPr>
                <w:sz w:val="18"/>
              </w:rPr>
              <w:t>Excellence, Quality and efficiency of the implementation</w:t>
            </w:r>
          </w:p>
        </w:tc>
      </w:tr>
      <w:tr>
        <w:tc>
          <w:tcPr>
            <w:tcW w:type="dxa" w:w="2438"/>
          </w:tcPr>
          <w:p>
            <w:r/>
            <w:r>
              <w:rPr>
                <w:sz w:val="18"/>
              </w:rPr>
              <w:t>person_months_MATE</w:t>
            </w:r>
          </w:p>
        </w:tc>
        <w:tc>
          <w:tcPr>
            <w:tcW w:type="dxa" w:w="4932"/>
          </w:tcPr>
          <w:p>
            <w:r/>
            <w:r>
              <w:rPr>
                <w:sz w:val="18"/>
              </w:rPr>
              <w:t>2.4</w:t>
            </w:r>
          </w:p>
        </w:tc>
        <w:tc>
          <w:tcPr>
            <w:tcW w:type="dxa" w:w="1587"/>
          </w:tcPr>
          <w:p>
            <w:r/>
            <w:r>
              <w:rPr>
                <w:sz w:val="18"/>
              </w:rPr>
              <w:t>Quality and efficiency of the implementation</w:t>
            </w:r>
          </w:p>
        </w:tc>
      </w:tr>
      <w:tr>
        <w:tc>
          <w:tcPr>
            <w:tcW w:type="dxa" w:w="2438"/>
          </w:tcPr>
          <w:p>
            <w:r/>
            <w:r>
              <w:rPr>
                <w:sz w:val="18"/>
              </w:rPr>
              <w:t>person_months_MVCRI</w:t>
            </w:r>
          </w:p>
        </w:tc>
        <w:tc>
          <w:tcPr>
            <w:tcW w:type="dxa" w:w="4932"/>
          </w:tcPr>
          <w:p>
            <w:r/>
            <w:r>
              <w:rPr>
                <w:sz w:val="18"/>
              </w:rPr>
              <w:t>1.5</w:t>
            </w:r>
          </w:p>
        </w:tc>
        <w:tc>
          <w:tcPr>
            <w:tcW w:type="dxa" w:w="1587"/>
          </w:tcPr>
          <w:p>
            <w:r/>
            <w:r>
              <w:rPr>
                <w:sz w:val="18"/>
              </w:rPr>
              <w:t>Quality and efficiency of the implementation</w:t>
            </w:r>
          </w:p>
        </w:tc>
      </w:tr>
      <w:tr>
        <w:tc>
          <w:tcPr>
            <w:tcW w:type="dxa" w:w="2438"/>
          </w:tcPr>
          <w:p>
            <w:r/>
            <w:r>
              <w:rPr>
                <w:sz w:val="18"/>
              </w:rPr>
              <w:t>placement_ip_ownership</w:t>
            </w:r>
          </w:p>
        </w:tc>
        <w:tc>
          <w:tcPr>
            <w:tcW w:type="dxa" w:w="4932"/>
          </w:tcPr>
          <w:p>
            <w:r/>
            <w:r>
              <w:rPr>
                <w:sz w:val="18"/>
              </w:rPr>
              <w:t>Ownership of placement results follows the grant agreement default, vesting in ELTE as the beneficiary acting through the fellow; a written placement agreement between the fellow, ELTE and AgroVIR, concluded before the placement begins, will confirm this allocation and the access terms to the fellow's DrR background IP.</w:t>
            </w:r>
          </w:p>
        </w:tc>
        <w:tc>
          <w:tcPr>
            <w:tcW w:type="dxa" w:w="1587"/>
          </w:tcPr>
          <w:p>
            <w:r/>
            <w:r>
              <w:rPr>
                <w:sz w:val="18"/>
              </w:rPr>
              <w:t>Impact</w:t>
            </w:r>
          </w:p>
        </w:tc>
      </w:tr>
      <w:tr>
        <w:tc>
          <w:tcPr>
            <w:tcW w:type="dxa" w:w="2438"/>
          </w:tcPr>
          <w:p>
            <w:r/>
            <w:r>
              <w:rPr>
                <w:sz w:val="18"/>
              </w:rPr>
              <w:t>placement_supervisor_AgroVIR</w:t>
            </w:r>
          </w:p>
        </w:tc>
        <w:tc>
          <w:tcPr>
            <w:tcW w:type="dxa" w:w="4932"/>
          </w:tcPr>
          <w:p>
            <w:r/>
            <w:r>
              <w:rPr>
                <w:sz w:val="18"/>
              </w:rPr>
              <w:t>Miklós Maróti</w:t>
            </w:r>
          </w:p>
        </w:tc>
        <w:tc>
          <w:tcPr>
            <w:tcW w:type="dxa" w:w="1587"/>
          </w:tcPr>
          <w:p>
            <w:r/>
            <w:r>
              <w:rPr>
                <w:sz w:val="18"/>
              </w:rPr>
              <w:t>Excellence, Impact, Quality and efficiency of the implementation</w:t>
            </w:r>
          </w:p>
        </w:tc>
      </w:tr>
      <w:tr>
        <w:tc>
          <w:tcPr>
            <w:tcW w:type="dxa" w:w="2438"/>
          </w:tcPr>
          <w:p>
            <w:r/>
            <w:r>
              <w:rPr>
                <w:sz w:val="18"/>
              </w:rPr>
              <w:t>placement_supervisor_title_AgroVIR</w:t>
            </w:r>
          </w:p>
        </w:tc>
        <w:tc>
          <w:tcPr>
            <w:tcW w:type="dxa" w:w="4932"/>
          </w:tcPr>
          <w:p>
            <w:r/>
            <w:r>
              <w:rPr>
                <w:sz w:val="18"/>
              </w:rPr>
              <w:t>Senior research officer</w:t>
            </w:r>
          </w:p>
        </w:tc>
        <w:tc>
          <w:tcPr>
            <w:tcW w:type="dxa" w:w="1587"/>
          </w:tcPr>
          <w:p>
            <w:r/>
            <w:r>
              <w:rPr>
                <w:sz w:val="18"/>
              </w:rPr>
              <w:t>Excellence, Impact, Quality and efficiency of the implementation</w:t>
            </w:r>
          </w:p>
        </w:tc>
      </w:tr>
      <w:tr>
        <w:tc>
          <w:tcPr>
            <w:tcW w:type="dxa" w:w="2438"/>
          </w:tcPr>
          <w:p>
            <w:r/>
            <w:r>
              <w:rPr>
                <w:sz w:val="18"/>
              </w:rPr>
              <w:t>placement_team_AgroVIR</w:t>
            </w:r>
          </w:p>
        </w:tc>
        <w:tc>
          <w:tcPr>
            <w:tcW w:type="dxa" w:w="4932"/>
          </w:tcPr>
          <w:p>
            <w:r/>
            <w:r>
              <w:rPr>
                <w:sz w:val="18"/>
              </w:rPr>
              <w:t>The AgroVIR product development team responsible for the FMIS platform.</w:t>
            </w:r>
          </w:p>
        </w:tc>
        <w:tc>
          <w:tcPr>
            <w:tcW w:type="dxa" w:w="1587"/>
          </w:tcPr>
          <w:p>
            <w:r/>
            <w:r>
              <w:rPr>
                <w:sz w:val="18"/>
              </w:rPr>
              <w:t>Excellence, Impact, Quality and efficiency of the implementation</w:t>
            </w:r>
          </w:p>
        </w:tc>
      </w:tr>
      <w:tr>
        <w:tc>
          <w:tcPr>
            <w:tcW w:type="dxa" w:w="2438"/>
          </w:tcPr>
          <w:p>
            <w:r/>
            <w:r>
              <w:rPr>
                <w:sz w:val="18"/>
              </w:rPr>
              <w:t>placement_workspace_AgroVIR</w:t>
            </w:r>
          </w:p>
        </w:tc>
        <w:tc>
          <w:tcPr>
            <w:tcW w:type="dxa" w:w="4932"/>
          </w:tcPr>
          <w:p>
            <w:r/>
            <w:r>
              <w:rPr>
                <w:sz w:val="18"/>
              </w:rPr>
              <w:t>Desk or office space at AgroVIR for M25-M30, access to the FMIS development and staging environment, and access to the customer-data environment.</w:t>
            </w:r>
          </w:p>
        </w:tc>
        <w:tc>
          <w:tcPr>
            <w:tcW w:type="dxa" w:w="1587"/>
          </w:tcPr>
          <w:p>
            <w:r/>
            <w:r>
              <w:rPr>
                <w:sz w:val="18"/>
              </w:rPr>
              <w:t>Excellence, Quality and efficiency of the implementation</w:t>
            </w:r>
          </w:p>
        </w:tc>
      </w:tr>
    </w:tbl>
    <w:p/>
    <w:p>
      <w:r>
        <w:rPr>
          <w:b/>
          <w:caps w:val="0"/>
          <w:color w:val="5C6455"/>
          <w:sz w:val="17"/>
        </w:rPr>
        <w:t xml:space="preserve">Provenance. </w:t>
      </w:r>
      <w:r>
        <w:rPr>
          <w:b w:val="0"/>
          <w:caps w:val="0"/>
          <w:color w:val="5C6455"/>
          <w:sz w:val="17"/>
        </w:rPr>
        <w:t>Compiled 2026-08-17 from the proposal section drafts of run 845413cf-88d3-4137-9c3f-b5413e679323. Prose is reproduced verbatim; the only formatting changes are typographic (arrow glyphs, lead-in emphasis, list markup). Cross-section consistency: 12/12 checks consistent. Beyond the assumptions above, 11 statements are recorded as inferred; all remaining claims are confirmed against source data.</w:t>
      </w:r>
    </w:p>
    <w:sectPr w:rsidR="00FC693F" w:rsidRPr="0006063C" w:rsidSect="00034616">
      <w:footerReference w:type="default" r:id="rId9"/>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C64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color w:val="242A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cs="Georgia"/>
      <w:b w:val="0"/>
      <w:bCs/>
      <w:caps w:val="0"/>
      <w:color w:val="242A20"/>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Segoe UI" w:hAnsi="Segoe UI" w:cs="Segoe UI"/>
      <w:b/>
      <w:bCs/>
      <w:caps w:val="0"/>
      <w:color w:val="242A20"/>
      <w:sz w:val="23"/>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Segoe UI" w:hAnsi="Segoe UI" w:cs="Segoe UI"/>
      <w:b/>
      <w:bCs/>
      <w:caps/>
      <w:color w:val="2F6B3A"/>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